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黄石港区城市管理执法局</w:t>
      </w:r>
      <w:r>
        <w:rPr>
          <w:rFonts w:hint="eastAsia" w:ascii="微软雅黑" w:hAnsi="微软雅黑" w:eastAsia="微软雅黑" w:cs="微软雅黑"/>
          <w:b/>
          <w:i w:val="0"/>
          <w:caps w:val="0"/>
          <w:color w:val="BC1010"/>
          <w:spacing w:val="0"/>
          <w:sz w:val="40"/>
          <w:szCs w:val="40"/>
          <w:shd w:val="clear" w:fill="FFFFFF"/>
          <w:lang w:val="en-US" w:eastAsia="zh-CN"/>
        </w:rPr>
        <w:t>2020</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rPr>
        <w:t>黄石港区城市管理执法局</w:t>
      </w:r>
      <w:r>
        <w:rPr>
          <w:rStyle w:val="6"/>
          <w:rFonts w:hint="eastAsia" w:ascii="微软雅黑" w:hAnsi="微软雅黑" w:eastAsia="微软雅黑" w:cs="微软雅黑"/>
          <w:i w:val="0"/>
          <w:caps w:val="0"/>
          <w:color w:val="333333"/>
          <w:spacing w:val="0"/>
          <w:sz w:val="24"/>
          <w:szCs w:val="24"/>
          <w:shd w:val="clear" w:fill="FFFFFF"/>
          <w:lang w:val="en-US" w:eastAsia="zh-CN"/>
        </w:rPr>
        <w:t>2020</w:t>
      </w:r>
      <w:r>
        <w:rPr>
          <w:rStyle w:val="6"/>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val="en-US" w:eastAsia="zh-CN"/>
        </w:rPr>
        <w:t>2020</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val="en-US" w:eastAsia="zh-CN"/>
        </w:rPr>
        <w:t>2020</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六、重点绩效评价结果等预算绩效情况说明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ind w:firstLine="480" w:firstLineChars="200"/>
        <w:rPr>
          <w:rFonts w:hint="eastAsia" w:ascii="微软雅黑" w:hAnsi="微软雅黑" w:eastAsia="微软雅黑" w:cs="微软雅黑"/>
          <w:sz w:val="24"/>
          <w:szCs w:val="24"/>
          <w:lang w:val="en-US"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6"/>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val="en-US" w:eastAsia="zh-CN"/>
        </w:rPr>
        <w:t>2020</w:t>
      </w:r>
      <w:r>
        <w:rPr>
          <w:rStyle w:val="6"/>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第一部分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6"/>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黄石港区城市管理执法局贯彻落实党中央关于城市管理工作的方计政策和决策部署，落实区委工作要求，在履行职责过程中坚持和加强党对城市管理工作的集中统一领导。主要职责是：</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（一）市城市管理局下放的城市管理职能整体划入；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（二）区建设管理局城市管理方面的职能调整到区城市管理局。</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（三）研究制定区城市管理和市容环卫年度工作计划及实施细则，参与编制城市维护资金的使用计划。</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（四）负责行使市容环境卫生管理方面法律、法规、规章规定的行政处罚权，强制拆除不符合城市容貌标准、环境卫生标准的建筑物或设施。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（五）负责行使城市绿化管理方面法律、法规、规章规定的行政处罚权。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(六）负责行使市政公用管理法律、法规、规章规定的行政处罚权。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（七）负责行使规划批准临时建设项目、居民（村民）及个人违规建设建筑物、构筑物及其他城乡规划管理方面法律、法规、规章规定的行政处罚权。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八）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（九）负责行使工商行政管理方面的对无固定经营地点的无照商贩的行政处罚权。</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（十）负责辖区次干道、背街小巷的门店招牌、门楼改造、占道宣传促销的审批和执法管理工作。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（十一）负责道路抛洒执法管理和城区建筑垃圾管理执法职能。</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（十二）负责区城市管理委员会日常工作。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（十三）负责城管执法队伍的建设、业务培训、法制宣传工作；负责城市管理执法案件的应诉工作；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四）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（十五)负责指导、协调、督促相关部门及社区做好城市管理、市容环境卫生、门前三包工作；负责对各责任单位落实违法违章建筑巡管控情况的考核工作，协调查处违法建</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筑中的突出问题。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（十六)建立区“数字城管”和城市管理信息网络系统，承办、分办市“数字化”城管指挥中心下派的批示件、任务、通知等。</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（十七)完成上级交办的其他任务。</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（十八）职能转变。</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（十九）有关职责分工。</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机构情况</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2012年11月8日，市编办印发《关于市区城管执法体制和人员编制调整等问题的通知》（黄编办发[2012]69号），设立黄石港区城市管理局。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2012年4月，黄石港区委组织部印发文件，成立中共黄石港区城市管理局委员会。</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2013年3月，开发区花湖地区社会管理事务整体移交，花湖市容中队并入我局管理，花湖控违中队由花湖街办管理。</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2019年3月，因机构改革，我局改名为黄石港区城市管理执法局。</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2019年5月，根据《黄石港区做强做实街道，构建新型新型条块关系试点改革方案》，黄石港中队下派至黄石港街道办事处，改名为黄石港街道城管执法中队。</w:t>
      </w:r>
    </w:p>
    <w:p>
      <w:pPr>
        <w:spacing w:line="620" w:lineRule="exact"/>
        <w:ind w:firstLine="568" w:firstLineChars="200"/>
        <w:jc w:val="left"/>
        <w:rPr>
          <w:rFonts w:hint="eastAsia" w:ascii="宋体" w:hAnsi="宋体" w:cs="宋体"/>
          <w:b w:val="0"/>
          <w:bCs/>
          <w:color w:val="000000"/>
          <w:spacing w:val="2"/>
          <w:sz w:val="28"/>
          <w:szCs w:val="28"/>
          <w:lang w:eastAsia="zh-CN"/>
        </w:rPr>
      </w:pPr>
      <w:r>
        <w:rPr>
          <w:rFonts w:hint="eastAsia" w:ascii="宋体" w:hAnsi="宋体" w:cs="宋体"/>
          <w:b w:val="0"/>
          <w:bCs/>
          <w:color w:val="000000"/>
          <w:spacing w:val="2"/>
          <w:sz w:val="28"/>
          <w:szCs w:val="28"/>
          <w:lang w:eastAsia="zh-CN"/>
        </w:rPr>
        <w:t>2019年7月，根据《黄石港区全面推进城市管理执法体制改革实施方案》，我局执法体制改革全面落地，沈家营中队下派到沈家营街道办事处，改名为沈家营街道城管执法中队；胜阳港中队下派到胜阳港街道办事处，改名为胜阳港街道城管执法中队；花湖中队下派到花湖街道办事处，改名为花湖街道城管执法中队。</w:t>
      </w:r>
    </w:p>
    <w:p>
      <w:pPr>
        <w:spacing w:line="620" w:lineRule="exact"/>
        <w:ind w:firstLine="568" w:firstLineChars="200"/>
        <w:jc w:val="left"/>
        <w:rPr>
          <w:rFonts w:hint="default" w:ascii="宋体" w:hAnsi="宋体" w:cs="宋体"/>
          <w:b w:val="0"/>
          <w:bCs/>
          <w:color w:val="000000"/>
          <w:spacing w:val="2"/>
          <w:sz w:val="28"/>
          <w:szCs w:val="28"/>
          <w:lang w:val="en-US" w:eastAsia="zh-CN"/>
        </w:rPr>
      </w:pPr>
      <w:r>
        <w:rPr>
          <w:rFonts w:hint="eastAsia" w:ascii="宋体" w:hAnsi="宋体" w:cs="宋体"/>
          <w:b w:val="0"/>
          <w:bCs/>
          <w:color w:val="000000"/>
          <w:spacing w:val="2"/>
          <w:sz w:val="28"/>
          <w:szCs w:val="28"/>
          <w:lang w:val="en-US" w:eastAsia="zh-CN"/>
        </w:rPr>
        <w:t>2020年10月，</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560" w:firstLineChars="200"/>
        <w:rPr>
          <w:rStyle w:val="6"/>
          <w:rFonts w:hint="eastAsia" w:ascii="宋体" w:hAnsi="宋体" w:eastAsia="宋体" w:cs="宋体"/>
          <w:b w:val="0"/>
          <w:bCs/>
          <w:i w:val="0"/>
          <w:caps w:val="0"/>
          <w:color w:val="333333"/>
          <w:spacing w:val="0"/>
          <w:sz w:val="28"/>
          <w:szCs w:val="28"/>
          <w:shd w:val="clear" w:fill="FFFFFF"/>
          <w:lang w:eastAsia="zh-CN"/>
        </w:rPr>
      </w:pPr>
      <w:r>
        <w:rPr>
          <w:rStyle w:val="6"/>
          <w:rFonts w:hint="eastAsia" w:ascii="宋体" w:hAnsi="宋体" w:eastAsia="宋体" w:cs="宋体"/>
          <w:b w:val="0"/>
          <w:bCs/>
          <w:i w:val="0"/>
          <w:caps w:val="0"/>
          <w:color w:val="333333"/>
          <w:spacing w:val="0"/>
          <w:sz w:val="28"/>
          <w:szCs w:val="28"/>
          <w:shd w:val="clear" w:fill="FFFFFF"/>
          <w:lang w:eastAsia="zh-CN"/>
        </w:rPr>
        <w:t>我局为参公管理事业单位，年初在岗人员</w:t>
      </w:r>
      <w:r>
        <w:rPr>
          <w:rStyle w:val="6"/>
          <w:rFonts w:hint="eastAsia" w:ascii="宋体" w:hAnsi="宋体" w:eastAsia="宋体" w:cs="宋体"/>
          <w:b w:val="0"/>
          <w:bCs/>
          <w:i w:val="0"/>
          <w:caps w:val="0"/>
          <w:color w:val="333333"/>
          <w:spacing w:val="0"/>
          <w:sz w:val="28"/>
          <w:szCs w:val="28"/>
          <w:shd w:val="clear" w:fill="FFFFFF"/>
          <w:lang w:val="en-US" w:eastAsia="zh-CN"/>
        </w:rPr>
        <w:t>43人，1月份退休1人，6月份调出1人，9月退休1人，11月退休2人，11月</w:t>
      </w:r>
      <w:r>
        <w:rPr>
          <w:rFonts w:hint="eastAsia" w:ascii="宋体" w:hAnsi="宋体" w:eastAsia="宋体" w:cs="宋体"/>
          <w:b w:val="0"/>
          <w:bCs/>
          <w:sz w:val="28"/>
          <w:szCs w:val="28"/>
        </w:rPr>
        <w:t>调各街道办事处24人</w:t>
      </w:r>
      <w:r>
        <w:rPr>
          <w:rFonts w:hint="eastAsia" w:ascii="宋体" w:hAnsi="宋体" w:eastAsia="宋体" w:cs="宋体"/>
          <w:b w:val="0"/>
          <w:bCs/>
          <w:sz w:val="28"/>
          <w:szCs w:val="28"/>
          <w:lang w:eastAsia="zh-CN"/>
        </w:rPr>
        <w:t>，故</w:t>
      </w:r>
      <w:r>
        <w:rPr>
          <w:rStyle w:val="6"/>
          <w:rFonts w:hint="eastAsia" w:ascii="宋体" w:hAnsi="宋体" w:eastAsia="宋体" w:cs="宋体"/>
          <w:b w:val="0"/>
          <w:bCs/>
          <w:i w:val="0"/>
          <w:caps w:val="0"/>
          <w:color w:val="333333"/>
          <w:spacing w:val="0"/>
          <w:sz w:val="28"/>
          <w:szCs w:val="28"/>
          <w:shd w:val="clear" w:fill="FFFFFF"/>
          <w:lang w:eastAsia="zh-CN"/>
        </w:rPr>
        <w:t>年末在编在岗人员</w:t>
      </w:r>
      <w:r>
        <w:rPr>
          <w:rStyle w:val="6"/>
          <w:rFonts w:hint="eastAsia" w:ascii="宋体" w:hAnsi="宋体" w:eastAsia="宋体" w:cs="宋体"/>
          <w:b w:val="0"/>
          <w:bCs/>
          <w:i w:val="0"/>
          <w:caps w:val="0"/>
          <w:color w:val="333333"/>
          <w:spacing w:val="0"/>
          <w:sz w:val="28"/>
          <w:szCs w:val="28"/>
          <w:shd w:val="clear" w:fill="FFFFFF"/>
          <w:lang w:val="en-US" w:eastAsia="zh-CN"/>
        </w:rPr>
        <w:t>14</w:t>
      </w:r>
      <w:r>
        <w:rPr>
          <w:rStyle w:val="6"/>
          <w:rFonts w:hint="eastAsia" w:ascii="宋体" w:hAnsi="宋体" w:eastAsia="宋体" w:cs="宋体"/>
          <w:b w:val="0"/>
          <w:bCs/>
          <w:i w:val="0"/>
          <w:caps w:val="0"/>
          <w:color w:val="333333"/>
          <w:spacing w:val="0"/>
          <w:sz w:val="28"/>
          <w:szCs w:val="28"/>
          <w:shd w:val="clear" w:fill="FFFFFF"/>
          <w:lang w:eastAsia="zh-CN"/>
        </w:rPr>
        <w:t>人（含同工同酬退役士兵2人）。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6"/>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firstLine="480" w:firstLineChars="200"/>
        <w:jc w:val="left"/>
        <w:textAlignment w:val="auto"/>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2020年部门决算表</w:t>
      </w:r>
      <w:r>
        <w:drawing>
          <wp:inline distT="0" distB="0" distL="114300" distR="114300">
            <wp:extent cx="6626860" cy="468884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6626860" cy="4688840"/>
                    </a:xfrm>
                    <a:prstGeom prst="rect">
                      <a:avLst/>
                    </a:prstGeom>
                    <a:noFill/>
                    <a:ln>
                      <a:noFill/>
                    </a:ln>
                  </pic:spPr>
                </pic:pic>
              </a:graphicData>
            </a:graphic>
          </wp:inline>
        </w:draw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pPr>
      <w:r>
        <w:drawing>
          <wp:inline distT="0" distB="0" distL="114300" distR="114300">
            <wp:extent cx="8855075" cy="2738120"/>
            <wp:effectExtent l="0" t="0" r="1460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8855075" cy="2738120"/>
                    </a:xfrm>
                    <a:prstGeom prst="rect">
                      <a:avLst/>
                    </a:prstGeom>
                    <a:noFill/>
                    <a:ln>
                      <a:noFill/>
                    </a:ln>
                  </pic:spPr>
                </pic:pic>
              </a:graphicData>
            </a:graphic>
          </wp:inline>
        </w:drawing>
      </w:r>
      <w:r>
        <w:drawing>
          <wp:inline distT="0" distB="0" distL="114300" distR="114300">
            <wp:extent cx="8858885" cy="3056255"/>
            <wp:effectExtent l="0" t="0" r="1079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8858885" cy="3056255"/>
                    </a:xfrm>
                    <a:prstGeom prst="rect">
                      <a:avLst/>
                    </a:prstGeom>
                    <a:noFill/>
                    <a:ln>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420" w:leftChars="0" w:right="0" w:rightChars="0"/>
        <w:jc w:val="cente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sectPr>
          <w:pgSz w:w="16838" w:h="11906" w:orient="landscape"/>
          <w:pgMar w:top="1800" w:right="1440" w:bottom="1800" w:left="1440" w:header="851" w:footer="992" w:gutter="0"/>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6934200" cy="453390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6934200" cy="453390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7917180" cy="3657600"/>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7917180" cy="3657600"/>
                    </a:xfrm>
                    <a:prstGeom prst="rect">
                      <a:avLst/>
                    </a:prstGeom>
                    <a:noFill/>
                    <a:ln>
                      <a:noFill/>
                    </a:ln>
                  </pic:spPr>
                </pic:pic>
              </a:graphicData>
            </a:graphic>
          </wp:inline>
        </w:drawing>
      </w:r>
      <w:r>
        <w:drawing>
          <wp:inline distT="0" distB="0" distL="114300" distR="114300">
            <wp:extent cx="8455660" cy="5269865"/>
            <wp:effectExtent l="0" t="0" r="254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8455660" cy="526986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862060" cy="2276475"/>
            <wp:effectExtent l="0" t="0" r="7620"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8862060" cy="227647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center"/>
      </w:pPr>
      <w:r>
        <w:drawing>
          <wp:inline distT="0" distB="0" distL="114300" distR="114300">
            <wp:extent cx="8856980" cy="2605405"/>
            <wp:effectExtent l="0" t="0" r="1270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1"/>
                    <a:stretch>
                      <a:fillRect/>
                    </a:stretch>
                  </pic:blipFill>
                  <pic:spPr>
                    <a:xfrm>
                      <a:off x="0" y="0"/>
                      <a:ext cx="8856980" cy="260540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sectPr>
          <w:pgSz w:w="16838" w:h="11906" w:orient="landscape"/>
          <w:pgMar w:top="1800" w:right="1440" w:bottom="1800" w:left="1440" w:header="851" w:footer="992" w:gutter="0"/>
          <w:cols w:space="425" w:num="1"/>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6"/>
          <w:rFonts w:hint="eastAsia" w:ascii="微软雅黑" w:hAnsi="微软雅黑" w:eastAsia="微软雅黑" w:cs="微软雅黑"/>
          <w:i w:val="0"/>
          <w:caps w:val="0"/>
          <w:color w:val="333333"/>
          <w:spacing w:val="0"/>
          <w:sz w:val="24"/>
          <w:szCs w:val="24"/>
          <w:shd w:val="clear" w:fill="FFFFFF"/>
          <w:lang w:eastAsia="zh-CN"/>
        </w:rPr>
        <w:t>第三部分</w:t>
      </w:r>
      <w:r>
        <w:rPr>
          <w:rStyle w:val="6"/>
          <w:rFonts w:hint="eastAsia" w:ascii="微软雅黑" w:hAnsi="微软雅黑" w:eastAsia="微软雅黑" w:cs="微软雅黑"/>
          <w:i w:val="0"/>
          <w:caps w:val="0"/>
          <w:color w:val="333333"/>
          <w:spacing w:val="0"/>
          <w:sz w:val="24"/>
          <w:szCs w:val="24"/>
          <w:shd w:val="clear" w:fill="FFFFFF"/>
          <w:lang w:val="en-US" w:eastAsia="zh-CN"/>
        </w:rPr>
        <w:t xml:space="preserve"> 2020</w:t>
      </w:r>
      <w:r>
        <w:rPr>
          <w:rStyle w:val="6"/>
          <w:rFonts w:hint="eastAsia" w:ascii="微软雅黑" w:hAnsi="微软雅黑" w:eastAsia="微软雅黑" w:cs="微软雅黑"/>
          <w:i w:val="0"/>
          <w:caps w:val="0"/>
          <w:color w:val="333333"/>
          <w:spacing w:val="0"/>
          <w:sz w:val="24"/>
          <w:szCs w:val="24"/>
          <w:shd w:val="clear" w:fill="FFFFFF"/>
        </w:rPr>
        <w:t>年部门决算情况说明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（一）预算执行情况分析</w:t>
      </w:r>
    </w:p>
    <w:p>
      <w:pPr>
        <w:keepNext w:val="0"/>
        <w:keepLines w:val="0"/>
        <w:pageBreakBefore w:val="0"/>
        <w:widowControl/>
        <w:kinsoku/>
        <w:wordWrap/>
        <w:overflowPunct/>
        <w:topLinePunct w:val="0"/>
        <w:autoSpaceDE/>
        <w:autoSpaceDN/>
        <w:bidi w:val="0"/>
        <w:adjustRightInd/>
        <w:snapToGrid/>
        <w:spacing w:line="560" w:lineRule="exact"/>
        <w:ind w:firstLine="595" w:firstLineChars="196"/>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2019年财政收入预算数5103839元，其中人员经费4180015元，公用经费923824元, 2019年财政支出预算数5103839元，其中人员经费4180015元，公用经费923824元, 2020年财政收入预算数4951850元，其中人员经费4076209元，公用经费875641元, 2020年财政支出预算数4951850元，其中人员经费4076209元，公用经费875641元, 2020年收入预算数安排比上年增加-151989元。</w:t>
      </w:r>
    </w:p>
    <w:p>
      <w:pPr>
        <w:keepNext w:val="0"/>
        <w:keepLines w:val="0"/>
        <w:pageBreakBefore w:val="0"/>
        <w:widowControl/>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1、收入支出与预算对比分析</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2020年全年总收入59373811.8元,其中财拔款决算收入45876777.33元,其它收入13497034.47元, 2020年全年决算总支出59373811.84元,其中财拔款决算支出45876777.33元,其它资金支出1347034.47元,2020年财政预算数4951850元，财拔决算比预算多40924927.33元,幅度为826.46%。</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2、收入支出结构分析</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2020年全年总收入59373811.8元,其中财拔款决算收入45876777.33元,其它收入13497034.47元</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2020年全年决算总支出59373811.8元,其中财拔款决算支出45876777.33元,其它资金支出13497034.47元，支出按以下分类说明： </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FF0000"/>
          <w:spacing w:val="2"/>
          <w:sz w:val="30"/>
          <w:szCs w:val="30"/>
        </w:rPr>
      </w:pPr>
      <w:r>
        <w:rPr>
          <w:rFonts w:hint="eastAsia" w:ascii="宋体" w:hAnsi="宋体" w:eastAsia="宋体" w:cs="宋体"/>
          <w:color w:val="000000"/>
          <w:spacing w:val="2"/>
          <w:sz w:val="30"/>
          <w:szCs w:val="30"/>
        </w:rPr>
        <w:t>（1）支出功能分类：59373811.8元;其中：城乡社区管理事务支出53479228.81元，节能环保支出1574582.99元，城乡社区公共设施支出4320000元。</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（2）支出性质分类：59373811.8元，其中：人员经费6830379.02元，公用经费52543432.78元;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(3)支出经济分类：59373811.8元，其中：工资福利支出 6638851.02元，商品服务支出52440275元，对个人和家庭的补助支出 191528元，资本性支出103157.78元</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3、支出按经济分类科目分析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2020年总支出59373811.8元，其中：工资福利支出 6638851.02元，商品服务支出52440275元，对个人和家庭的补助支出 191528元，资本性支出103157.78元。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宋体" w:hAnsi="宋体" w:eastAsia="宋体" w:cs="宋体"/>
          <w:b/>
          <w:bCs/>
          <w:sz w:val="30"/>
          <w:szCs w:val="30"/>
        </w:rPr>
      </w:pPr>
      <w:r>
        <w:rPr>
          <w:rFonts w:hint="eastAsia" w:ascii="宋体" w:hAnsi="宋体" w:eastAsia="宋体" w:cs="宋体"/>
          <w:b/>
          <w:bCs/>
          <w:sz w:val="30"/>
          <w:szCs w:val="30"/>
        </w:rPr>
        <w:t>（二）关于“三公”经费支出说明</w:t>
      </w:r>
    </w:p>
    <w:p>
      <w:pPr>
        <w:keepNext w:val="0"/>
        <w:keepLines w:val="0"/>
        <w:pageBreakBefore w:val="0"/>
        <w:kinsoku/>
        <w:wordWrap/>
        <w:overflowPunct/>
        <w:topLinePunct w:val="0"/>
        <w:autoSpaceDE/>
        <w:autoSpaceDN/>
        <w:bidi w:val="0"/>
        <w:adjustRightInd/>
        <w:snapToGrid/>
        <w:spacing w:line="560" w:lineRule="exact"/>
        <w:ind w:firstLine="750" w:firstLineChars="250"/>
        <w:textAlignment w:val="auto"/>
        <w:rPr>
          <w:rFonts w:hint="eastAsia" w:ascii="宋体" w:hAnsi="宋体" w:eastAsia="宋体" w:cs="宋体"/>
          <w:color w:val="FF6600"/>
          <w:sz w:val="30"/>
          <w:szCs w:val="30"/>
        </w:rPr>
      </w:pPr>
      <w:r>
        <w:rPr>
          <w:rFonts w:hint="eastAsia" w:ascii="宋体" w:hAnsi="宋体" w:eastAsia="宋体" w:cs="宋体"/>
          <w:sz w:val="30"/>
          <w:szCs w:val="30"/>
        </w:rPr>
        <w:t>2019年“三公”经费决算总支出252492.93，其中：</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公务车运行维护费252492.93元，年初预算数300000元，决算数比预算数减少47507.07元，减少幅度为减少15.84%；</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公务接待费0元，年初预算数0元，决算数比预算数增加0元，增长幅度为0%；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因公出国（境）费0元，预算数0元，决算数比预算数增加0元，增长幅度为0%；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color w:val="FF6600"/>
          <w:sz w:val="30"/>
          <w:szCs w:val="30"/>
        </w:rPr>
      </w:pPr>
      <w:r>
        <w:rPr>
          <w:rFonts w:hint="eastAsia" w:ascii="宋体" w:hAnsi="宋体" w:eastAsia="宋体" w:cs="宋体"/>
          <w:sz w:val="30"/>
          <w:szCs w:val="30"/>
        </w:rPr>
        <w:t>2020年“三公”经费决算总支出</w:t>
      </w:r>
      <w:r>
        <w:rPr>
          <w:rFonts w:hint="eastAsia" w:ascii="宋体" w:hAnsi="宋体" w:eastAsia="宋体" w:cs="宋体"/>
          <w:sz w:val="30"/>
          <w:szCs w:val="30"/>
          <w:highlight w:val="none"/>
        </w:rPr>
        <w:t>23621.91</w:t>
      </w:r>
      <w:r>
        <w:rPr>
          <w:rFonts w:hint="eastAsia" w:ascii="宋体" w:hAnsi="宋体" w:eastAsia="宋体" w:cs="宋体"/>
          <w:sz w:val="30"/>
          <w:szCs w:val="30"/>
        </w:rPr>
        <w:t>元，其中：</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公务车运行维护费23621.91元，年初预算数0元，决算数比预算数减少0元，减少幅度为0；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公务接待费0元，年初预算数0元，决算数比预算数增加0元，增长幅度为0%；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因公出国（境）费0元，预算数0元，决算数比预算数增加0元，增长增长幅度为0%；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(2)会议费支出情况: </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sz w:val="30"/>
          <w:szCs w:val="30"/>
        </w:rPr>
      </w:pPr>
      <w:r>
        <w:rPr>
          <w:rFonts w:hint="eastAsia" w:ascii="宋体" w:hAnsi="宋体" w:eastAsia="宋体" w:cs="宋体"/>
          <w:color w:val="000000"/>
          <w:spacing w:val="2"/>
          <w:sz w:val="30"/>
          <w:szCs w:val="30"/>
        </w:rPr>
        <w:t>2019年决算会议费为0元；</w:t>
      </w:r>
      <w:r>
        <w:rPr>
          <w:rFonts w:hint="eastAsia" w:ascii="宋体" w:hAnsi="宋体" w:eastAsia="宋体" w:cs="宋体"/>
          <w:sz w:val="30"/>
          <w:szCs w:val="30"/>
        </w:rPr>
        <w:t>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sz w:val="30"/>
          <w:szCs w:val="30"/>
        </w:rPr>
      </w:pPr>
      <w:r>
        <w:rPr>
          <w:rFonts w:hint="eastAsia" w:ascii="宋体" w:hAnsi="宋体" w:eastAsia="宋体" w:cs="宋体"/>
          <w:color w:val="000000"/>
          <w:spacing w:val="2"/>
          <w:sz w:val="30"/>
          <w:szCs w:val="30"/>
        </w:rPr>
        <w:t>2020年决算会议费为0元；</w:t>
      </w:r>
      <w:r>
        <w:rPr>
          <w:rFonts w:hint="eastAsia" w:ascii="宋体" w:hAnsi="宋体" w:eastAsia="宋体" w:cs="宋体"/>
          <w:sz w:val="30"/>
          <w:szCs w:val="30"/>
        </w:rPr>
        <w:t>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 (3)培训费支出情况：</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sz w:val="30"/>
          <w:szCs w:val="30"/>
        </w:rPr>
      </w:pPr>
      <w:r>
        <w:rPr>
          <w:rFonts w:hint="eastAsia" w:ascii="宋体" w:hAnsi="宋体" w:eastAsia="宋体" w:cs="宋体"/>
          <w:color w:val="000000"/>
          <w:spacing w:val="2"/>
          <w:sz w:val="30"/>
          <w:szCs w:val="30"/>
        </w:rPr>
        <w:t>2019年决算培训费0元，</w:t>
      </w:r>
      <w:r>
        <w:rPr>
          <w:rFonts w:hint="eastAsia" w:ascii="宋体" w:hAnsi="宋体" w:eastAsia="宋体" w:cs="宋体"/>
          <w:sz w:val="30"/>
          <w:szCs w:val="30"/>
        </w:rPr>
        <w:t>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2020年决算培训费0元，年初预算数0元，决算数比预算数减少0元，减少幅度为0%；</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FF6600"/>
          <w:spacing w:val="2"/>
          <w:sz w:val="30"/>
          <w:szCs w:val="30"/>
        </w:rPr>
      </w:pPr>
      <w:r>
        <w:rPr>
          <w:rFonts w:hint="eastAsia" w:ascii="宋体" w:hAnsi="宋体" w:eastAsia="宋体" w:cs="宋体"/>
          <w:color w:val="000000"/>
          <w:spacing w:val="2"/>
          <w:sz w:val="30"/>
          <w:szCs w:val="30"/>
        </w:rPr>
        <w:t>4</w:t>
      </w:r>
      <w:r>
        <w:rPr>
          <w:rFonts w:hint="eastAsia" w:ascii="宋体" w:hAnsi="宋体" w:eastAsia="宋体" w:cs="宋体"/>
          <w:b/>
          <w:sz w:val="30"/>
          <w:szCs w:val="30"/>
        </w:rPr>
        <w:t>、</w:t>
      </w:r>
      <w:r>
        <w:rPr>
          <w:rFonts w:hint="eastAsia" w:ascii="宋体" w:hAnsi="宋体" w:eastAsia="宋体" w:cs="宋体"/>
          <w:color w:val="000000"/>
          <w:spacing w:val="2"/>
          <w:sz w:val="30"/>
          <w:szCs w:val="30"/>
        </w:rPr>
        <w:t>财政拔款收入、支出分析</w:t>
      </w:r>
    </w:p>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财拔款决算收入45876777.33元，其中：人员经费6749710.42元，公用经费39127066.91元；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rPr>
      </w:pPr>
      <w:r>
        <w:rPr>
          <w:rFonts w:hint="eastAsia" w:ascii="宋体" w:hAnsi="宋体" w:eastAsia="宋体" w:cs="宋体"/>
          <w:sz w:val="30"/>
          <w:szCs w:val="30"/>
        </w:rPr>
        <w:t>　　</w:t>
      </w:r>
      <w:r>
        <w:rPr>
          <w:rFonts w:hint="eastAsia" w:ascii="宋体" w:hAnsi="宋体" w:eastAsia="宋体" w:cs="宋体"/>
          <w:b/>
          <w:bCs/>
          <w:sz w:val="30"/>
          <w:szCs w:val="30"/>
        </w:rPr>
        <w:t>（三）关于机关运行经费支出说明</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sz w:val="30"/>
          <w:szCs w:val="30"/>
        </w:rPr>
      </w:pPr>
      <w:r>
        <w:rPr>
          <w:rFonts w:hint="eastAsia" w:ascii="宋体" w:hAnsi="宋体" w:eastAsia="宋体" w:cs="宋体"/>
          <w:spacing w:val="2"/>
          <w:sz w:val="30"/>
          <w:szCs w:val="30"/>
        </w:rPr>
        <w:t>2019年机关运行经费支出22693981.93元, 2020年机关运行经费支出</w:t>
      </w:r>
      <w:r>
        <w:rPr>
          <w:rFonts w:hint="eastAsia" w:ascii="宋体" w:hAnsi="宋体" w:eastAsia="宋体" w:cs="宋体"/>
          <w:color w:val="000000"/>
          <w:spacing w:val="2"/>
          <w:sz w:val="30"/>
          <w:szCs w:val="30"/>
        </w:rPr>
        <w:t>39127066.91</w:t>
      </w:r>
      <w:r>
        <w:rPr>
          <w:rFonts w:hint="eastAsia" w:ascii="宋体" w:hAnsi="宋体" w:eastAsia="宋体" w:cs="宋体"/>
          <w:spacing w:val="2"/>
          <w:sz w:val="30"/>
          <w:szCs w:val="30"/>
        </w:rPr>
        <w:t>元,同比上年增加16433084.98元，同比上年增加72.41%。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rPr>
      </w:pPr>
      <w:r>
        <w:rPr>
          <w:rFonts w:hint="eastAsia" w:ascii="宋体" w:hAnsi="宋体" w:eastAsia="宋体" w:cs="宋体"/>
          <w:sz w:val="30"/>
          <w:szCs w:val="30"/>
        </w:rPr>
        <w:t>　</w:t>
      </w:r>
      <w:r>
        <w:rPr>
          <w:rFonts w:hint="eastAsia" w:ascii="宋体" w:hAnsi="宋体" w:eastAsia="宋体" w:cs="宋体"/>
          <w:b/>
          <w:bCs/>
          <w:sz w:val="30"/>
          <w:szCs w:val="30"/>
        </w:rPr>
        <w:t>　（四）关于政府采购支出说明</w:t>
      </w:r>
    </w:p>
    <w:p>
      <w:pPr>
        <w:pStyle w:val="8"/>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2020年政府采购总支出134795.4元，其中政府采购货物支出0元，政府采购工程支出92617元，政府采购服务支出42178.4元。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30"/>
          <w:szCs w:val="30"/>
        </w:rPr>
      </w:pPr>
      <w:r>
        <w:rPr>
          <w:rFonts w:hint="eastAsia" w:ascii="宋体" w:hAnsi="宋体" w:eastAsia="宋体" w:cs="宋体"/>
          <w:sz w:val="30"/>
          <w:szCs w:val="30"/>
        </w:rPr>
        <w:t>　　</w:t>
      </w:r>
      <w:r>
        <w:rPr>
          <w:rFonts w:hint="eastAsia" w:ascii="宋体" w:hAnsi="宋体" w:eastAsia="宋体" w:cs="宋体"/>
          <w:b/>
          <w:bCs/>
          <w:sz w:val="30"/>
          <w:szCs w:val="30"/>
        </w:rPr>
        <w:t>（五）关于国有资产占用情况说明</w:t>
      </w:r>
    </w:p>
    <w:p>
      <w:pPr>
        <w:pStyle w:val="8"/>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宋体" w:hAnsi="宋体" w:eastAsia="宋体" w:cs="宋体"/>
          <w:sz w:val="30"/>
          <w:szCs w:val="30"/>
        </w:rPr>
      </w:pPr>
      <w:r>
        <w:rPr>
          <w:rFonts w:hint="eastAsia" w:ascii="宋体" w:hAnsi="宋体" w:eastAsia="宋体" w:cs="宋体"/>
          <w:sz w:val="30"/>
          <w:szCs w:val="30"/>
        </w:rPr>
        <w:t>截至2019年12月31日，本单位共有车辆16辆，其中领导干部用车0辆，一般公务用车0辆，一般执法执勤用车16辆，特种专业技术用车0辆，其它用车0辆。</w:t>
      </w:r>
    </w:p>
    <w:p>
      <w:pPr>
        <w:pStyle w:val="8"/>
        <w:keepNext w:val="0"/>
        <w:keepLines w:val="0"/>
        <w:pageBreakBefore w:val="0"/>
        <w:kinsoku/>
        <w:wordWrap/>
        <w:overflowPunct/>
        <w:topLinePunct w:val="0"/>
        <w:autoSpaceDE/>
        <w:autoSpaceDN/>
        <w:bidi w:val="0"/>
        <w:adjustRightInd/>
        <w:snapToGrid/>
        <w:spacing w:line="560" w:lineRule="exact"/>
        <w:ind w:firstLine="900" w:firstLineChars="300"/>
        <w:textAlignment w:val="auto"/>
        <w:rPr>
          <w:rFonts w:hint="eastAsia" w:ascii="宋体" w:hAnsi="宋体" w:eastAsia="宋体" w:cs="宋体"/>
          <w:sz w:val="30"/>
          <w:szCs w:val="30"/>
        </w:rPr>
      </w:pPr>
      <w:r>
        <w:rPr>
          <w:rFonts w:hint="eastAsia" w:ascii="宋体" w:hAnsi="宋体" w:eastAsia="宋体" w:cs="宋体"/>
          <w:sz w:val="30"/>
          <w:szCs w:val="30"/>
        </w:rPr>
        <w:t>2020年12月31日，本单位共有车辆11辆，其中领导干部用车0辆，一般公务用车0辆，一般执法执勤用车11辆，其中5辆下沉各街道办事处使用并管理，本单位只有6辆执法用车。特种专业技术用车0辆，其它用车0辆。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right="0" w:firstLine="301" w:firstLineChars="100"/>
        <w:textAlignment w:val="auto"/>
        <w:rPr>
          <w:rFonts w:hint="eastAsia" w:ascii="宋体" w:hAnsi="宋体" w:eastAsia="宋体" w:cs="宋体"/>
          <w:kern w:val="2"/>
          <w:sz w:val="30"/>
          <w:szCs w:val="30"/>
          <w:lang w:val="en-US" w:eastAsia="zh-CN" w:bidi="ar-SA"/>
        </w:rPr>
      </w:pPr>
      <w:r>
        <w:rPr>
          <w:rStyle w:val="6"/>
          <w:rFonts w:hint="eastAsia" w:ascii="宋体" w:hAnsi="宋体" w:eastAsia="宋体" w:cs="宋体"/>
          <w:b/>
          <w:bCs w:val="0"/>
          <w:i w:val="0"/>
          <w:caps w:val="0"/>
          <w:color w:val="000000" w:themeColor="text1"/>
          <w:spacing w:val="0"/>
          <w:sz w:val="30"/>
          <w:szCs w:val="30"/>
          <w:highlight w:val="none"/>
          <w:shd w:val="clear" w:fill="FFFFFF"/>
          <w:lang w:eastAsia="zh-CN"/>
          <w14:textFill>
            <w14:solidFill>
              <w14:schemeClr w14:val="tx1"/>
            </w14:solidFill>
          </w14:textFill>
        </w:rPr>
        <w:t>重点绩效评价结果等预算绩效情况说明</w:t>
      </w:r>
      <w:r>
        <w:rPr>
          <w:rFonts w:ascii="宋体" w:hAnsi="宋体" w:eastAsia="宋体" w:cs="宋体"/>
          <w:color w:val="000000" w:themeColor="text1"/>
          <w:sz w:val="24"/>
          <w:szCs w:val="24"/>
          <w:highlight w:val="none"/>
          <w14:textFill>
            <w14:solidFill>
              <w14:schemeClr w14:val="tx1"/>
            </w14:solidFill>
          </w14:textFill>
        </w:rPr>
        <w:br w:type="textWrapping"/>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kern w:val="2"/>
          <w:sz w:val="30"/>
          <w:szCs w:val="30"/>
          <w:lang w:val="en-US" w:eastAsia="zh-CN" w:bidi="ar-SA"/>
        </w:rPr>
        <w:t xml:space="preserve"> 2020年，根据预算绩效管理要求，我单位组织2020年度一般公共预算项目支出全面开展绩效自评，共涉及项目2个，资金180.22万元。2020年项目资金投入180.22万元，已使用180.22万元，使用率达100%。使用从评价结果看，项目立项程序完整、规范，预算执行及时、有效，绩效目标得到较好实现，绩效管理水平不断提高，绩效指标体系建设逐渐丰富和完善。</w:t>
      </w:r>
    </w:p>
    <w:p>
      <w:pPr>
        <w:spacing w:line="440" w:lineRule="exact"/>
        <w:ind w:firstLine="570" w:firstLineChars="200"/>
        <w:rPr>
          <w:rFonts w:hint="eastAsia" w:ascii="宋体" w:hAnsi="宋体"/>
          <w:b/>
          <w:color w:val="FF6600"/>
          <w:spacing w:val="2"/>
          <w:sz w:val="28"/>
          <w:szCs w:val="28"/>
        </w:rPr>
      </w:pPr>
      <w:r>
        <w:rPr>
          <w:rFonts w:hint="eastAsia" w:ascii="宋体" w:hAnsi="宋体"/>
          <w:b/>
          <w:spacing w:val="2"/>
          <w:sz w:val="28"/>
          <w:szCs w:val="28"/>
          <w:lang w:eastAsia="zh-CN"/>
        </w:rPr>
        <w:t>（</w:t>
      </w:r>
      <w:r>
        <w:rPr>
          <w:rFonts w:hint="eastAsia" w:ascii="宋体" w:hAnsi="宋体"/>
          <w:b/>
          <w:spacing w:val="2"/>
          <w:sz w:val="28"/>
          <w:szCs w:val="28"/>
          <w:lang w:val="en-US" w:eastAsia="zh-CN"/>
        </w:rPr>
        <w:t>七）</w:t>
      </w:r>
      <w:r>
        <w:rPr>
          <w:rFonts w:hint="eastAsia" w:ascii="宋体" w:hAnsi="宋体"/>
          <w:b/>
          <w:spacing w:val="2"/>
          <w:sz w:val="28"/>
          <w:szCs w:val="28"/>
        </w:rPr>
        <w:t>决算收支增减变化情况</w:t>
      </w:r>
    </w:p>
    <w:p>
      <w:pPr>
        <w:spacing w:line="440" w:lineRule="exact"/>
        <w:ind w:firstLine="600" w:firstLineChars="20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1、收入增减变化情况</w:t>
      </w:r>
    </w:p>
    <w:p>
      <w:pPr>
        <w:widowControl/>
        <w:ind w:firstLine="600" w:firstLineChars="20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2019年全年总收入5162.38万元,2020年全年总收入5937.38万元，同比上年增加775万元，增长原因是业务量增加。</w:t>
      </w:r>
    </w:p>
    <w:p>
      <w:pPr>
        <w:spacing w:line="440" w:lineRule="exact"/>
        <w:ind w:firstLine="600" w:firstLineChars="20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2、支出增减变化情况</w:t>
      </w:r>
    </w:p>
    <w:p>
      <w:pPr>
        <w:widowControl/>
        <w:ind w:firstLine="600" w:firstLineChars="200"/>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2019年全年总支出</w:t>
      </w:r>
      <w:r>
        <w:rPr>
          <w:rFonts w:hint="eastAsia" w:ascii="宋体" w:hAnsi="宋体" w:eastAsia="宋体" w:cs="宋体"/>
          <w:kern w:val="2"/>
          <w:sz w:val="30"/>
          <w:szCs w:val="30"/>
          <w:lang w:val="en-US" w:eastAsia="zh-CN" w:bidi="ar-SA"/>
        </w:rPr>
        <w:t>5162.38万</w:t>
      </w:r>
      <w:r>
        <w:rPr>
          <w:rFonts w:hint="eastAsia" w:ascii="宋体" w:hAnsi="宋体" w:eastAsia="宋体" w:cs="宋体"/>
          <w:kern w:val="2"/>
          <w:sz w:val="30"/>
          <w:szCs w:val="30"/>
          <w:lang w:val="en-US" w:eastAsia="zh-CN" w:bidi="ar-SA"/>
        </w:rPr>
        <w:t>元,2020年全年总支出</w:t>
      </w:r>
      <w:r>
        <w:rPr>
          <w:rFonts w:hint="eastAsia" w:ascii="宋体" w:hAnsi="宋体" w:eastAsia="宋体" w:cs="宋体"/>
          <w:kern w:val="2"/>
          <w:sz w:val="30"/>
          <w:szCs w:val="30"/>
          <w:lang w:val="en-US" w:eastAsia="zh-CN" w:bidi="ar-SA"/>
        </w:rPr>
        <w:t>5937.38万</w:t>
      </w:r>
      <w:r>
        <w:rPr>
          <w:rFonts w:hint="eastAsia" w:ascii="宋体" w:hAnsi="宋体" w:eastAsia="宋体" w:cs="宋体"/>
          <w:kern w:val="2"/>
          <w:sz w:val="30"/>
          <w:szCs w:val="30"/>
          <w:lang w:val="en-US" w:eastAsia="zh-CN" w:bidi="ar-SA"/>
        </w:rPr>
        <w:t>元，同比上年增加</w:t>
      </w:r>
      <w:r>
        <w:rPr>
          <w:rFonts w:hint="eastAsia" w:ascii="宋体" w:hAnsi="宋体" w:eastAsia="宋体" w:cs="宋体"/>
          <w:kern w:val="2"/>
          <w:sz w:val="30"/>
          <w:szCs w:val="30"/>
          <w:lang w:val="en-US" w:eastAsia="zh-CN" w:bidi="ar-SA"/>
        </w:rPr>
        <w:t>775万</w:t>
      </w:r>
      <w:r>
        <w:rPr>
          <w:rFonts w:hint="eastAsia" w:ascii="宋体" w:hAnsi="宋体" w:eastAsia="宋体" w:cs="宋体"/>
          <w:kern w:val="2"/>
          <w:sz w:val="30"/>
          <w:szCs w:val="30"/>
          <w:lang w:val="en-US" w:eastAsia="zh-CN" w:bidi="ar-SA"/>
        </w:rPr>
        <w:t>元，增长原因是业务量增加。</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Chars="100" w:right="0" w:rightChars="0"/>
        <w:textAlignment w:val="auto"/>
        <w:rPr>
          <w:rFonts w:hint="eastAsia" w:ascii="宋体" w:hAnsi="宋体" w:eastAsia="宋体" w:cs="宋体"/>
          <w:kern w:val="2"/>
          <w:sz w:val="30"/>
          <w:szCs w:val="30"/>
          <w:lang w:val="en-US" w:eastAsia="zh-CN" w:bidi="ar-SA"/>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904" w:firstLineChars="300"/>
        <w:textAlignment w:val="auto"/>
        <w:rPr>
          <w:rFonts w:hint="eastAsia" w:ascii="宋体" w:hAnsi="宋体" w:eastAsia="宋体" w:cs="宋体"/>
          <w:b/>
          <w:bCs w:val="0"/>
          <w:color w:val="333333"/>
          <w:sz w:val="30"/>
          <w:szCs w:val="30"/>
        </w:rPr>
      </w:pPr>
      <w:r>
        <w:rPr>
          <w:rStyle w:val="6"/>
          <w:rFonts w:hint="eastAsia" w:ascii="宋体" w:hAnsi="宋体" w:eastAsia="宋体" w:cs="宋体"/>
          <w:b/>
          <w:bCs w:val="0"/>
          <w:i w:val="0"/>
          <w:caps w:val="0"/>
          <w:color w:val="333333"/>
          <w:spacing w:val="0"/>
          <w:sz w:val="30"/>
          <w:szCs w:val="30"/>
          <w:shd w:val="clear" w:fill="FFFFFF"/>
        </w:rPr>
        <w:t>第四部分</w:t>
      </w:r>
      <w:r>
        <w:rPr>
          <w:rStyle w:val="6"/>
          <w:rFonts w:hint="eastAsia" w:ascii="宋体" w:hAnsi="宋体" w:eastAsia="宋体" w:cs="宋体"/>
          <w:b/>
          <w:bCs w:val="0"/>
          <w:i w:val="0"/>
          <w:caps w:val="0"/>
          <w:color w:val="333333"/>
          <w:spacing w:val="0"/>
          <w:sz w:val="30"/>
          <w:szCs w:val="30"/>
          <w:shd w:val="clear" w:fill="FFFFFF"/>
          <w:lang w:val="en-US" w:eastAsia="zh-CN"/>
        </w:rPr>
        <w:t xml:space="preserve"> </w:t>
      </w:r>
      <w:r>
        <w:rPr>
          <w:rStyle w:val="6"/>
          <w:rFonts w:hint="eastAsia" w:ascii="宋体" w:hAnsi="宋体" w:eastAsia="宋体" w:cs="宋体"/>
          <w:b/>
          <w:bCs w:val="0"/>
          <w:i w:val="0"/>
          <w:caps w:val="0"/>
          <w:color w:val="333333"/>
          <w:spacing w:val="0"/>
          <w:sz w:val="30"/>
          <w:szCs w:val="30"/>
          <w:shd w:val="clear" w:fill="FFFFFF"/>
        </w:rPr>
        <w:t>名词解释</w:t>
      </w:r>
    </w:p>
    <w:p>
      <w:pPr>
        <w:keepNext w:val="0"/>
        <w:keepLines w:val="0"/>
        <w:pageBreakBefore w:val="0"/>
        <w:kinsoku/>
        <w:wordWrap/>
        <w:overflowPunct/>
        <w:topLinePunct w:val="0"/>
        <w:autoSpaceDE/>
        <w:autoSpaceDN/>
        <w:bidi w:val="0"/>
        <w:adjustRightInd/>
        <w:snapToGrid/>
        <w:spacing w:line="560" w:lineRule="exact"/>
        <w:ind w:firstLine="760" w:firstLineChars="25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（一）财政拨款（补助）：指省级财政当年拨付的资金。</w:t>
      </w:r>
    </w:p>
    <w:p>
      <w:pPr>
        <w:keepNext w:val="0"/>
        <w:keepLines w:val="0"/>
        <w:pageBreakBefore w:val="0"/>
        <w:kinsoku/>
        <w:wordWrap/>
        <w:overflowPunct/>
        <w:topLinePunct w:val="0"/>
        <w:autoSpaceDE/>
        <w:autoSpaceDN/>
        <w:bidi w:val="0"/>
        <w:adjustRightInd/>
        <w:snapToGrid/>
        <w:spacing w:line="560" w:lineRule="exact"/>
        <w:ind w:firstLine="760" w:firstLineChars="25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 xml:space="preserve">（二）事业收入：指事业单位开展专业业务活动及其辅助活动取得的收入。 </w:t>
      </w:r>
      <w:r>
        <w:rPr>
          <w:rFonts w:hint="eastAsia" w:ascii="宋体" w:hAnsi="宋体" w:eastAsia="宋体" w:cs="宋体"/>
          <w:color w:val="000000"/>
          <w:spacing w:val="2"/>
          <w:sz w:val="30"/>
          <w:szCs w:val="30"/>
        </w:rPr>
        <w:br w:type="textWrapping"/>
      </w:r>
      <w:r>
        <w:rPr>
          <w:rFonts w:hint="eastAsia" w:ascii="宋体" w:hAnsi="宋体" w:eastAsia="宋体" w:cs="宋体"/>
          <w:color w:val="000000"/>
          <w:spacing w:val="2"/>
          <w:sz w:val="30"/>
          <w:szCs w:val="30"/>
        </w:rPr>
        <w:t xml:space="preserve">　　 （三）其他收入：指预算单位在“财政拨款补助收入”、“事业收入”、“经营收入”以外取得的收入。 </w:t>
      </w:r>
      <w:r>
        <w:rPr>
          <w:rFonts w:hint="eastAsia" w:ascii="宋体" w:hAnsi="宋体" w:eastAsia="宋体" w:cs="宋体"/>
          <w:color w:val="000000"/>
          <w:spacing w:val="2"/>
          <w:sz w:val="30"/>
          <w:szCs w:val="30"/>
        </w:rPr>
        <w:br w:type="textWrapping"/>
      </w:r>
      <w:r>
        <w:rPr>
          <w:rFonts w:hint="eastAsia" w:ascii="宋体" w:hAnsi="宋体" w:eastAsia="宋体" w:cs="宋体"/>
          <w:color w:val="000000"/>
          <w:spacing w:val="2"/>
          <w:sz w:val="30"/>
          <w:szCs w:val="30"/>
        </w:rPr>
        <w:t xml:space="preserve">　　 （四）上年结转：指以前年度尚未完成、结转到本年仍按原规定用途继续使用的资金。 </w:t>
      </w:r>
      <w:r>
        <w:rPr>
          <w:rFonts w:hint="eastAsia" w:ascii="宋体" w:hAnsi="宋体" w:eastAsia="宋体" w:cs="宋体"/>
          <w:color w:val="000000"/>
          <w:spacing w:val="2"/>
          <w:sz w:val="30"/>
          <w:szCs w:val="30"/>
        </w:rPr>
        <w:br w:type="textWrapping"/>
      </w:r>
      <w:r>
        <w:rPr>
          <w:rFonts w:hint="eastAsia" w:ascii="宋体" w:hAnsi="宋体" w:eastAsia="宋体" w:cs="宋体"/>
          <w:color w:val="000000"/>
          <w:spacing w:val="2"/>
          <w:sz w:val="30"/>
          <w:szCs w:val="30"/>
        </w:rPr>
        <w:t xml:space="preserve">　　 （五）基本支出：指为保障机构正常运转、完成日常工作任务而发生的人员支出和公用支出。 </w:t>
      </w:r>
      <w:r>
        <w:rPr>
          <w:rFonts w:hint="eastAsia" w:ascii="宋体" w:hAnsi="宋体" w:eastAsia="宋体" w:cs="宋体"/>
          <w:color w:val="000000"/>
          <w:spacing w:val="2"/>
          <w:sz w:val="30"/>
          <w:szCs w:val="30"/>
        </w:rPr>
        <w:br w:type="textWrapping"/>
      </w:r>
      <w:r>
        <w:rPr>
          <w:rFonts w:hint="eastAsia" w:ascii="宋体" w:hAnsi="宋体" w:eastAsia="宋体" w:cs="宋体"/>
          <w:color w:val="000000"/>
          <w:spacing w:val="2"/>
          <w:sz w:val="30"/>
          <w:szCs w:val="30"/>
        </w:rPr>
        <w:t>　 　（六）项目支出：指为完成特定的行政工作任务或事业发展目标，在基本支出之外发生的各项支出。</w:t>
      </w:r>
    </w:p>
    <w:p>
      <w:pPr>
        <w:keepNext w:val="0"/>
        <w:keepLines w:val="0"/>
        <w:pageBreakBefore w:val="0"/>
        <w:kinsoku/>
        <w:wordWrap/>
        <w:overflowPunct/>
        <w:topLinePunct w:val="0"/>
        <w:autoSpaceDE/>
        <w:autoSpaceDN/>
        <w:bidi w:val="0"/>
        <w:adjustRightInd/>
        <w:snapToGrid/>
        <w:spacing w:line="560" w:lineRule="exact"/>
        <w:ind w:firstLine="760" w:firstLineChars="250"/>
        <w:textAlignment w:val="auto"/>
        <w:rPr>
          <w:rFonts w:hint="eastAsia" w:ascii="宋体" w:hAnsi="宋体" w:eastAsia="宋体" w:cs="宋体"/>
          <w:color w:val="000000"/>
          <w:spacing w:val="2"/>
          <w:sz w:val="30"/>
          <w:szCs w:val="30"/>
        </w:rPr>
      </w:pPr>
      <w:r>
        <w:rPr>
          <w:rFonts w:hint="eastAsia" w:ascii="宋体" w:hAnsi="宋体" w:eastAsia="宋体" w:cs="宋体"/>
          <w:color w:val="000000"/>
          <w:spacing w:val="2"/>
          <w:sz w:val="30"/>
          <w:szCs w:val="30"/>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kinsoku/>
        <w:wordWrap/>
        <w:overflowPunct/>
        <w:topLinePunct w:val="0"/>
        <w:autoSpaceDE/>
        <w:autoSpaceDN/>
        <w:bidi w:val="0"/>
        <w:adjustRightInd/>
        <w:snapToGrid/>
        <w:spacing w:line="560" w:lineRule="exact"/>
        <w:ind w:firstLine="912" w:firstLineChars="300"/>
        <w:textAlignment w:val="auto"/>
        <w:rPr>
          <w:rFonts w:hint="eastAsia" w:ascii="宋体" w:hAnsi="宋体" w:eastAsia="宋体" w:cs="宋体"/>
          <w:sz w:val="30"/>
          <w:szCs w:val="30"/>
        </w:rPr>
      </w:pPr>
      <w:r>
        <w:rPr>
          <w:rFonts w:hint="eastAsia" w:ascii="宋体" w:hAnsi="宋体" w:eastAsia="宋体" w:cs="宋体"/>
          <w:color w:val="000000"/>
          <w:spacing w:val="2"/>
          <w:sz w:val="30"/>
          <w:szCs w:val="30"/>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1D6B"/>
    <w:multiLevelType w:val="singleLevel"/>
    <w:tmpl w:val="67201D6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693D"/>
    <w:rsid w:val="0664587B"/>
    <w:rsid w:val="08C015D3"/>
    <w:rsid w:val="08D12CF7"/>
    <w:rsid w:val="095F7D56"/>
    <w:rsid w:val="0E836A5F"/>
    <w:rsid w:val="10350EB7"/>
    <w:rsid w:val="11ED78A0"/>
    <w:rsid w:val="12A10506"/>
    <w:rsid w:val="19B3232E"/>
    <w:rsid w:val="19D533E6"/>
    <w:rsid w:val="1A256A75"/>
    <w:rsid w:val="1C6C2A7F"/>
    <w:rsid w:val="213114FB"/>
    <w:rsid w:val="228A65CA"/>
    <w:rsid w:val="23B92B61"/>
    <w:rsid w:val="24571EF4"/>
    <w:rsid w:val="255E033E"/>
    <w:rsid w:val="289C3E82"/>
    <w:rsid w:val="28EE6E7B"/>
    <w:rsid w:val="2C203A0A"/>
    <w:rsid w:val="2C2716FD"/>
    <w:rsid w:val="2D5063EA"/>
    <w:rsid w:val="2F6350B4"/>
    <w:rsid w:val="30A961EA"/>
    <w:rsid w:val="30AC7064"/>
    <w:rsid w:val="32BD01BE"/>
    <w:rsid w:val="38203263"/>
    <w:rsid w:val="3C2D5DD2"/>
    <w:rsid w:val="3CF427BE"/>
    <w:rsid w:val="3E4925C7"/>
    <w:rsid w:val="3F3920DE"/>
    <w:rsid w:val="443C2C5D"/>
    <w:rsid w:val="45071528"/>
    <w:rsid w:val="4546080C"/>
    <w:rsid w:val="47CC4445"/>
    <w:rsid w:val="480E281B"/>
    <w:rsid w:val="489106AE"/>
    <w:rsid w:val="4A910C89"/>
    <w:rsid w:val="4ACC2635"/>
    <w:rsid w:val="4BBC5AAB"/>
    <w:rsid w:val="4C9A7298"/>
    <w:rsid w:val="513B31CA"/>
    <w:rsid w:val="514D2F0D"/>
    <w:rsid w:val="51767875"/>
    <w:rsid w:val="519A5237"/>
    <w:rsid w:val="563772E9"/>
    <w:rsid w:val="563E0CA4"/>
    <w:rsid w:val="56CB06F1"/>
    <w:rsid w:val="5A000215"/>
    <w:rsid w:val="5D84344A"/>
    <w:rsid w:val="60390F38"/>
    <w:rsid w:val="66C54CE4"/>
    <w:rsid w:val="692B2102"/>
    <w:rsid w:val="6C75760A"/>
    <w:rsid w:val="70A32328"/>
    <w:rsid w:val="746766E2"/>
    <w:rsid w:val="768D6BB8"/>
    <w:rsid w:val="77E41A6F"/>
    <w:rsid w:val="78186405"/>
    <w:rsid w:val="7B061679"/>
    <w:rsid w:val="7D804718"/>
    <w:rsid w:val="7ED07DD9"/>
    <w:rsid w:val="7ED96447"/>
    <w:rsid w:val="7F721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5"/>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cp:lastPrinted>2021-09-07T08:26:00Z</cp:lastPrinted>
  <dcterms:modified xsi:type="dcterms:W3CDTF">2021-09-14T09:41:00Z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D78DFA5CB40F4E9F86F40DBB3D535A55</vt:lpwstr>
  </property>
</Properties>
</file>