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城管局</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w:t>
      </w:r>
      <w:bookmarkStart w:id="0" w:name="_GoBack"/>
      <w:bookmarkEnd w:id="0"/>
      <w:r>
        <w:rPr>
          <w:rFonts w:hint="eastAsia" w:ascii="微软雅黑" w:hAnsi="微软雅黑" w:eastAsia="微软雅黑" w:cs="微软雅黑"/>
          <w:color w:val="BC1010"/>
          <w:sz w:val="40"/>
          <w:szCs w:val="40"/>
          <w:shd w:val="clear" w:color="auto" w:fill="FFFFFF"/>
        </w:rPr>
        <w:t>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城管局</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pStyle w:val="5"/>
        <w:widowControl/>
        <w:spacing w:before="76" w:beforeAutospacing="0" w:after="76" w:afterAutospacing="0" w:line="560" w:lineRule="exact"/>
        <w:ind w:firstLine="560" w:firstLineChars="20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依据国务院《关于在湖北省黄石市开展相对集中行政处罚权试点工作的复函》、以及省、市、区有关文件核定，黄石港区城市管理局（黄石港区城市管理执法大队），工作职能及职责为：</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1）行使辖区城市管理（相对集中行政处罚）方面的工作职能、职责：负责行使市容环境卫生管理方面法律、法规、规章规定的行政处罚权，强制拆除不符合城市容貌标准、环境卫生标准的建筑物或设施；负责行使城市绿化管理方面法律、法规、规章规定的行政处罚权；负责行使市政公用管理法律、法规、规章规定的行政处罚权；负责行使规划批准临时建设项目、居民（村民）及个人违规建设建筑物、构筑物及其他城乡规划管理方面法律、法规、规章规定的行政处罚权；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负责行使工商行政管理方面的对无固定经营地点的无照商贩的行政处罚权；负责辖区次干道、背街小巷的门店招牌、门楼改造、占道宣传促销的审批和执法管理工作；配合职能部门加强辖区建筑垃圾工地源头管控工作和道路抛洒执法管理；负责区城市管理委员会日常工作；负责城管执法队伍的建设、业务培训、法制宣传工作；负责城市管理执法案件的应诉工作；</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2）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（3）负责指导、协调、督促相关部门及社区做好城市管理、市容环境卫生、门前三包工作；负责对各责任单位落实违法违章建筑巡管控情况的考核工作，协调查处违法建筑中的突出问题。</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（4）建立区“数字城管”和城市管理信息网络系统，承办、分办市“数字化”城管指挥中心下派的批示件、任务、通知等。</w:t>
      </w:r>
    </w:p>
    <w:p>
      <w:pPr>
        <w:pStyle w:val="14"/>
        <w:widowControl/>
        <w:shd w:val="clear" w:color="auto" w:fill="FFFFFF"/>
        <w:snapToGrid w:val="0"/>
        <w:spacing w:line="560" w:lineRule="exact"/>
        <w:ind w:left="42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color="auto" w:fill="FFFFFF"/>
        </w:rPr>
        <w:t>（5）完成区政府和上级行业管理部门交办的其他工作</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color w:val="333333"/>
          <w:sz w:val="28"/>
          <w:szCs w:val="28"/>
          <w:shd w:val="clear" w:color="auto" w:fill="FFFFFF"/>
        </w:rPr>
        <w:t>局下属二级单位市容环卫处；设置局机关（局办公室、执法科、财务室、信访监察室）、胜阳港中队、环磁湖中队、黄石港中队、花湖中队五个部门</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城管局</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eastAsia="宋体"/>
                <w:lang w:val="en-US" w:eastAsia="zh-CN"/>
              </w:rPr>
            </w:pPr>
            <w:r>
              <w:rPr>
                <w:rFonts w:hint="eastAsia"/>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 xml:space="preserve">2620324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2620324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2620324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2620324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2620324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12"/>
        <w:gridCol w:w="1028"/>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12"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2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028"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028"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028"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2620324 </w:t>
            </w:r>
          </w:p>
        </w:tc>
        <w:tc>
          <w:tcPr>
            <w:tcW w:w="101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2620324 </w:t>
            </w:r>
          </w:p>
        </w:tc>
        <w:tc>
          <w:tcPr>
            <w:tcW w:w="1028"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2620324 </w:t>
            </w:r>
          </w:p>
        </w:tc>
        <w:tc>
          <w:tcPr>
            <w:tcW w:w="170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2620324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2620324 </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2620324 </w:t>
            </w:r>
          </w:p>
        </w:tc>
        <w:tc>
          <w:tcPr>
            <w:tcW w:w="1260"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1448537</w:t>
            </w:r>
          </w:p>
        </w:tc>
        <w:tc>
          <w:tcPr>
            <w:tcW w:w="1522" w:type="dxa"/>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144988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2234785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2234785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566880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566880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1223232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1223232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39036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39036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262532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262532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143105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143105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131266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131266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144988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144988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15300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14100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16408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16408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36583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36583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27347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27347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111360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109285</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109285</w:t>
            </w: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eastAsia="zh-CN"/>
              </w:rPr>
            </w:pPr>
            <w:r>
              <w:rPr>
                <w:rFonts w:ascii="Arial" w:hAnsi="Arial" w:cs="Arial"/>
                <w:kern w:val="0"/>
                <w:sz w:val="24"/>
              </w:rPr>
              <w:t>3030</w:t>
            </w:r>
            <w:r>
              <w:rPr>
                <w:rFonts w:hint="eastAsia" w:ascii="Arial" w:hAnsi="Arial" w:cs="Arial"/>
                <w:kern w:val="0"/>
                <w:sz w:val="24"/>
                <w:lang w:val="en-US" w:eastAsia="zh-CN"/>
              </w:rPr>
              <w:t>7</w:t>
            </w:r>
          </w:p>
        </w:tc>
        <w:tc>
          <w:tcPr>
            <w:tcW w:w="3625" w:type="dxa"/>
            <w:vAlign w:val="center"/>
          </w:tcPr>
          <w:p>
            <w:pPr>
              <w:widowControl/>
              <w:ind w:firstLine="240" w:firstLineChars="100"/>
              <w:rPr>
                <w:rFonts w:hint="eastAsia" w:ascii="Arial" w:hAnsi="Arial" w:eastAsia="宋体" w:cs="Arial"/>
                <w:kern w:val="0"/>
                <w:sz w:val="24"/>
                <w:lang w:eastAsia="zh-CN"/>
              </w:rPr>
            </w:pPr>
            <w:r>
              <w:rPr>
                <w:rFonts w:hint="eastAsia" w:ascii="Arial" w:hAnsi="Arial" w:cs="Arial"/>
                <w:kern w:val="0"/>
                <w:sz w:val="24"/>
                <w:lang w:eastAsia="zh-CN"/>
              </w:rPr>
              <w:t>医疗费补助</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109285</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109285</w:t>
            </w: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0 </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0 </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numPr>
          <w:ilvl w:val="0"/>
          <w:numId w:val="0"/>
        </w:numPr>
        <w:spacing w:before="0" w:beforeAutospacing="0" w:after="0" w:afterAutospacing="0" w:line="585" w:lineRule="atLeast"/>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b w:val="0"/>
          <w:bCs/>
          <w:color w:val="333333"/>
          <w:highlight w:val="none"/>
          <w:shd w:val="clear" w:color="auto" w:fill="FFFFFF"/>
          <w:lang w:eastAsia="zh-CN"/>
        </w:rPr>
        <w:t>说明：本单位无项目支出</w:t>
      </w:r>
    </w:p>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numPr>
          <w:ilvl w:val="0"/>
          <w:numId w:val="0"/>
        </w:numPr>
        <w:spacing w:before="0" w:beforeAutospacing="0" w:after="0" w:afterAutospacing="0" w:line="585" w:lineRule="atLeast"/>
        <w:rPr>
          <w:rFonts w:hint="eastAsia" w:asciiTheme="minorEastAsia" w:hAnsiTheme="minorEastAsia" w:eastAsiaTheme="minorEastAsia" w:cstheme="minorEastAsia"/>
          <w:b/>
          <w:bCs w:val="0"/>
          <w:sz w:val="28"/>
          <w:szCs w:val="28"/>
          <w:highlight w:val="none"/>
        </w:rPr>
      </w:pPr>
      <w:r>
        <w:rPr>
          <w:rFonts w:hint="eastAsia" w:asciiTheme="minorEastAsia" w:hAnsiTheme="minorEastAsia" w:eastAsiaTheme="minorEastAsia" w:cstheme="minorEastAsia"/>
          <w:b/>
          <w:bCs w:val="0"/>
          <w:sz w:val="28"/>
          <w:szCs w:val="28"/>
          <w:highlight w:val="none"/>
          <w:lang w:eastAsia="zh-CN"/>
        </w:rPr>
        <w:t>一、</w:t>
      </w:r>
      <w:r>
        <w:rPr>
          <w:rFonts w:hint="eastAsia" w:asciiTheme="minorEastAsia" w:hAnsiTheme="minorEastAsia" w:eastAsiaTheme="minorEastAsia" w:cstheme="minorEastAsia"/>
          <w:b/>
          <w:bCs w:val="0"/>
          <w:sz w:val="28"/>
          <w:szCs w:val="28"/>
          <w:highlight w:val="none"/>
          <w:lang w:val="en-US" w:eastAsia="zh-CN"/>
        </w:rPr>
        <w:t>2022年</w:t>
      </w:r>
      <w:r>
        <w:rPr>
          <w:rFonts w:hint="eastAsia" w:asciiTheme="minorEastAsia" w:hAnsiTheme="minorEastAsia" w:eastAsiaTheme="minorEastAsia" w:cstheme="minorEastAsia"/>
          <w:b/>
          <w:bCs w:val="0"/>
          <w:sz w:val="28"/>
          <w:szCs w:val="28"/>
          <w:highlight w:val="none"/>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lang w:eastAsia="zh-CN"/>
        </w:rPr>
        <w:t>2620324</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lang w:eastAsia="zh-CN"/>
        </w:rPr>
        <w:t>2620324</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lang w:eastAsia="zh-CN"/>
        </w:rPr>
        <w:t>2620324</w:t>
      </w:r>
      <w:r>
        <w:rPr>
          <w:rFonts w:hint="eastAsia" w:ascii="宋体" w:hAnsi="宋体"/>
          <w:color w:val="000000"/>
          <w:spacing w:val="2"/>
          <w:kern w:val="2"/>
          <w:sz w:val="28"/>
          <w:szCs w:val="28"/>
          <w:highlight w:val="none"/>
          <w:lang w:val="en-US" w:eastAsia="zh-CN"/>
        </w:rPr>
        <w:t>元，其中基本支出</w:t>
      </w:r>
      <w:r>
        <w:rPr>
          <w:rFonts w:hint="eastAsia" w:ascii="宋体" w:hAnsi="宋体" w:cs="宋体"/>
          <w:sz w:val="28"/>
          <w:szCs w:val="28"/>
          <w:lang w:eastAsia="zh-CN"/>
        </w:rPr>
        <w:t>2620324</w:t>
      </w:r>
      <w:r>
        <w:rPr>
          <w:rFonts w:hint="eastAsia" w:ascii="宋体" w:hAnsi="宋体"/>
          <w:color w:val="000000"/>
          <w:spacing w:val="2"/>
          <w:kern w:val="2"/>
          <w:sz w:val="28"/>
          <w:szCs w:val="28"/>
          <w:highlight w:val="none"/>
          <w:lang w:val="en-US" w:eastAsia="zh-CN"/>
        </w:rPr>
        <w:t>元，占比100%。</w:t>
      </w:r>
    </w:p>
    <w:p>
      <w:pPr>
        <w:numPr>
          <w:ilvl w:val="0"/>
          <w:numId w:val="0"/>
        </w:numPr>
        <w:ind w:leftChars="0"/>
        <w:rPr>
          <w:rFonts w:hint="eastAsia" w:ascii="宋体" w:hAnsi="宋体" w:cs="宋体"/>
          <w:b/>
          <w:kern w:val="0"/>
          <w:sz w:val="28"/>
          <w:szCs w:val="28"/>
          <w:highlight w:val="none"/>
        </w:rPr>
      </w:pPr>
      <w:r>
        <w:rPr>
          <w:rFonts w:hint="eastAsia" w:ascii="宋体" w:hAnsi="宋体" w:cs="宋体"/>
          <w:b/>
          <w:kern w:val="0"/>
          <w:sz w:val="28"/>
          <w:szCs w:val="28"/>
          <w:highlight w:val="none"/>
          <w:lang w:eastAsia="zh-CN"/>
        </w:rPr>
        <w:t>二、</w:t>
      </w:r>
      <w:r>
        <w:rPr>
          <w:rFonts w:hint="eastAsia" w:ascii="宋体" w:hAnsi="宋体" w:cs="宋体"/>
          <w:b/>
          <w:kern w:val="0"/>
          <w:sz w:val="28"/>
          <w:szCs w:val="28"/>
          <w:highlight w:val="none"/>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ind w:firstLine="420" w:firstLineChars="15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lang w:eastAsia="zh-CN"/>
        </w:rPr>
        <w:t>2620324</w:t>
      </w:r>
      <w:r>
        <w:rPr>
          <w:rFonts w:hint="eastAsia" w:ascii="宋体" w:hAnsi="宋体" w:cs="宋体"/>
          <w:kern w:val="0"/>
          <w:sz w:val="28"/>
          <w:szCs w:val="28"/>
          <w:highlight w:val="none"/>
        </w:rPr>
        <w:t>元，</w:t>
      </w:r>
      <w:r>
        <w:rPr>
          <w:rFonts w:hint="eastAsia" w:ascii="宋体" w:hAnsi="宋体" w:cs="宋体"/>
          <w:kern w:val="0"/>
          <w:sz w:val="28"/>
          <w:szCs w:val="28"/>
        </w:rPr>
        <w:t>比</w:t>
      </w:r>
      <w:r>
        <w:rPr>
          <w:rFonts w:hint="eastAsia" w:ascii="宋体" w:hAnsi="宋体" w:cs="宋体"/>
          <w:kern w:val="0"/>
          <w:sz w:val="28"/>
          <w:szCs w:val="28"/>
          <w:lang w:eastAsia="zh-CN"/>
        </w:rPr>
        <w:t>2021年</w:t>
      </w:r>
      <w:r>
        <w:rPr>
          <w:rFonts w:hint="eastAsia" w:ascii="宋体" w:hAnsi="宋体" w:cs="宋体"/>
          <w:kern w:val="0"/>
          <w:sz w:val="28"/>
          <w:szCs w:val="28"/>
        </w:rPr>
        <w:t>预算收支</w:t>
      </w:r>
      <w:r>
        <w:rPr>
          <w:rFonts w:hint="eastAsia" w:ascii="宋体" w:hAnsi="宋体" w:cs="宋体"/>
          <w:sz w:val="28"/>
          <w:szCs w:val="28"/>
          <w:lang w:val="en-US" w:eastAsia="zh-CN"/>
        </w:rPr>
        <w:t>1736711</w:t>
      </w:r>
      <w:r>
        <w:rPr>
          <w:rFonts w:hint="eastAsia" w:ascii="宋体" w:hAnsi="宋体" w:cs="宋体"/>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lang w:val="en-US" w:eastAsia="zh-CN"/>
        </w:rPr>
        <w:t>883613</w:t>
      </w:r>
      <w:r>
        <w:rPr>
          <w:rFonts w:hint="eastAsia" w:ascii="宋体" w:hAnsi="宋体" w:cs="宋体"/>
          <w:kern w:val="0"/>
          <w:sz w:val="28"/>
          <w:szCs w:val="28"/>
        </w:rPr>
        <w:t>元。</w:t>
      </w:r>
      <w:r>
        <w:rPr>
          <w:rFonts w:hint="eastAsia" w:ascii="宋体" w:hAnsi="宋体" w:cs="宋体"/>
          <w:kern w:val="0"/>
          <w:sz w:val="28"/>
          <w:szCs w:val="28"/>
          <w:highlight w:val="none"/>
          <w:lang w:eastAsia="zh-CN"/>
        </w:rPr>
        <w:t>增加原因：2022年工资政策性提标。</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spacing w:before="0" w:beforeAutospacing="0" w:after="0" w:afterAutospacing="0" w:line="585" w:lineRule="atLeast"/>
        <w:ind w:firstLine="560" w:firstLineChars="200"/>
        <w:rPr>
          <w:rStyle w:val="8"/>
          <w:rFonts w:hint="eastAsia" w:ascii="微软雅黑" w:hAnsi="微软雅黑" w:eastAsia="微软雅黑" w:cs="微软雅黑"/>
          <w:color w:val="333333"/>
          <w:shd w:val="clear" w:color="auto" w:fill="FFFFFF"/>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lang w:eastAsia="zh-CN"/>
        </w:rPr>
        <w:t>2620324</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lang w:val="en-US" w:eastAsia="zh-CN"/>
        </w:rPr>
        <w:t>1736711</w:t>
      </w:r>
      <w:r>
        <w:rPr>
          <w:rFonts w:hint="eastAsia" w:ascii="宋体" w:hAnsi="宋体" w:cs="宋体"/>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lang w:val="en-US" w:eastAsia="zh-CN"/>
        </w:rPr>
        <w:t>883613</w:t>
      </w:r>
      <w:r>
        <w:rPr>
          <w:rFonts w:hint="eastAsia" w:ascii="宋体" w:hAnsi="宋体" w:cs="宋体"/>
          <w:kern w:val="0"/>
          <w:sz w:val="28"/>
          <w:szCs w:val="28"/>
        </w:rPr>
        <w:t>元</w:t>
      </w:r>
      <w:r>
        <w:rPr>
          <w:rFonts w:hint="eastAsia" w:ascii="宋体" w:hAnsi="宋体" w:cs="宋体"/>
          <w:kern w:val="0"/>
          <w:sz w:val="28"/>
          <w:szCs w:val="28"/>
          <w:highlight w:val="none"/>
          <w:lang w:val="en-US" w:eastAsia="zh-CN"/>
        </w:rPr>
        <w:t>，增加原因：2022年度本单位工资提标，按新标准列入预算发生增加。其中：</w:t>
      </w:r>
      <w:r>
        <w:rPr>
          <w:rFonts w:hint="eastAsia" w:ascii="宋体" w:hAnsi="宋体"/>
          <w:color w:val="000000"/>
          <w:spacing w:val="2"/>
          <w:kern w:val="2"/>
          <w:sz w:val="28"/>
          <w:szCs w:val="28"/>
        </w:rPr>
        <w:t>工资福利支出</w:t>
      </w:r>
      <w:r>
        <w:rPr>
          <w:rFonts w:hint="eastAsia" w:ascii="宋体" w:hAnsi="宋体" w:cs="Times New Roman"/>
          <w:color w:val="000000"/>
          <w:spacing w:val="2"/>
          <w:kern w:val="2"/>
          <w:sz w:val="28"/>
          <w:szCs w:val="28"/>
          <w:lang w:val="en-US" w:eastAsia="zh-CN"/>
        </w:rPr>
        <w:t>1448537</w:t>
      </w:r>
      <w:r>
        <w:rPr>
          <w:rFonts w:hint="eastAsia" w:ascii="宋体" w:hAnsi="宋体" w:cs="Times New Roman"/>
          <w:color w:val="000000"/>
          <w:spacing w:val="2"/>
          <w:kern w:val="2"/>
          <w:sz w:val="28"/>
          <w:szCs w:val="28"/>
        </w:rPr>
        <w:t>元</w:t>
      </w:r>
      <w:r>
        <w:rPr>
          <w:rFonts w:hint="eastAsia" w:ascii="宋体" w:hAnsi="宋体"/>
          <w:color w:val="000000"/>
          <w:spacing w:val="2"/>
          <w:kern w:val="2"/>
          <w:sz w:val="28"/>
          <w:szCs w:val="28"/>
        </w:rPr>
        <w:t>，商品服务支</w:t>
      </w:r>
      <w:r>
        <w:rPr>
          <w:rFonts w:hint="eastAsia" w:ascii="宋体" w:hAnsi="宋体"/>
          <w:color w:val="000000"/>
          <w:spacing w:val="2"/>
          <w:kern w:val="2"/>
          <w:sz w:val="28"/>
          <w:szCs w:val="28"/>
          <w:lang w:val="en-US" w:eastAsia="zh-CN"/>
        </w:rPr>
        <w:t>144988</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lang w:val="en-US" w:eastAsia="zh-CN"/>
        </w:rPr>
        <w:t>109285</w:t>
      </w:r>
      <w:r>
        <w:rPr>
          <w:rFonts w:hint="eastAsia" w:ascii="宋体" w:hAnsi="宋体" w:cs="宋体"/>
          <w:sz w:val="28"/>
          <w:szCs w:val="28"/>
        </w:rPr>
        <w:t>元，专项经费</w:t>
      </w:r>
      <w:r>
        <w:rPr>
          <w:rFonts w:hint="eastAsia" w:ascii="宋体" w:hAnsi="宋体"/>
          <w:color w:val="000000"/>
          <w:spacing w:val="2"/>
          <w:kern w:val="2"/>
          <w:sz w:val="28"/>
          <w:szCs w:val="28"/>
        </w:rPr>
        <w:t>0</w:t>
      </w:r>
      <w:r>
        <w:rPr>
          <w:rFonts w:hint="eastAsia" w:ascii="宋体" w:hAnsi="宋体" w:cs="宋体"/>
          <w:sz w:val="28"/>
          <w:szCs w:val="28"/>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20584</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144988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2800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14280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32600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11760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15</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1093884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16408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1829148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36583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1093884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27347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“三公”经费预算0万元，较</w:t>
      </w:r>
      <w:r>
        <w:rPr>
          <w:rFonts w:hint="eastAsia" w:ascii="宋体" w:hAnsi="宋体" w:cs="宋体"/>
          <w:sz w:val="28"/>
          <w:szCs w:val="28"/>
          <w:lang w:eastAsia="zh-CN"/>
        </w:rPr>
        <w:t>2021年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w:t>
      </w:r>
      <w:r>
        <w:rPr>
          <w:rFonts w:hint="eastAsia" w:ascii="宋体" w:hAnsi="宋体" w:cs="宋体"/>
          <w:sz w:val="28"/>
          <w:szCs w:val="28"/>
          <w:highlight w:val="none"/>
        </w:rPr>
        <w:t>公务用车购置及运行维护费</w:t>
      </w:r>
      <w:r>
        <w:rPr>
          <w:rFonts w:ascii="宋体" w:hAnsi="宋体" w:cs="宋体"/>
          <w:sz w:val="28"/>
          <w:szCs w:val="28"/>
          <w:highlight w:val="none"/>
        </w:rPr>
        <w:t>0</w:t>
      </w:r>
      <w:r>
        <w:rPr>
          <w:rFonts w:hint="eastAsia" w:ascii="宋体" w:hAnsi="宋体" w:cs="宋体"/>
          <w:sz w:val="28"/>
          <w:szCs w:val="28"/>
          <w:highlight w:val="none"/>
        </w:rPr>
        <w:t>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highlight w:val="none"/>
        </w:rPr>
        <w:t>无车辆，与</w:t>
      </w:r>
      <w:r>
        <w:rPr>
          <w:rFonts w:hint="eastAsia" w:ascii="宋体" w:hAnsi="宋体" w:cs="宋体"/>
          <w:sz w:val="28"/>
          <w:szCs w:val="28"/>
          <w:highlight w:val="none"/>
          <w:lang w:eastAsia="zh-CN"/>
        </w:rPr>
        <w:t>2021年</w:t>
      </w:r>
      <w:r>
        <w:rPr>
          <w:rFonts w:hint="eastAsia" w:ascii="宋体" w:hAnsi="宋体" w:cs="宋体"/>
          <w:sz w:val="28"/>
          <w:szCs w:val="28"/>
          <w:highlight w:val="none"/>
        </w:rPr>
        <w:t>预算一致</w:t>
      </w:r>
      <w:r>
        <w:rPr>
          <w:rFonts w:hint="eastAsia" w:ascii="宋体" w:hAnsi="宋体" w:cs="宋体"/>
          <w:sz w:val="28"/>
          <w:szCs w:val="28"/>
        </w:rPr>
        <w:t>。</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2021年</w:t>
      </w:r>
      <w:r>
        <w:rPr>
          <w:rFonts w:hint="eastAsia" w:ascii="宋体" w:hAnsi="宋体" w:cs="宋体"/>
          <w:sz w:val="28"/>
          <w:szCs w:val="28"/>
        </w:rPr>
        <w:t>减少0万，主要厉行节约，压减各类公务接待支出。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Style w:val="8"/>
          <w:rFonts w:ascii="微软雅黑" w:hAnsi="微软雅黑" w:eastAsia="微软雅黑" w:cs="微软雅黑"/>
          <w:color w:val="333333"/>
          <w:kern w:val="0"/>
          <w:sz w:val="24"/>
          <w:highlight w:val="none"/>
          <w:shd w:val="clear" w:color="auto" w:fill="FFFFFF"/>
        </w:rPr>
      </w:pPr>
      <w:r>
        <w:rPr>
          <w:rFonts w:hint="eastAsia" w:asciiTheme="minorEastAsia" w:hAnsiTheme="minorEastAsia" w:eastAsiaTheme="minorEastAsia" w:cstheme="minorEastAsia"/>
          <w:sz w:val="28"/>
          <w:szCs w:val="28"/>
          <w:highlight w:val="none"/>
          <w:lang w:val="en-US" w:eastAsia="zh-CN"/>
        </w:rPr>
        <w:t>2022年度</w:t>
      </w:r>
      <w:r>
        <w:rPr>
          <w:rFonts w:hint="eastAsia" w:asciiTheme="minorEastAsia" w:hAnsiTheme="minorEastAsia" w:eastAsiaTheme="minorEastAsia" w:cstheme="minorEastAsia"/>
          <w:sz w:val="28"/>
          <w:szCs w:val="28"/>
          <w:highlight w:val="none"/>
          <w:lang w:eastAsia="zh-CN"/>
        </w:rPr>
        <w:t>本单位无重点项目绩效目标等绩效情况。</w:t>
      </w: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A48CE3D"/>
    <w:multiLevelType w:val="singleLevel"/>
    <w:tmpl w:val="3A48CE3D"/>
    <w:lvl w:ilvl="0" w:tentative="0">
      <w:start w:val="1"/>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lang w:val="en-US"/>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1OTBiYjRmMWQwNjZhNjgyNGJlNmQ1MzViMDhlZWMifQ=="/>
  </w:docVars>
  <w:rsids>
    <w:rsidRoot w:val="55403DF7"/>
    <w:rsid w:val="00005DC5"/>
    <w:rsid w:val="0001348C"/>
    <w:rsid w:val="000174D0"/>
    <w:rsid w:val="00026D39"/>
    <w:rsid w:val="00036F66"/>
    <w:rsid w:val="00040F87"/>
    <w:rsid w:val="00045B5B"/>
    <w:rsid w:val="0005426C"/>
    <w:rsid w:val="000642D8"/>
    <w:rsid w:val="00083031"/>
    <w:rsid w:val="000C5BAF"/>
    <w:rsid w:val="000F5C47"/>
    <w:rsid w:val="00111F12"/>
    <w:rsid w:val="00123AC6"/>
    <w:rsid w:val="00142BAF"/>
    <w:rsid w:val="00144D41"/>
    <w:rsid w:val="00160079"/>
    <w:rsid w:val="00161F75"/>
    <w:rsid w:val="0017239E"/>
    <w:rsid w:val="00177A50"/>
    <w:rsid w:val="00177BDF"/>
    <w:rsid w:val="00182689"/>
    <w:rsid w:val="00183B02"/>
    <w:rsid w:val="001903D2"/>
    <w:rsid w:val="00195C90"/>
    <w:rsid w:val="001B3819"/>
    <w:rsid w:val="001C2B32"/>
    <w:rsid w:val="001D7AA5"/>
    <w:rsid w:val="00206D1B"/>
    <w:rsid w:val="00221035"/>
    <w:rsid w:val="0022746B"/>
    <w:rsid w:val="002340D3"/>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46D7"/>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37E0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4264"/>
    <w:rsid w:val="005B5C34"/>
    <w:rsid w:val="005E1192"/>
    <w:rsid w:val="00621778"/>
    <w:rsid w:val="006413CA"/>
    <w:rsid w:val="00644901"/>
    <w:rsid w:val="00646AD5"/>
    <w:rsid w:val="00667B14"/>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3346"/>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41C56"/>
    <w:rsid w:val="00996000"/>
    <w:rsid w:val="009B1589"/>
    <w:rsid w:val="009B4255"/>
    <w:rsid w:val="009C1767"/>
    <w:rsid w:val="009C17E9"/>
    <w:rsid w:val="009C2041"/>
    <w:rsid w:val="009E431F"/>
    <w:rsid w:val="009F61AD"/>
    <w:rsid w:val="00A138D5"/>
    <w:rsid w:val="00A53C33"/>
    <w:rsid w:val="00A57822"/>
    <w:rsid w:val="00A65ADD"/>
    <w:rsid w:val="00A76686"/>
    <w:rsid w:val="00AA6B7D"/>
    <w:rsid w:val="00AB6928"/>
    <w:rsid w:val="00AC46E0"/>
    <w:rsid w:val="00AC794A"/>
    <w:rsid w:val="00B35E06"/>
    <w:rsid w:val="00B44C01"/>
    <w:rsid w:val="00B54B62"/>
    <w:rsid w:val="00B611F2"/>
    <w:rsid w:val="00B81E6E"/>
    <w:rsid w:val="00B91E1C"/>
    <w:rsid w:val="00B931B2"/>
    <w:rsid w:val="00B94DFE"/>
    <w:rsid w:val="00B9780B"/>
    <w:rsid w:val="00B97FB1"/>
    <w:rsid w:val="00BA58BC"/>
    <w:rsid w:val="00BA6024"/>
    <w:rsid w:val="00BA7485"/>
    <w:rsid w:val="00BC77F3"/>
    <w:rsid w:val="00BD12D4"/>
    <w:rsid w:val="00BE7A20"/>
    <w:rsid w:val="00BF697C"/>
    <w:rsid w:val="00C05975"/>
    <w:rsid w:val="00C131B6"/>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E33BB"/>
    <w:rsid w:val="00CF525C"/>
    <w:rsid w:val="00D01A5E"/>
    <w:rsid w:val="00D04567"/>
    <w:rsid w:val="00D0704E"/>
    <w:rsid w:val="00D1107C"/>
    <w:rsid w:val="00D12FAD"/>
    <w:rsid w:val="00D148E8"/>
    <w:rsid w:val="00D156CA"/>
    <w:rsid w:val="00D157F7"/>
    <w:rsid w:val="00D226FC"/>
    <w:rsid w:val="00D303F0"/>
    <w:rsid w:val="00D414BA"/>
    <w:rsid w:val="00D44255"/>
    <w:rsid w:val="00D46058"/>
    <w:rsid w:val="00D570BA"/>
    <w:rsid w:val="00D71AAA"/>
    <w:rsid w:val="00D80C5F"/>
    <w:rsid w:val="00D8445C"/>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A56F6"/>
    <w:rsid w:val="00EC0F9A"/>
    <w:rsid w:val="00ED6AFD"/>
    <w:rsid w:val="00EE74D1"/>
    <w:rsid w:val="00EF18EB"/>
    <w:rsid w:val="00EF4ACB"/>
    <w:rsid w:val="00EF4BD6"/>
    <w:rsid w:val="00EF6499"/>
    <w:rsid w:val="00EF715C"/>
    <w:rsid w:val="00EF76CA"/>
    <w:rsid w:val="00F25ECC"/>
    <w:rsid w:val="00F6296B"/>
    <w:rsid w:val="00F63148"/>
    <w:rsid w:val="00F95681"/>
    <w:rsid w:val="00FB0164"/>
    <w:rsid w:val="00FB36B7"/>
    <w:rsid w:val="00FB3C99"/>
    <w:rsid w:val="00FE2E3E"/>
    <w:rsid w:val="00FE799A"/>
    <w:rsid w:val="050F20A2"/>
    <w:rsid w:val="13612C0E"/>
    <w:rsid w:val="15E37A96"/>
    <w:rsid w:val="1AFC74FE"/>
    <w:rsid w:val="2914149B"/>
    <w:rsid w:val="2E0C51C1"/>
    <w:rsid w:val="353364FA"/>
    <w:rsid w:val="38AA0644"/>
    <w:rsid w:val="4029521D"/>
    <w:rsid w:val="483709E2"/>
    <w:rsid w:val="4848308A"/>
    <w:rsid w:val="53BD070A"/>
    <w:rsid w:val="55403DF7"/>
    <w:rsid w:val="5FAA5B11"/>
    <w:rsid w:val="64F874FC"/>
    <w:rsid w:val="66A204FC"/>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8A9CC-ACC2-4DCF-A22F-09E717648ED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4402</Words>
  <Characters>5254</Characters>
  <Lines>49</Lines>
  <Paragraphs>13</Paragraphs>
  <TotalTime>0</TotalTime>
  <ScaleCrop>false</ScaleCrop>
  <LinksUpToDate>false</LinksUpToDate>
  <CharactersWithSpaces>6037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云中谁寄一只喵</cp:lastModifiedBy>
  <cp:lastPrinted>2019-10-24T08:46:00Z</cp:lastPrinted>
  <dcterms:modified xsi:type="dcterms:W3CDTF">2023-04-28T07:24:06Z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05C590648F9A4FFEA5D91A0A99C06866</vt:lpwstr>
  </property>
</Properties>
</file>