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微软雅黑" w:hAnsi="微软雅黑" w:eastAsia="微软雅黑" w:cs="微软雅黑"/>
          <w:b/>
          <w:color w:val="BC1010"/>
          <w:kern w:val="0"/>
          <w:sz w:val="40"/>
          <w:szCs w:val="40"/>
          <w:shd w:val="clear" w:color="auto" w:fill="FFFFFF"/>
          <w:lang w:val="en-US" w:eastAsia="zh-CN" w:bidi="ar-SA"/>
        </w:rPr>
      </w:pPr>
      <w:r>
        <w:rPr>
          <w:rFonts w:hint="eastAsia" w:ascii="微软雅黑" w:hAnsi="微软雅黑" w:eastAsia="微软雅黑" w:cs="微软雅黑"/>
          <w:b/>
          <w:color w:val="BC1010"/>
          <w:kern w:val="0"/>
          <w:sz w:val="40"/>
          <w:szCs w:val="40"/>
          <w:shd w:val="clear" w:color="auto" w:fill="FFFFFF"/>
          <w:lang w:val="en-US" w:eastAsia="zh-CN" w:bidi="ar-SA"/>
        </w:rPr>
        <w:t>黄石港区城市管理执法局</w:t>
      </w:r>
      <w:r>
        <w:rPr>
          <w:rFonts w:hint="eastAsia" w:ascii="微软雅黑" w:hAnsi="微软雅黑" w:eastAsia="微软雅黑" w:cs="微软雅黑"/>
          <w:b/>
          <w:color w:val="BC1010"/>
          <w:kern w:val="0"/>
          <w:sz w:val="40"/>
          <w:szCs w:val="40"/>
          <w:shd w:val="clear" w:color="auto" w:fill="FFFFFF"/>
          <w:lang w:val="en-US" w:eastAsia="zh-CN" w:bidi="ar-SA"/>
        </w:rPr>
        <w:t>2022</w:t>
      </w:r>
      <w:r>
        <w:rPr>
          <w:rFonts w:hint="eastAsia" w:ascii="微软雅黑" w:hAnsi="微软雅黑" w:eastAsia="微软雅黑" w:cs="微软雅黑"/>
          <w:b/>
          <w:color w:val="BC1010"/>
          <w:kern w:val="0"/>
          <w:sz w:val="40"/>
          <w:szCs w:val="40"/>
          <w:shd w:val="clear" w:color="auto" w:fill="FFFFFF"/>
          <w:lang w:val="en-US" w:eastAsia="zh-CN" w:bidi="ar-SA"/>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r>
        <w:rPr>
          <w:rStyle w:val="8"/>
          <w:rFonts w:hint="eastAsia" w:ascii="微软雅黑" w:hAnsi="微软雅黑" w:eastAsia="微软雅黑" w:cs="微软雅黑"/>
          <w:i w:val="0"/>
          <w:caps w:val="0"/>
          <w:color w:val="333333"/>
          <w:spacing w:val="0"/>
          <w:sz w:val="24"/>
          <w:szCs w:val="24"/>
          <w:shd w:val="clear" w:fill="FFFFFF"/>
        </w:rPr>
        <w:t>黄石港区城市管理执法局</w:t>
      </w:r>
      <w:r>
        <w:rPr>
          <w:rStyle w:val="8"/>
          <w:rFonts w:hint="eastAsia" w:ascii="微软雅黑" w:hAnsi="微软雅黑" w:eastAsia="微软雅黑" w:cs="微软雅黑"/>
          <w:i w:val="0"/>
          <w:caps w:val="0"/>
          <w:color w:val="333333"/>
          <w:spacing w:val="0"/>
          <w:sz w:val="24"/>
          <w:szCs w:val="24"/>
          <w:shd w:val="clear" w:fill="FFFFFF"/>
          <w:lang w:val="en-US" w:eastAsia="zh-CN"/>
        </w:rPr>
        <w:t>2022</w:t>
      </w:r>
      <w:r>
        <w:rPr>
          <w:rStyle w:val="8"/>
          <w:rFonts w:hint="eastAsia" w:ascii="微软雅黑" w:hAnsi="微软雅黑" w:eastAsia="微软雅黑" w:cs="微软雅黑"/>
          <w:i w:val="0"/>
          <w:caps w:val="0"/>
          <w:color w:val="333333"/>
          <w:spacing w:val="0"/>
          <w:sz w:val="24"/>
          <w:szCs w:val="24"/>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5"/>
        <w:widowControl/>
        <w:spacing w:before="76" w:beforeAutospacing="0" w:after="76" w:afterAutospacing="0" w:line="450" w:lineRule="atLeast"/>
        <w:ind w:firstLine="420"/>
        <w:rPr>
          <w:rFonts w:hint="eastAsia" w:eastAsia="微软雅黑"/>
          <w:color w:val="333333"/>
          <w:lang w:eastAsia="zh-CN"/>
        </w:rPr>
      </w:pPr>
      <w:r>
        <w:rPr>
          <w:rFonts w:hint="eastAsia" w:ascii="微软雅黑" w:hAnsi="微软雅黑" w:eastAsia="微软雅黑" w:cs="微软雅黑"/>
          <w:color w:val="333333"/>
          <w:shd w:val="clear" w:color="auto" w:fill="FFFFFF"/>
        </w:rPr>
        <w:t>第一部分:</w:t>
      </w:r>
      <w:r>
        <w:rPr>
          <w:rFonts w:hint="eastAsia" w:ascii="微软雅黑" w:hAnsi="微软雅黑" w:eastAsia="微软雅黑" w:cs="微软雅黑"/>
          <w:color w:val="333333"/>
          <w:shd w:val="clear" w:color="auto" w:fill="FFFFFF"/>
          <w:lang w:val="en-US" w:eastAsia="zh-CN"/>
        </w:rPr>
        <w:t>黄石港区XX单位概况</w:t>
      </w:r>
      <w:bookmarkStart w:id="0" w:name="_GoBack"/>
      <w:bookmarkEnd w:id="0"/>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二、部门决算单位构成</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 xml:space="preserve">第二部分: </w:t>
      </w:r>
      <w:r>
        <w:rPr>
          <w:rFonts w:hint="eastAsia" w:ascii="微软雅黑" w:hAnsi="微软雅黑" w:eastAsia="微软雅黑" w:cs="微软雅黑"/>
          <w:color w:val="333333"/>
          <w:shd w:val="clear" w:color="auto" w:fill="FFFFFF"/>
          <w:lang w:val="en-US" w:eastAsia="zh-CN"/>
        </w:rPr>
        <w:t>黄石港区XX单位</w:t>
      </w:r>
      <w:r>
        <w:rPr>
          <w:rFonts w:hint="eastAsia" w:ascii="微软雅黑" w:hAnsi="微软雅黑" w:eastAsia="微软雅黑" w:cs="微软雅黑"/>
          <w:color w:val="333333"/>
          <w:shd w:val="clear" w:color="auto" w:fill="FFFFFF"/>
        </w:rPr>
        <w:t>202</w:t>
      </w:r>
      <w:r>
        <w:rPr>
          <w:rFonts w:hint="eastAsia" w:ascii="微软雅黑" w:hAnsi="微软雅黑" w:eastAsia="微软雅黑" w:cs="微软雅黑"/>
          <w:color w:val="333333"/>
          <w:shd w:val="clear" w:color="auto" w:fill="FFFFFF"/>
          <w:lang w:val="en-US" w:eastAsia="zh-CN"/>
        </w:rPr>
        <w:t>2</w:t>
      </w:r>
      <w:r>
        <w:rPr>
          <w:rFonts w:hint="eastAsia" w:ascii="微软雅黑" w:hAnsi="微软雅黑" w:eastAsia="微软雅黑" w:cs="微软雅黑"/>
          <w:color w:val="333333"/>
          <w:shd w:val="clear" w:color="auto" w:fill="FFFFFF"/>
        </w:rPr>
        <w:t>年部门决算表</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w:t>
      </w:r>
      <w:r>
        <w:rPr>
          <w:rFonts w:hint="eastAsia" w:ascii="微软雅黑" w:hAnsi="微软雅黑" w:eastAsia="微软雅黑" w:cs="微软雅黑"/>
          <w:color w:val="333333"/>
          <w:shd w:val="clear" w:color="auto" w:fill="FFFFFF"/>
          <w:lang w:val="en-US" w:eastAsia="zh-CN"/>
        </w:rPr>
        <w:t>公开0</w:t>
      </w:r>
      <w:r>
        <w:rPr>
          <w:rFonts w:hint="eastAsia"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lang w:val="en-US" w:eastAsia="zh-CN"/>
        </w:rPr>
        <w:t>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w:t>
      </w:r>
      <w:r>
        <w:rPr>
          <w:rFonts w:hint="eastAsia" w:ascii="微软雅黑" w:hAnsi="微软雅黑" w:eastAsia="微软雅黑" w:cs="微软雅黑"/>
          <w:color w:val="333333"/>
          <w:shd w:val="clear" w:color="auto" w:fill="FFFFFF"/>
          <w:lang w:val="en-US" w:eastAsia="zh-CN"/>
        </w:rPr>
        <w:t>公开02表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w:t>
      </w:r>
      <w:r>
        <w:rPr>
          <w:rFonts w:hint="eastAsia" w:ascii="微软雅黑" w:hAnsi="微软雅黑" w:eastAsia="微软雅黑" w:cs="微软雅黑"/>
          <w:color w:val="333333"/>
          <w:shd w:val="clear" w:color="auto" w:fill="FFFFFF"/>
          <w:lang w:val="en-US" w:eastAsia="zh-CN"/>
        </w:rPr>
        <w:t>公开03表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w:t>
      </w:r>
      <w:r>
        <w:rPr>
          <w:rFonts w:hint="eastAsia" w:ascii="微软雅黑" w:hAnsi="微软雅黑" w:eastAsia="微软雅黑" w:cs="微软雅黑"/>
          <w:color w:val="333333"/>
          <w:shd w:val="clear" w:color="auto" w:fill="FFFFFF"/>
          <w:lang w:val="en-US" w:eastAsia="zh-CN"/>
        </w:rPr>
        <w:t>公开04表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w:t>
      </w:r>
      <w:r>
        <w:rPr>
          <w:rFonts w:hint="eastAsia" w:ascii="微软雅黑" w:hAnsi="微软雅黑" w:eastAsia="微软雅黑" w:cs="微软雅黑"/>
          <w:color w:val="333333"/>
          <w:shd w:val="clear" w:color="auto" w:fill="FFFFFF"/>
          <w:lang w:val="en-US" w:eastAsia="zh-CN"/>
        </w:rPr>
        <w:t>公开05表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w:t>
      </w:r>
      <w:r>
        <w:rPr>
          <w:rFonts w:hint="eastAsia" w:ascii="微软雅黑" w:hAnsi="微软雅黑" w:eastAsia="微软雅黑" w:cs="微软雅黑"/>
          <w:color w:val="333333"/>
          <w:shd w:val="clear" w:color="auto" w:fill="FFFFFF"/>
          <w:lang w:val="en-US" w:eastAsia="zh-CN"/>
        </w:rPr>
        <w:t>公开06表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w:t>
      </w:r>
      <w:r>
        <w:rPr>
          <w:rFonts w:hint="eastAsia" w:ascii="微软雅黑" w:hAnsi="微软雅黑" w:eastAsia="微软雅黑" w:cs="微软雅黑"/>
          <w:color w:val="333333"/>
          <w:shd w:val="clear" w:color="auto" w:fill="FFFFFF"/>
          <w:lang w:val="en-US" w:eastAsia="zh-CN"/>
        </w:rPr>
        <w:t>公开07表</w:t>
      </w:r>
      <w:r>
        <w:rPr>
          <w:rFonts w:hint="eastAsia" w:ascii="微软雅黑" w:hAnsi="微软雅黑" w:eastAsia="微软雅黑" w:cs="微软雅黑"/>
          <w:color w:val="333333"/>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w:t>
      </w:r>
      <w:r>
        <w:rPr>
          <w:rFonts w:hint="eastAsia" w:ascii="微软雅黑" w:hAnsi="微软雅黑" w:eastAsia="微软雅黑" w:cs="微软雅黑"/>
          <w:color w:val="333333"/>
          <w:shd w:val="clear" w:color="auto" w:fill="FFFFFF"/>
          <w:lang w:val="en-US" w:eastAsia="zh-CN"/>
        </w:rPr>
        <w:t>公开08表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w:t>
      </w:r>
      <w:r>
        <w:rPr>
          <w:rFonts w:hint="eastAsia" w:ascii="微软雅黑" w:hAnsi="微软雅黑" w:eastAsia="微软雅黑" w:cs="微软雅黑"/>
          <w:color w:val="333333"/>
          <w:shd w:val="clear" w:color="auto" w:fill="FFFFFF"/>
          <w:lang w:val="en-US" w:eastAsia="zh-CN"/>
        </w:rPr>
        <w:t>公开09表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第三部分：部门202</w:t>
      </w:r>
      <w:r>
        <w:rPr>
          <w:rFonts w:hint="eastAsia" w:ascii="微软雅黑" w:hAnsi="微软雅黑" w:eastAsia="微软雅黑" w:cs="微软雅黑"/>
          <w:color w:val="333333"/>
          <w:shd w:val="clear" w:color="auto" w:fill="FFFFFF"/>
          <w:lang w:val="en-US" w:eastAsia="zh-CN"/>
        </w:rPr>
        <w:t>1</w:t>
      </w:r>
      <w:r>
        <w:rPr>
          <w:rFonts w:hint="eastAsia" w:ascii="微软雅黑" w:hAnsi="微软雅黑" w:eastAsia="微软雅黑" w:cs="微软雅黑"/>
          <w:color w:val="333333"/>
          <w:shd w:val="clear" w:color="auto" w:fill="FFFFFF"/>
        </w:rPr>
        <w:t>年部门决算情况说明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一、收入支出决算总体情况说明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二、收入决算情况说明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三、支出决算情况说明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四、财政拨款收入支出决算总体情况说明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五、一般公共预算财政拨款支出决算情况说明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六、一般公共预算财政拨款基本支出决算情况说明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七、财政拨款“三公”经费支出决算情况说明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八、政府性基金预算财政拨款收入支出决算情况说明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九、国有资本经营预算财政拨款支出决算情况说明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十、机关运行经费支出说明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十一、政府采购支出说明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十二、国有资产占用情况说明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十三、预算绩效情况说明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十四、专项支出、转移支付支出情况说明</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5"/>
        <w:widowControl/>
        <w:spacing w:before="76" w:beforeAutospacing="0" w:after="76" w:afterAutospacing="0" w:line="450" w:lineRule="atLeast"/>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rPr>
          <w:rFonts w:hint="eastAsia" w:ascii="微软雅黑" w:hAnsi="微软雅黑" w:eastAsia="微软雅黑" w:cs="微软雅黑"/>
          <w:color w:val="333333"/>
          <w:shd w:val="clear" w:color="auto"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rPr>
          <w:rStyle w:val="8"/>
          <w:rFonts w:hint="eastAsia" w:ascii="微软雅黑" w:hAnsi="微软雅黑" w:eastAsia="微软雅黑" w:cs="微软雅黑"/>
          <w:i w:val="0"/>
          <w:caps w:val="0"/>
          <w:color w:val="333333"/>
          <w:spacing w:val="0"/>
          <w:sz w:val="24"/>
          <w:szCs w:val="24"/>
          <w:shd w:val="clear" w:fill="FFFFFF"/>
        </w:rPr>
      </w:pPr>
      <w:r>
        <w:rPr>
          <w:rStyle w:val="8"/>
          <w:rFonts w:hint="eastAsia" w:ascii="微软雅黑" w:hAnsi="微软雅黑" w:eastAsia="微软雅黑" w:cs="微软雅黑"/>
          <w:i w:val="0"/>
          <w:caps w:val="0"/>
          <w:color w:val="333333"/>
          <w:spacing w:val="0"/>
          <w:sz w:val="24"/>
          <w:szCs w:val="24"/>
          <w:shd w:val="clear" w:fill="FFFFFF"/>
          <w:lang w:val="en-US" w:eastAsia="zh-CN"/>
        </w:rPr>
        <w:t>2022</w:t>
      </w:r>
      <w:r>
        <w:rPr>
          <w:rStyle w:val="8"/>
          <w:rFonts w:hint="eastAsia" w:ascii="微软雅黑" w:hAnsi="微软雅黑" w:eastAsia="微软雅黑" w:cs="微软雅黑"/>
          <w:i w:val="0"/>
          <w:caps w:val="0"/>
          <w:color w:val="333333"/>
          <w:spacing w:val="0"/>
          <w:sz w:val="24"/>
          <w:szCs w:val="24"/>
          <w:shd w:val="clear" w:fill="FFFFFF"/>
        </w:rPr>
        <w:t>年部门决算</w:t>
      </w:r>
    </w:p>
    <w:p>
      <w:pPr>
        <w:bidi w:val="0"/>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80" w:lineRule="auto"/>
        <w:ind w:left="0" w:right="0" w:firstLine="420"/>
        <w:textAlignment w:val="auto"/>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第一部分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部门概况</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（一）主要职责</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黄石港区城市管理执法局贯彻落实党中央关于城市管理工作的方计政策和决策部署，落实区委工作要求，在履行职责过程中坚持和加强党对城市管理工作的集中统一领导。主要职责是：</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（一）市城市管理局下放的城市管理职能整体划入；</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（二）区建设管理局城市管理方面的职能调整到区城市管理局。</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（三）研究制定区城市管理和市容环卫年度工作计划及实施细则，参与编制城市维护资金的使用计划。</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（四）负责行使市容环境卫生管理方面法律、法规、规章规定的行政处罚权，强制拆除不符合城市容貌标准、环境卫生标准的建筑物或设施。</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（五）负责行使城市绿化管理方面法律、法规、规章规定的行政处罚权。</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(六）负责行使市政公用管理法律、法规、规章规定的行政处罚权。</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（七）负责行使规划批准临时建设项目、居民（村民）及个人违规建设建筑物、构筑物及其他城乡规划管理方面法律、法规、规章规定的行政处罚权。</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八）负责行使环境保护方面法律、法规、规章规定的行政处罚权：对商业经营、建筑施工及其他社会生活噪声污染的行政处罚权；对城区街道及居民区饮食服务业使用原煤等非清洁燃料和油烟污染的行政处罚权；在人口稠密地区进行焚烧油毡、橡胶、塑料、皮革、垃圾以及其他产生有毒有害烟尘和恶臭气体物质的行政处罚权。</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（九）负责行使工商行政管理方面的对无固定经营地点的无照商贩的行政处罚权。</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（十）负责辖区次干道、背街小巷的门店招牌、门楼改造、占道宣传促销的审批和执法管理工作。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（十一）负责道路抛洒执法管理和城区建筑垃圾管理执法职能。</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（十二）负责区城市管理委员会日常工作。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（十三）负责城管执法队伍的建设、业务培训、法制宣传工作；负责城市管理执法案件的应诉工作；</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四）负责城区主次干道清扫保洁、垃圾清运工作，及门前三包管理；负责环卫服务市场化运作的监管和招投标工作，负责城市管理和市容环境卫生方面的科学技术的研发和应用；负责编报城市环卫基础设施建设计划并组织实施；负责环卫设施、设备的维护及安全运行监督管理。</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（十五)负责指导、协调、督促相关部门及社区做好城市管理、市容环境卫生、门前三包工作；负责对各责任单位落实违法违章建筑巡管控情况的考核工作，协调查处违法建</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筑中的突出问题。</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（十六)建立区“数字城管”和城市管理信息网络系统，承办、分办市“数字化”城管指挥中心下派的批示件、任务、通知等。</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（十七)完成上级交办的其他任务。</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（十八）职能转变。</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（十九）有关职责分工。</w:t>
      </w:r>
    </w:p>
    <w:p>
      <w:pPr>
        <w:keepNext w:val="0"/>
        <w:keepLines w:val="0"/>
        <w:pageBreakBefore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（二）单位基本信息(机构设置等)</w:t>
      </w:r>
    </w:p>
    <w:p>
      <w:pPr>
        <w:keepNext w:val="0"/>
        <w:keepLines w:val="0"/>
        <w:pageBreakBefore w:val="0"/>
        <w:kinsoku/>
        <w:wordWrap/>
        <w:overflowPunct/>
        <w:topLinePunct w:val="0"/>
        <w:autoSpaceDE/>
        <w:autoSpaceDN/>
        <w:bidi w:val="0"/>
        <w:adjustRightInd/>
        <w:snapToGrid/>
        <w:spacing w:line="480" w:lineRule="auto"/>
        <w:ind w:firstLine="568" w:firstLineChars="200"/>
        <w:jc w:val="left"/>
        <w:textAlignment w:val="auto"/>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机构情况</w:t>
      </w:r>
    </w:p>
    <w:p>
      <w:pPr>
        <w:keepNext w:val="0"/>
        <w:keepLines w:val="0"/>
        <w:pageBreakBefore w:val="0"/>
        <w:kinsoku/>
        <w:wordWrap/>
        <w:overflowPunct/>
        <w:topLinePunct w:val="0"/>
        <w:autoSpaceDE/>
        <w:autoSpaceDN/>
        <w:bidi w:val="0"/>
        <w:adjustRightInd/>
        <w:snapToGrid/>
        <w:spacing w:line="480" w:lineRule="auto"/>
        <w:ind w:firstLine="568" w:firstLineChars="200"/>
        <w:jc w:val="left"/>
        <w:textAlignment w:val="auto"/>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2012年11月8日，市编办印发《关于市区城管执法体制和人员编制调整等问题的通知》（黄编办发[2012]69号），设立黄石港区城市管理局。</w:t>
      </w:r>
    </w:p>
    <w:p>
      <w:pPr>
        <w:keepNext w:val="0"/>
        <w:keepLines w:val="0"/>
        <w:pageBreakBefore w:val="0"/>
        <w:kinsoku/>
        <w:wordWrap/>
        <w:overflowPunct/>
        <w:topLinePunct w:val="0"/>
        <w:autoSpaceDE/>
        <w:autoSpaceDN/>
        <w:bidi w:val="0"/>
        <w:adjustRightInd/>
        <w:snapToGrid/>
        <w:spacing w:line="480" w:lineRule="auto"/>
        <w:ind w:firstLine="568" w:firstLineChars="200"/>
        <w:jc w:val="left"/>
        <w:textAlignment w:val="auto"/>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2012年4月，黄石港区委组织部印发文件，成立中共黄石港区城市管理局委员会。</w:t>
      </w:r>
    </w:p>
    <w:p>
      <w:pPr>
        <w:keepNext w:val="0"/>
        <w:keepLines w:val="0"/>
        <w:pageBreakBefore w:val="0"/>
        <w:kinsoku/>
        <w:wordWrap/>
        <w:overflowPunct/>
        <w:topLinePunct w:val="0"/>
        <w:autoSpaceDE/>
        <w:autoSpaceDN/>
        <w:bidi w:val="0"/>
        <w:adjustRightInd/>
        <w:snapToGrid/>
        <w:spacing w:line="480" w:lineRule="auto"/>
        <w:ind w:firstLine="568" w:firstLineChars="200"/>
        <w:jc w:val="left"/>
        <w:textAlignment w:val="auto"/>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2013年3月，开发区花湖地区社会管理事务整体移交，花湖市容中队并入我局管理，花湖控违中队由花湖街办管理。</w:t>
      </w:r>
    </w:p>
    <w:p>
      <w:pPr>
        <w:keepNext w:val="0"/>
        <w:keepLines w:val="0"/>
        <w:pageBreakBefore w:val="0"/>
        <w:kinsoku/>
        <w:wordWrap/>
        <w:overflowPunct/>
        <w:topLinePunct w:val="0"/>
        <w:autoSpaceDE/>
        <w:autoSpaceDN/>
        <w:bidi w:val="0"/>
        <w:adjustRightInd/>
        <w:snapToGrid/>
        <w:spacing w:line="480" w:lineRule="auto"/>
        <w:ind w:firstLine="568" w:firstLineChars="200"/>
        <w:jc w:val="left"/>
        <w:textAlignment w:val="auto"/>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2019年3月，因机构改革，我局改名为黄石港区城市管理执法局。</w:t>
      </w:r>
    </w:p>
    <w:p>
      <w:pPr>
        <w:keepNext w:val="0"/>
        <w:keepLines w:val="0"/>
        <w:pageBreakBefore w:val="0"/>
        <w:kinsoku/>
        <w:wordWrap/>
        <w:overflowPunct/>
        <w:topLinePunct w:val="0"/>
        <w:autoSpaceDE/>
        <w:autoSpaceDN/>
        <w:bidi w:val="0"/>
        <w:adjustRightInd/>
        <w:snapToGrid/>
        <w:spacing w:line="480" w:lineRule="auto"/>
        <w:ind w:firstLine="568" w:firstLineChars="200"/>
        <w:jc w:val="left"/>
        <w:textAlignment w:val="auto"/>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2019年5月，根据《黄石港区做强做实街道，构建新型新型条块关系试点改革方案》，黄石港中队下派至黄石港街道办事处，改名为黄石港街道城管执法中队。</w:t>
      </w:r>
    </w:p>
    <w:p>
      <w:pPr>
        <w:keepNext w:val="0"/>
        <w:keepLines w:val="0"/>
        <w:pageBreakBefore w:val="0"/>
        <w:kinsoku/>
        <w:wordWrap/>
        <w:overflowPunct/>
        <w:topLinePunct w:val="0"/>
        <w:autoSpaceDE/>
        <w:autoSpaceDN/>
        <w:bidi w:val="0"/>
        <w:adjustRightInd/>
        <w:snapToGrid/>
        <w:spacing w:line="480" w:lineRule="auto"/>
        <w:ind w:firstLine="568" w:firstLineChars="200"/>
        <w:jc w:val="left"/>
        <w:textAlignment w:val="auto"/>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2019年7月，根据《黄石港区全面推进城市管理执法体制改革实施方案》，我局执法体制改革全面落地，沈家营中队下派到沈家营街道办事处，改名为沈家营街道城管执法中队；胜阳港中队下派到胜阳港街道办事处，改名为胜阳港街道城管执法中队；花湖中队下派到花湖街道办事处，改名为花湖街道城管执法中队。</w:t>
      </w:r>
    </w:p>
    <w:p>
      <w:pPr>
        <w:keepNext w:val="0"/>
        <w:keepLines w:val="0"/>
        <w:pageBreakBefore w:val="0"/>
        <w:kinsoku/>
        <w:wordWrap/>
        <w:overflowPunct/>
        <w:topLinePunct w:val="0"/>
        <w:autoSpaceDE/>
        <w:autoSpaceDN/>
        <w:bidi w:val="0"/>
        <w:adjustRightInd/>
        <w:snapToGrid/>
        <w:spacing w:line="480" w:lineRule="auto"/>
        <w:ind w:firstLine="568" w:firstLineChars="200"/>
        <w:jc w:val="left"/>
        <w:textAlignment w:val="auto"/>
        <w:rPr>
          <w:rFonts w:hint="eastAsia" w:ascii="宋体" w:hAnsi="宋体" w:cs="宋体"/>
          <w:b w:val="0"/>
          <w:bCs/>
          <w:color w:val="000000"/>
          <w:spacing w:val="2"/>
          <w:sz w:val="28"/>
          <w:szCs w:val="28"/>
        </w:rPr>
      </w:pPr>
      <w:r>
        <w:rPr>
          <w:rFonts w:hint="eastAsia" w:ascii="宋体" w:hAnsi="宋体" w:cs="宋体"/>
          <w:b w:val="0"/>
          <w:bCs/>
          <w:color w:val="000000"/>
          <w:spacing w:val="2"/>
          <w:sz w:val="28"/>
          <w:szCs w:val="28"/>
          <w:lang w:eastAsia="zh-CN"/>
        </w:rPr>
        <w:t>（三）</w:t>
      </w:r>
      <w:r>
        <w:rPr>
          <w:rFonts w:hint="eastAsia" w:ascii="宋体" w:hAnsi="宋体" w:cs="宋体"/>
          <w:b w:val="0"/>
          <w:bCs/>
          <w:color w:val="000000"/>
          <w:spacing w:val="2"/>
          <w:sz w:val="28"/>
          <w:szCs w:val="28"/>
        </w:rPr>
        <w:t>人员情况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80" w:lineRule="auto"/>
        <w:ind w:right="0" w:firstLine="568" w:firstLineChars="200"/>
        <w:textAlignment w:val="auto"/>
        <w:rPr>
          <w:rFonts w:hint="eastAsia" w:ascii="宋体" w:hAnsi="宋体" w:cs="宋体" w:eastAsiaTheme="minorEastAsia"/>
          <w:b w:val="0"/>
          <w:bCs/>
          <w:color w:val="000000"/>
          <w:spacing w:val="2"/>
          <w:kern w:val="2"/>
          <w:sz w:val="28"/>
          <w:szCs w:val="28"/>
          <w:lang w:val="en-US" w:eastAsia="zh-CN" w:bidi="ar-SA"/>
        </w:rPr>
      </w:pPr>
      <w:r>
        <w:rPr>
          <w:rFonts w:hint="eastAsia" w:ascii="宋体" w:hAnsi="宋体" w:cs="宋体" w:eastAsiaTheme="minorEastAsia"/>
          <w:b w:val="0"/>
          <w:bCs/>
          <w:color w:val="000000"/>
          <w:spacing w:val="2"/>
          <w:kern w:val="2"/>
          <w:sz w:val="28"/>
          <w:szCs w:val="28"/>
          <w:lang w:val="en-US" w:eastAsia="zh-CN" w:bidi="ar-SA"/>
        </w:rPr>
        <w:t>我局为参公管理事业单位，年初在岗人员14人，年末在编在岗人员14人（含同工同酬退役士兵3人）。</w:t>
      </w:r>
    </w:p>
    <w:p>
      <w:pPr>
        <w:pStyle w:val="5"/>
        <w:widowControl/>
        <w:spacing w:before="76" w:beforeAutospacing="0" w:after="76" w:afterAutospacing="0" w:line="450" w:lineRule="atLeast"/>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2022年部门决算表</w:t>
      </w: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一、收入支出决算总表</w:t>
      </w:r>
    </w:p>
    <w:p>
      <w:pPr>
        <w:pStyle w:val="5"/>
        <w:widowControl/>
        <w:spacing w:before="76" w:beforeAutospacing="0" w:after="76" w:afterAutospacing="0" w:line="450" w:lineRule="atLeast"/>
        <w:rPr>
          <w:rFonts w:hint="eastAsia" w:ascii="微软雅黑" w:hAnsi="微软雅黑" w:eastAsia="微软雅黑" w:cs="微软雅黑"/>
          <w:b/>
          <w:bCs/>
          <w:lang w:val="en-US" w:eastAsia="zh-CN"/>
        </w:rPr>
      </w:pPr>
    </w:p>
    <w:tbl>
      <w:tblPr>
        <w:tblStyle w:val="6"/>
        <w:tblW w:w="144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27"/>
        <w:gridCol w:w="656"/>
        <w:gridCol w:w="2310"/>
        <w:gridCol w:w="4327"/>
        <w:gridCol w:w="656"/>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3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8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10" w:type="dxa"/>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收入支出决算总表</w:t>
            </w:r>
          </w:p>
        </w:tc>
        <w:tc>
          <w:tcPr>
            <w:tcW w:w="43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8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1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部门：黄石市黄石港区城市管理执法局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4,308.27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1,713.70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6,021.96</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6,023.44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1"/>
        </w:numPr>
        <w:adjustRightInd w:val="0"/>
        <w:snapToGrid w:val="0"/>
        <w:spacing w:line="580" w:lineRule="atLeast"/>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收入决算表</w:t>
      </w:r>
    </w:p>
    <w:p>
      <w:pPr>
        <w:bidi w:val="0"/>
        <w:rPr>
          <w:rFonts w:hint="eastAsia"/>
        </w:rPr>
      </w:pPr>
    </w:p>
    <w:p>
      <w:r>
        <w:drawing>
          <wp:inline distT="0" distB="0" distL="114300" distR="114300">
            <wp:extent cx="8853170" cy="4403090"/>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853170" cy="4403090"/>
                    </a:xfrm>
                    <a:prstGeom prst="rect">
                      <a:avLst/>
                    </a:prstGeom>
                    <a:noFill/>
                    <a:ln>
                      <a:noFill/>
                    </a:ln>
                  </pic:spPr>
                </pic:pic>
              </a:graphicData>
            </a:graphic>
          </wp:inline>
        </w:drawing>
      </w:r>
    </w:p>
    <w:p>
      <w:pPr>
        <w:numPr>
          <w:ilvl w:val="0"/>
          <w:numId w:val="1"/>
        </w:numPr>
        <w:adjustRightInd w:val="0"/>
        <w:snapToGrid w:val="0"/>
        <w:spacing w:line="580" w:lineRule="atLeast"/>
        <w:ind w:left="0" w:leftChars="0" w:firstLine="0" w:firstLineChars="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支出决算表</w:t>
      </w:r>
    </w:p>
    <w:p>
      <w:pPr>
        <w:numPr>
          <w:ilvl w:val="0"/>
          <w:numId w:val="0"/>
        </w:numPr>
        <w:adjustRightInd w:val="0"/>
        <w:snapToGrid w:val="0"/>
        <w:spacing w:line="580" w:lineRule="atLeast"/>
        <w:ind w:leftChars="0"/>
        <w:rPr>
          <w:rFonts w:hint="eastAsia" w:ascii="楷体" w:hAnsi="楷体" w:eastAsia="楷体" w:cs="楷体"/>
          <w:bCs/>
          <w:sz w:val="32"/>
          <w:szCs w:val="32"/>
          <w:highlight w:val="none"/>
          <w:u w:val="none"/>
        </w:rPr>
      </w:pPr>
      <w:r>
        <w:drawing>
          <wp:inline distT="0" distB="0" distL="114300" distR="114300">
            <wp:extent cx="8853170" cy="4454525"/>
            <wp:effectExtent l="0" t="0" r="127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53170" cy="4454525"/>
                    </a:xfrm>
                    <a:prstGeom prst="rect">
                      <a:avLst/>
                    </a:prstGeom>
                    <a:noFill/>
                    <a:ln>
                      <a:noFill/>
                    </a:ln>
                  </pic:spPr>
                </pic:pic>
              </a:graphicData>
            </a:graphic>
          </wp:inline>
        </w:drawing>
      </w:r>
    </w:p>
    <w:p/>
    <w:p/>
    <w:p>
      <w:pPr>
        <w:numPr>
          <w:ilvl w:val="0"/>
          <w:numId w:val="1"/>
        </w:numPr>
        <w:adjustRightInd w:val="0"/>
        <w:snapToGrid w:val="0"/>
        <w:spacing w:line="580" w:lineRule="atLeast"/>
        <w:ind w:left="0" w:leftChars="0" w:firstLine="0" w:firstLineChars="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财政拨款收入支出决算总表</w:t>
      </w:r>
    </w:p>
    <w:p>
      <w:pPr>
        <w:numPr>
          <w:ilvl w:val="0"/>
          <w:numId w:val="0"/>
        </w:numPr>
        <w:adjustRightInd w:val="0"/>
        <w:snapToGrid w:val="0"/>
        <w:spacing w:line="580" w:lineRule="atLeast"/>
        <w:ind w:leftChars="0"/>
        <w:rPr>
          <w:rFonts w:hint="eastAsia" w:ascii="楷体" w:hAnsi="楷体" w:eastAsia="楷体" w:cs="楷体"/>
          <w:bCs/>
          <w:sz w:val="32"/>
          <w:szCs w:val="32"/>
          <w:highlight w:val="none"/>
          <w:u w:val="none"/>
        </w:rPr>
      </w:pPr>
      <w:r>
        <w:drawing>
          <wp:inline distT="0" distB="0" distL="114300" distR="114300">
            <wp:extent cx="8322310" cy="4861560"/>
            <wp:effectExtent l="0" t="0" r="139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322310" cy="4861560"/>
                    </a:xfrm>
                    <a:prstGeom prst="rect">
                      <a:avLst/>
                    </a:prstGeom>
                    <a:noFill/>
                    <a:ln>
                      <a:noFill/>
                    </a:ln>
                  </pic:spPr>
                </pic:pic>
              </a:graphicData>
            </a:graphic>
          </wp:inline>
        </w:drawing>
      </w:r>
    </w:p>
    <w:p>
      <w:pPr>
        <w:numPr>
          <w:ilvl w:val="0"/>
          <w:numId w:val="2"/>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一般公共预算财政拨款支出决算表</w:t>
      </w: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r>
        <w:drawing>
          <wp:inline distT="0" distB="0" distL="114300" distR="114300">
            <wp:extent cx="8709025" cy="4147820"/>
            <wp:effectExtent l="0" t="0" r="8255"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709025" cy="4147820"/>
                    </a:xfrm>
                    <a:prstGeom prst="rect">
                      <a:avLst/>
                    </a:prstGeom>
                    <a:noFill/>
                    <a:ln>
                      <a:noFill/>
                    </a:ln>
                  </pic:spPr>
                </pic:pic>
              </a:graphicData>
            </a:graphic>
          </wp:inline>
        </w:drawing>
      </w:r>
    </w:p>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一般公共预算财政拨款基本支出决算</w:t>
      </w:r>
      <w:r>
        <w:rPr>
          <w:rFonts w:hint="eastAsia" w:ascii="楷体" w:hAnsi="楷体" w:eastAsia="楷体" w:cs="楷体"/>
          <w:bCs/>
          <w:sz w:val="32"/>
          <w:szCs w:val="32"/>
          <w:highlight w:val="none"/>
          <w:u w:val="none"/>
          <w:lang w:eastAsia="zh-CN"/>
        </w:rPr>
        <w:t>明细</w:t>
      </w:r>
      <w:r>
        <w:rPr>
          <w:rFonts w:hint="eastAsia" w:ascii="楷体" w:hAnsi="楷体" w:eastAsia="楷体" w:cs="楷体"/>
          <w:bCs/>
          <w:sz w:val="32"/>
          <w:szCs w:val="32"/>
          <w:highlight w:val="none"/>
          <w:u w:val="none"/>
        </w:rPr>
        <w:t>表</w:t>
      </w: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r>
        <w:drawing>
          <wp:inline distT="0" distB="0" distL="114300" distR="114300">
            <wp:extent cx="8481060" cy="479298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8481060" cy="4792980"/>
                    </a:xfrm>
                    <a:prstGeom prst="rect">
                      <a:avLst/>
                    </a:prstGeom>
                    <a:noFill/>
                    <a:ln>
                      <a:noFill/>
                    </a:ln>
                  </pic:spPr>
                </pic:pic>
              </a:graphicData>
            </a:graphic>
          </wp:inline>
        </w:drawing>
      </w: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一般公共预算财政拨款“三公”经费支出决算表</w:t>
      </w:r>
    </w:p>
    <w:p>
      <w:r>
        <w:drawing>
          <wp:inline distT="0" distB="0" distL="114300" distR="114300">
            <wp:extent cx="8857615" cy="2579370"/>
            <wp:effectExtent l="0" t="0" r="12065"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rcRect b="11687"/>
                    <a:stretch>
                      <a:fillRect/>
                    </a:stretch>
                  </pic:blipFill>
                  <pic:spPr>
                    <a:xfrm>
                      <a:off x="0" y="0"/>
                      <a:ext cx="8857615" cy="2579370"/>
                    </a:xfrm>
                    <a:prstGeom prst="rect">
                      <a:avLst/>
                    </a:prstGeom>
                    <a:noFill/>
                    <a:ln>
                      <a:noFill/>
                    </a:ln>
                  </pic:spPr>
                </pic:pic>
              </a:graphicData>
            </a:graphic>
          </wp:inline>
        </w:drawing>
      </w:r>
    </w:p>
    <w:p/>
    <w:p/>
    <w:p/>
    <w:p/>
    <w:p/>
    <w:p/>
    <w:p/>
    <w:p/>
    <w:p/>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政府性基金预算财政拨款收入支出决算表</w:t>
      </w: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tbl>
      <w:tblPr>
        <w:tblStyle w:val="6"/>
        <w:tblpPr w:leftFromText="180" w:rightFromText="180" w:vertAnchor="text" w:horzAnchor="page" w:tblpX="1772" w:tblpY="91"/>
        <w:tblOverlap w:val="never"/>
        <w:tblW w:w="13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78"/>
        <w:gridCol w:w="253"/>
        <w:gridCol w:w="253"/>
        <w:gridCol w:w="1161"/>
        <w:gridCol w:w="1399"/>
        <w:gridCol w:w="699"/>
        <w:gridCol w:w="699"/>
        <w:gridCol w:w="699"/>
        <w:gridCol w:w="699"/>
        <w:gridCol w:w="2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trPr>
        <w:tc>
          <w:tcPr>
            <w:tcW w:w="13280" w:type="dxa"/>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527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6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9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4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5278"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部门：黄石市黄石港区城市管理执法局</w:t>
            </w:r>
          </w:p>
        </w:tc>
        <w:tc>
          <w:tcPr>
            <w:tcW w:w="25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5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560"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69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9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9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9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140"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94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39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69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2097"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21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8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16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9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69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1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8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61"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8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61"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3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94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3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945"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99"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jc w:val="center"/>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w:t>
            </w:r>
          </w:p>
        </w:tc>
        <w:tc>
          <w:tcPr>
            <w:tcW w:w="699" w:type="dxa"/>
            <w:tcBorders>
              <w:top w:val="nil"/>
              <w:left w:val="nil"/>
              <w:bottom w:val="single" w:color="000000" w:sz="4" w:space="0"/>
              <w:right w:val="single" w:color="000000" w:sz="4" w:space="0"/>
            </w:tcBorders>
            <w:shd w:val="clear" w:color="auto" w:fill="FFFFFF"/>
            <w:noWrap/>
            <w:vAlign w:val="center"/>
          </w:tcPr>
          <w:p>
            <w:pPr>
              <w:jc w:val="center"/>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tabs>
                <w:tab w:val="left" w:pos="457"/>
              </w:tabs>
              <w:jc w:val="center"/>
              <w:rPr>
                <w:rFonts w:hint="eastAsia" w:ascii="宋体" w:hAnsi="宋体" w:eastAsia="宋体" w:cs="宋体"/>
                <w:b/>
                <w:bCs/>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tabs>
                <w:tab w:val="left" w:pos="354"/>
              </w:tabs>
              <w:jc w:val="center"/>
              <w:rPr>
                <w:rFonts w:hint="eastAsia" w:ascii="宋体" w:hAnsi="宋体" w:eastAsia="宋体" w:cs="宋体"/>
                <w:b/>
                <w:bCs/>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w:t>
            </w:r>
          </w:p>
        </w:tc>
        <w:tc>
          <w:tcPr>
            <w:tcW w:w="2140" w:type="dxa"/>
            <w:tcBorders>
              <w:top w:val="nil"/>
              <w:left w:val="nil"/>
              <w:bottom w:val="single" w:color="000000" w:sz="4" w:space="0"/>
              <w:right w:val="single" w:color="000000" w:sz="4" w:space="0"/>
            </w:tcBorders>
            <w:shd w:val="clear" w:color="auto" w:fill="FFFFFF"/>
            <w:noWrap/>
            <w:vAlign w:val="center"/>
          </w:tcPr>
          <w:p>
            <w:pPr>
              <w:tabs>
                <w:tab w:val="left" w:pos="523"/>
              </w:tabs>
              <w:jc w:val="center"/>
              <w:rPr>
                <w:rFonts w:hint="eastAsia" w:ascii="宋体" w:hAnsi="宋体" w:eastAsia="宋体" w:cs="宋体"/>
                <w:b/>
                <w:bCs/>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84"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61" w:type="dxa"/>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99"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99"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140"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3280"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附注</w:t>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我部门无此项内容，本表无数据。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bl>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
    <w:p/>
    <w:p/>
    <w:p/>
    <w:p/>
    <w:p>
      <w:pPr>
        <w:ind w:firstLine="640"/>
        <w:jc w:val="both"/>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lang w:eastAsia="zh-CN"/>
        </w:rPr>
        <w:t>九、</w:t>
      </w:r>
      <w:r>
        <w:rPr>
          <w:rFonts w:hint="eastAsia" w:ascii="楷体" w:hAnsi="楷体" w:eastAsia="楷体" w:cs="楷体"/>
          <w:bCs/>
          <w:sz w:val="32"/>
          <w:szCs w:val="32"/>
          <w:highlight w:val="none"/>
          <w:u w:val="none"/>
        </w:rPr>
        <w:t>国有资本经营预算财政拨款支出决算表</w:t>
      </w:r>
    </w:p>
    <w:p/>
    <w:p>
      <w:pPr>
        <w:keepNext w:val="0"/>
        <w:keepLines w:val="0"/>
        <w:widowControl/>
        <w:suppressLineNumbers w:val="0"/>
        <w:jc w:val="left"/>
      </w:pPr>
    </w:p>
    <w:tbl>
      <w:tblPr>
        <w:tblStyle w:val="6"/>
        <w:tblW w:w="127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56"/>
        <w:gridCol w:w="329"/>
        <w:gridCol w:w="439"/>
        <w:gridCol w:w="2274"/>
        <w:gridCol w:w="3215"/>
        <w:gridCol w:w="1677"/>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307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3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928"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c>
          <w:tcPr>
            <w:tcW w:w="16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部门：黄石市黄石港区城市管理执法局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271"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26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83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7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7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26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83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26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83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附注</w:t>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我部门无此项内容，本表无数据。</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bl>
    <w:p/>
    <w:p/>
    <w:p/>
    <w:p/>
    <w:p/>
    <w:p/>
    <w:p/>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第三部分  2022年度部门决算情况说明</w:t>
      </w:r>
    </w:p>
    <w:p>
      <w:pPr>
        <w:adjustRightInd w:val="0"/>
        <w:snapToGrid w:val="0"/>
        <w:spacing w:line="580" w:lineRule="atLeast"/>
        <w:ind w:firstLine="640" w:firstLine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一、收入支出决算总体情况说明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2022年度收、支总计均为</w:t>
      </w:r>
      <w:r>
        <w:rPr>
          <w:rFonts w:hint="eastAsia" w:ascii="仿宋_GB2312" w:hAnsi="仿宋_GB2312" w:eastAsia="仿宋_GB2312" w:cs="仿宋_GB2312"/>
          <w:bCs/>
          <w:sz w:val="32"/>
          <w:szCs w:val="32"/>
          <w:highlight w:val="none"/>
          <w:u w:val="single"/>
          <w:lang w:val="en-US" w:eastAsia="zh-CN"/>
        </w:rPr>
        <w:t xml:space="preserve"> 6023.44 </w:t>
      </w:r>
      <w:r>
        <w:rPr>
          <w:rFonts w:hint="eastAsia" w:ascii="仿宋_GB2312" w:hAnsi="仿宋_GB2312" w:eastAsia="仿宋_GB2312" w:cs="仿宋_GB2312"/>
          <w:bCs/>
          <w:sz w:val="32"/>
          <w:szCs w:val="32"/>
          <w:highlight w:val="none"/>
          <w:lang w:val="en-US" w:eastAsia="zh-CN"/>
        </w:rPr>
        <w:t>万元。与2021年度相比，收、支总计各增加(减少)</w:t>
      </w:r>
      <w:r>
        <w:rPr>
          <w:rFonts w:hint="eastAsia" w:ascii="仿宋_GB2312" w:hAnsi="仿宋_GB2312" w:eastAsia="仿宋_GB2312" w:cs="仿宋_GB2312"/>
          <w:bCs/>
          <w:sz w:val="32"/>
          <w:szCs w:val="32"/>
          <w:highlight w:val="none"/>
          <w:u w:val="single"/>
          <w:lang w:val="en-US" w:eastAsia="zh-CN"/>
        </w:rPr>
        <w:t xml:space="preserve"> 1655.33   </w:t>
      </w:r>
      <w:r>
        <w:rPr>
          <w:rFonts w:hint="eastAsia" w:ascii="仿宋_GB2312" w:hAnsi="仿宋_GB2312" w:eastAsia="仿宋_GB2312" w:cs="仿宋_GB2312"/>
          <w:bCs/>
          <w:sz w:val="32"/>
          <w:szCs w:val="32"/>
          <w:highlight w:val="none"/>
          <w:lang w:val="en-US" w:eastAsia="zh-CN"/>
        </w:rPr>
        <w:t>万元，增长(下降)</w:t>
      </w:r>
      <w:r>
        <w:rPr>
          <w:rFonts w:hint="eastAsia" w:ascii="仿宋_GB2312" w:hAnsi="仿宋_GB2312" w:eastAsia="仿宋_GB2312" w:cs="仿宋_GB2312"/>
          <w:bCs/>
          <w:sz w:val="32"/>
          <w:szCs w:val="32"/>
          <w:highlight w:val="none"/>
          <w:u w:val="single"/>
          <w:lang w:val="en-US" w:eastAsia="zh-CN"/>
        </w:rPr>
        <w:t xml:space="preserve">  27.48  </w:t>
      </w:r>
      <w:r>
        <w:rPr>
          <w:rFonts w:hint="eastAsia" w:ascii="仿宋_GB2312" w:hAnsi="仿宋_GB2312" w:eastAsia="仿宋_GB2312" w:cs="仿宋_GB2312"/>
          <w:bCs/>
          <w:sz w:val="32"/>
          <w:szCs w:val="32"/>
          <w:highlight w:val="none"/>
          <w:lang w:val="en-US" w:eastAsia="zh-CN"/>
        </w:rPr>
        <w:t xml:space="preserve"> %，主要原因是业务量增加。</w:t>
      </w: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二、收入决算情况说明</w:t>
      </w:r>
    </w:p>
    <w:p>
      <w:pPr>
        <w:adjustRightInd w:val="0"/>
        <w:snapToGrid w:val="0"/>
        <w:spacing w:line="580" w:lineRule="atLeast"/>
        <w:ind w:firstLine="420" w:firstLineChars="200"/>
        <w:rPr>
          <w:rFonts w:hint="eastAsia" w:ascii="仿宋_GB2312" w:hAnsi="仿宋_GB2312" w:eastAsia="仿宋_GB2312" w:cs="仿宋_GB2312"/>
          <w:bCs/>
          <w:sz w:val="32"/>
          <w:szCs w:val="32"/>
          <w:highlight w:val="none"/>
          <w:lang w:val="en-US" w:eastAsia="zh-CN"/>
        </w:rPr>
      </w:pPr>
      <w:r>
        <w:rPr>
          <w:rFonts w:hint="eastAsia" w:ascii="仿宋_GB2312" w:hAnsi="宋体"/>
          <w:bCs/>
          <w:szCs w:val="32"/>
          <w:highlight w:val="none"/>
          <w:lang w:val="en-US" w:eastAsia="zh-CN"/>
        </w:rPr>
        <w:t xml:space="preserve">  </w:t>
      </w:r>
      <w:r>
        <w:rPr>
          <w:rFonts w:hint="eastAsia" w:ascii="仿宋_GB2312" w:hAnsi="仿宋_GB2312" w:eastAsia="仿宋_GB2312" w:cs="仿宋_GB2312"/>
          <w:bCs/>
          <w:sz w:val="32"/>
          <w:szCs w:val="32"/>
          <w:highlight w:val="none"/>
          <w:lang w:val="en-US" w:eastAsia="zh-CN"/>
        </w:rPr>
        <w:t xml:space="preserve"> 2022年度收入合计6021.96万元，与2021年度相比，收入合计增加(减少) 1655.32万元，增长(下降)27.49 %。其中：财政拨款收入4308.27  万元，占本年收入71.54  %；上级补助收入 0  万元，占本年收入 0 %；事业收入 0 万元，占本年收入 0 %；经营收入 0 万元，占本年收入 0 %；附属单位上缴收入 0 万元，占本年收入 0 %，主要原因是我单位无相关收入支出；其他收入 1713.7万元，占本年收入28.46%。</w:t>
      </w: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三、支出决算情况说明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2022年度支出合计6021.96万元，与2021年度相比，支出合计增加(减少) 1655.32 万元，增长(下降)  27.49 %。其中：基本支出 6021.96 万元，占本年支出 100 %；项目支出 0 万元，占本年支出 0 %；上缴上级支出 0 万元，占本年支出 0 %；经营支出 0 万元，占本年支出 0 %；对附属单位补助支出 0 万元，占本年支出 0 %。主要原因是我单位无相关收入支出。</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numPr>
          <w:ilvl w:val="0"/>
          <w:numId w:val="0"/>
        </w:numPr>
        <w:bidi w:val="0"/>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四、财政拨款收入支出决算总体情况说明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2022年度财政拨款收、支总计均为6023.44 万元。与2021年度相比，财政拨款收、支总计各增加(减少)1656.8万元，增长(下降) 27.5 %。主要原因是业务量增加。</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2022年度财政拨款收入中，一般公共预算财政拨款收入4038.27万元，比2021年度决算数增加（减少）358.62万元。增加（减少）主要原因是业务量增加。政府性基金预算财政拨款收入 0 万元，比2021年度决算数增加（减少） 0 万元。增加（减少）主要原因无。国有资本经营预算财政拨款收入 0 万元，比2021年度决算数增加（减少） 0 万元。增加（减少）主要原因无。</w:t>
      </w: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五、一般公共预算财政拨款支出决算情况说明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rPr>
        <w:t>（一）</w:t>
      </w: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财政拨款支出决算总体情况。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rPr>
      </w:pP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w:t>
      </w:r>
      <w:r>
        <w:rPr>
          <w:rFonts w:hint="eastAsia" w:ascii="仿宋_GB2312" w:eastAsia="仿宋_GB2312"/>
          <w:bCs/>
          <w:kern w:val="44"/>
          <w:sz w:val="32"/>
          <w:szCs w:val="32"/>
          <w:highlight w:val="none"/>
        </w:rPr>
        <w:t>款支出</w:t>
      </w:r>
      <w:r>
        <w:rPr>
          <w:rFonts w:hint="eastAsia" w:ascii="仿宋_GB2312" w:eastAsia="仿宋_GB2312"/>
          <w:bCs/>
          <w:kern w:val="44"/>
          <w:sz w:val="32"/>
          <w:szCs w:val="32"/>
          <w:highlight w:val="none"/>
          <w:u w:val="single"/>
        </w:rPr>
        <w:t xml:space="preserve"> 4308.27  </w:t>
      </w:r>
      <w:r>
        <w:rPr>
          <w:rFonts w:hint="eastAsia" w:ascii="仿宋_GB2312" w:eastAsia="仿宋_GB2312"/>
          <w:bCs/>
          <w:kern w:val="44"/>
          <w:sz w:val="32"/>
          <w:szCs w:val="32"/>
          <w:highlight w:val="none"/>
        </w:rPr>
        <w:t>万元，占本年支出合计的</w:t>
      </w:r>
      <w:r>
        <w:rPr>
          <w:rFonts w:hint="eastAsia" w:ascii="仿宋_GB2312" w:eastAsia="仿宋_GB2312"/>
          <w:bCs/>
          <w:kern w:val="44"/>
          <w:sz w:val="32"/>
          <w:szCs w:val="32"/>
          <w:highlight w:val="none"/>
          <w:u w:val="single"/>
          <w:lang w:val="en-US" w:eastAsia="zh-CN"/>
        </w:rPr>
        <w:t xml:space="preserve"> 67.05</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%。与</w:t>
      </w: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1</w:t>
      </w:r>
      <w:r>
        <w:rPr>
          <w:rFonts w:hint="eastAsia" w:ascii="仿宋_GB2312"/>
          <w:bCs/>
          <w:kern w:val="44"/>
          <w:sz w:val="32"/>
          <w:szCs w:val="32"/>
          <w:highlight w:val="none"/>
          <w:lang w:eastAsia="zh-CN"/>
        </w:rPr>
        <w:t>年</w:t>
      </w:r>
      <w:r>
        <w:rPr>
          <w:rFonts w:hint="eastAsia" w:ascii="仿宋_GB2312" w:eastAsia="仿宋_GB2312"/>
          <w:bCs/>
          <w:kern w:val="44"/>
          <w:sz w:val="32"/>
          <w:szCs w:val="32"/>
          <w:highlight w:val="none"/>
          <w:lang w:eastAsia="zh-CN"/>
        </w:rPr>
        <w:t>度</w:t>
      </w:r>
      <w:r>
        <w:rPr>
          <w:rFonts w:hint="eastAsia" w:ascii="仿宋_GB2312" w:eastAsia="仿宋_GB2312"/>
          <w:bCs/>
          <w:kern w:val="44"/>
          <w:sz w:val="32"/>
          <w:szCs w:val="32"/>
          <w:highlight w:val="none"/>
        </w:rPr>
        <w:t>相比，</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eastAsia="仿宋_GB2312"/>
          <w:bCs/>
          <w:kern w:val="44"/>
          <w:sz w:val="32"/>
          <w:szCs w:val="32"/>
          <w:highlight w:val="none"/>
        </w:rPr>
        <w:t>财政拨款支出增加(减少)</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628.62</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万元，增长(</w:t>
      </w:r>
      <w:r>
        <w:rPr>
          <w:rFonts w:hint="eastAsia" w:ascii="仿宋_GB2312" w:eastAsia="仿宋_GB2312"/>
          <w:bCs/>
          <w:kern w:val="44"/>
          <w:sz w:val="32"/>
          <w:szCs w:val="32"/>
          <w:highlight w:val="none"/>
          <w:lang w:eastAsia="zh-CN"/>
        </w:rPr>
        <w:t>下降</w:t>
      </w:r>
      <w:r>
        <w:rPr>
          <w:rFonts w:hint="eastAsia" w:ascii="仿宋_GB2312" w:eastAsia="仿宋_GB2312"/>
          <w:bCs/>
          <w:kern w:val="44"/>
          <w:sz w:val="32"/>
          <w:szCs w:val="32"/>
          <w:highlight w:val="none"/>
        </w:rPr>
        <w:t>)</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14.59</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%。主要原因是</w:t>
      </w:r>
      <w:r>
        <w:rPr>
          <w:rFonts w:hint="eastAsia" w:ascii="仿宋_GB2312" w:hAnsi="仿宋_GB2312" w:eastAsia="仿宋_GB2312" w:cs="仿宋_GB2312"/>
          <w:bCs/>
          <w:sz w:val="32"/>
          <w:szCs w:val="32"/>
          <w:highlight w:val="none"/>
          <w:lang w:val="en-US" w:eastAsia="zh-CN"/>
        </w:rPr>
        <w:t>业务量增加</w:t>
      </w:r>
      <w:r>
        <w:rPr>
          <w:rFonts w:hint="eastAsia" w:ascii="仿宋_GB2312" w:eastAsia="仿宋_GB2312"/>
          <w:bCs/>
          <w:kern w:val="44"/>
          <w:sz w:val="32"/>
          <w:szCs w:val="32"/>
          <w:highlight w:val="none"/>
        </w:rPr>
        <w:t>。</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财政拨款支出决算结构情况。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eastAsia="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 xml:space="preserve">财政拨款支出 </w:t>
      </w:r>
      <w:r>
        <w:rPr>
          <w:rFonts w:hint="eastAsia" w:ascii="仿宋_GB2312" w:hAnsi="仿宋_GB2312" w:eastAsia="仿宋_GB2312" w:cs="仿宋_GB2312"/>
          <w:bCs/>
          <w:kern w:val="44"/>
          <w:sz w:val="32"/>
          <w:szCs w:val="32"/>
          <w:highlight w:val="none"/>
          <w:lang w:val="en-US" w:eastAsia="zh-CN"/>
        </w:rPr>
        <w:t>4308.27</w:t>
      </w:r>
      <w:r>
        <w:rPr>
          <w:rFonts w:hint="eastAsia" w:ascii="仿宋_GB2312" w:hAnsi="仿宋_GB2312" w:eastAsia="仿宋_GB2312" w:cs="仿宋_GB2312"/>
          <w:bCs/>
          <w:kern w:val="44"/>
          <w:sz w:val="32"/>
          <w:szCs w:val="32"/>
          <w:highlight w:val="none"/>
        </w:rPr>
        <w:t xml:space="preserve"> 万元，主要用于以下方面：</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1.</w:t>
      </w:r>
      <w:r>
        <w:rPr>
          <w:rFonts w:hint="eastAsia" w:ascii="仿宋_GB2312" w:hAnsi="仿宋_GB2312" w:eastAsia="仿宋_GB2312" w:cs="仿宋_GB2312"/>
          <w:bCs/>
          <w:kern w:val="44"/>
          <w:sz w:val="32"/>
          <w:szCs w:val="32"/>
          <w:highlight w:val="none"/>
        </w:rPr>
        <w:t xml:space="preserve">一般公共服务（类）支出 </w:t>
      </w:r>
      <w:r>
        <w:rPr>
          <w:rFonts w:hint="eastAsia" w:ascii="仿宋_GB2312" w:hAnsi="仿宋_GB2312" w:eastAsia="仿宋_GB2312" w:cs="仿宋_GB2312"/>
          <w:bCs/>
          <w:kern w:val="44"/>
          <w:sz w:val="32"/>
          <w:szCs w:val="32"/>
          <w:highlight w:val="none"/>
          <w:lang w:val="en-US" w:eastAsia="zh-CN"/>
        </w:rPr>
        <w:t>4308.27</w:t>
      </w:r>
      <w:r>
        <w:rPr>
          <w:rFonts w:hint="eastAsia" w:ascii="仿宋_GB2312" w:hAnsi="仿宋_GB2312" w:eastAsia="仿宋_GB2312" w:cs="仿宋_GB2312"/>
          <w:bCs/>
          <w:kern w:val="44"/>
          <w:sz w:val="32"/>
          <w:szCs w:val="32"/>
          <w:highlight w:val="none"/>
        </w:rPr>
        <w:t xml:space="preserve"> 万元，占</w:t>
      </w:r>
      <w:r>
        <w:rPr>
          <w:rFonts w:hint="eastAsia" w:ascii="仿宋_GB2312" w:hAnsi="仿宋_GB2312" w:eastAsia="仿宋_GB2312" w:cs="仿宋_GB2312"/>
          <w:bCs/>
          <w:kern w:val="44"/>
          <w:sz w:val="32"/>
          <w:szCs w:val="32"/>
          <w:highlight w:val="none"/>
          <w:lang w:val="en-US" w:eastAsia="zh-CN"/>
        </w:rPr>
        <w:t>100</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eastAsia="zh-CN"/>
        </w:rPr>
        <w:t>。其中：城乡社区管理事务支出2946.7万元，</w:t>
      </w:r>
      <w:r>
        <w:rPr>
          <w:rFonts w:hint="eastAsia" w:ascii="仿宋_GB2312" w:hAnsi="仿宋_GB2312" w:eastAsia="仿宋_GB2312" w:cs="仿宋_GB2312"/>
          <w:bCs/>
          <w:sz w:val="32"/>
          <w:szCs w:val="32"/>
          <w:highlight w:val="none"/>
          <w:lang w:val="en-US" w:eastAsia="zh-CN"/>
        </w:rPr>
        <w:t>占本年支出68.4%</w:t>
      </w:r>
      <w:r>
        <w:rPr>
          <w:rFonts w:hint="eastAsia" w:ascii="仿宋_GB2312" w:hAnsi="仿宋_GB2312" w:eastAsia="仿宋_GB2312" w:cs="仿宋_GB2312"/>
          <w:bCs/>
          <w:kern w:val="44"/>
          <w:sz w:val="32"/>
          <w:szCs w:val="32"/>
          <w:highlight w:val="none"/>
          <w:lang w:eastAsia="zh-CN"/>
        </w:rPr>
        <w:t>，其他城乡社区支出1361.57万元，</w:t>
      </w:r>
      <w:r>
        <w:rPr>
          <w:rFonts w:hint="eastAsia" w:ascii="仿宋_GB2312" w:hAnsi="仿宋_GB2312" w:eastAsia="仿宋_GB2312" w:cs="仿宋_GB2312"/>
          <w:bCs/>
          <w:sz w:val="32"/>
          <w:szCs w:val="32"/>
          <w:highlight w:val="none"/>
          <w:lang w:val="en-US" w:eastAsia="zh-CN"/>
        </w:rPr>
        <w:t>占本年支出31.6%</w:t>
      </w:r>
      <w:r>
        <w:rPr>
          <w:rFonts w:hint="eastAsia" w:ascii="仿宋_GB2312" w:hAnsi="仿宋_GB2312" w:eastAsia="仿宋_GB2312" w:cs="仿宋_GB2312"/>
          <w:bCs/>
          <w:kern w:val="44"/>
          <w:sz w:val="32"/>
          <w:szCs w:val="32"/>
          <w:highlight w:val="none"/>
          <w:lang w:eastAsia="zh-CN"/>
        </w:rPr>
        <w:t>。主要是用于</w:t>
      </w:r>
      <w:r>
        <w:rPr>
          <w:rFonts w:hint="eastAsia" w:ascii="仿宋_GB2312" w:hAnsi="仿宋_GB2312" w:eastAsia="仿宋_GB2312" w:cs="仿宋_GB2312"/>
          <w:bCs/>
          <w:kern w:val="44"/>
          <w:sz w:val="32"/>
          <w:szCs w:val="32"/>
          <w:highlight w:val="none"/>
        </w:rPr>
        <w:t>行政运行</w:t>
      </w:r>
      <w:r>
        <w:rPr>
          <w:rFonts w:hint="eastAsia" w:ascii="仿宋_GB2312" w:hAnsi="仿宋_GB2312" w:eastAsia="仿宋_GB2312" w:cs="仿宋_GB2312"/>
          <w:bCs/>
          <w:kern w:val="44"/>
          <w:sz w:val="32"/>
          <w:szCs w:val="32"/>
          <w:highlight w:val="none"/>
          <w:lang w:eastAsia="zh-CN"/>
        </w:rPr>
        <w:t>、一般行政管理事务、城管执法、其他城乡社区管理事务支出。</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lang w:eastAsia="zh-CN"/>
        </w:rPr>
      </w:pPr>
      <w:r>
        <w:rPr>
          <w:rFonts w:hint="eastAsia" w:ascii="楷体_GB2312" w:hAnsi="楷体_GB2312" w:eastAsia="楷体_GB2312" w:cs="楷体_GB2312"/>
          <w:bCs/>
          <w:kern w:val="44"/>
          <w:sz w:val="32"/>
          <w:szCs w:val="32"/>
          <w:highlight w:val="none"/>
          <w:lang w:eastAsia="zh-CN"/>
        </w:rPr>
        <w:t>财政拨款支出决算具体情况。</w:t>
      </w:r>
    </w:p>
    <w:p>
      <w:pPr>
        <w:numPr>
          <w:ilvl w:val="0"/>
          <w:numId w:val="0"/>
        </w:numPr>
        <w:bidi w:val="0"/>
        <w:ind w:left="640" w:leftChars="0"/>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年度</w:t>
      </w:r>
      <w:r>
        <w:rPr>
          <w:rFonts w:hint="eastAsia" w:ascii="仿宋_GB2312" w:hAnsi="仿宋_GB2312" w:eastAsia="仿宋_GB2312" w:cs="仿宋_GB2312"/>
          <w:bCs/>
          <w:kern w:val="44"/>
          <w:sz w:val="32"/>
          <w:szCs w:val="32"/>
          <w:highlight w:val="none"/>
        </w:rPr>
        <w:t>一般公共预算财政拨款支出年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预算为</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eastAsia="zh-CN"/>
        </w:rPr>
        <w:t>262</w:t>
      </w:r>
      <w:r>
        <w:rPr>
          <w:rFonts w:hint="eastAsia" w:ascii="仿宋_GB2312" w:hAnsi="仿宋_GB2312" w:eastAsia="仿宋_GB2312" w:cs="仿宋_GB2312"/>
          <w:bCs/>
          <w:kern w:val="44"/>
          <w:sz w:val="32"/>
          <w:szCs w:val="32"/>
          <w:highlight w:val="none"/>
          <w:u w:val="single"/>
          <w:lang w:val="en-US" w:eastAsia="zh-CN"/>
        </w:rPr>
        <w:t>.</w:t>
      </w:r>
      <w:r>
        <w:rPr>
          <w:rFonts w:hint="eastAsia" w:ascii="仿宋_GB2312" w:hAnsi="仿宋_GB2312" w:eastAsia="仿宋_GB2312" w:cs="仿宋_GB2312"/>
          <w:bCs/>
          <w:kern w:val="44"/>
          <w:sz w:val="32"/>
          <w:szCs w:val="32"/>
          <w:highlight w:val="none"/>
          <w:u w:val="single"/>
          <w:lang w:eastAsia="zh-CN"/>
        </w:rPr>
        <w:t>03</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kern w:val="44"/>
          <w:sz w:val="32"/>
          <w:szCs w:val="32"/>
          <w:highlight w:val="none"/>
        </w:rPr>
        <w:t>支出决算为</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4308.27</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万元，</w:t>
      </w:r>
    </w:p>
    <w:p>
      <w:pPr>
        <w:numPr>
          <w:ilvl w:val="0"/>
          <w:numId w:val="0"/>
        </w:numPr>
        <w:bidi w:val="0"/>
        <w:rPr>
          <w:rFonts w:hint="eastAsia" w:ascii="仿宋_GB2312" w:eastAsia="仿宋_GB2312"/>
          <w:bCs/>
          <w:kern w:val="44"/>
          <w:sz w:val="32"/>
          <w:szCs w:val="32"/>
          <w:highlight w:val="none"/>
          <w:u w:val="none"/>
        </w:rPr>
      </w:pPr>
      <w:r>
        <w:rPr>
          <w:rFonts w:hint="eastAsia" w:ascii="仿宋_GB2312" w:hAnsi="仿宋_GB2312" w:eastAsia="仿宋_GB2312" w:cs="仿宋_GB2312"/>
          <w:bCs/>
          <w:kern w:val="44"/>
          <w:sz w:val="32"/>
          <w:szCs w:val="32"/>
          <w:highlight w:val="none"/>
        </w:rPr>
        <w:t>完成年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预算的</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100</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%。其中：</w:t>
      </w:r>
      <w:r>
        <w:rPr>
          <w:rFonts w:hint="eastAsia" w:ascii="仿宋_GB2312" w:eastAsia="仿宋_GB2312"/>
          <w:bCs/>
          <w:kern w:val="44"/>
          <w:sz w:val="32"/>
          <w:szCs w:val="32"/>
          <w:highlight w:val="none"/>
          <w:u w:val="none"/>
        </w:rPr>
        <w:t>其中：(一般公共预算财政拨款支出决算具体情况，按支出功能分类类级科目逐类分析</w:t>
      </w:r>
      <w:r>
        <w:rPr>
          <w:rFonts w:hint="eastAsia" w:ascii="仿宋_GB2312" w:eastAsia="仿宋_GB2312"/>
          <w:bCs/>
          <w:kern w:val="44"/>
          <w:sz w:val="32"/>
          <w:szCs w:val="32"/>
          <w:highlight w:val="none"/>
          <w:u w:val="none"/>
          <w:lang w:eastAsia="zh-CN"/>
        </w:rPr>
        <w:t>，简述本部门使用科目</w:t>
      </w:r>
      <w:r>
        <w:rPr>
          <w:rFonts w:hint="eastAsia" w:ascii="仿宋_GB2312" w:eastAsia="仿宋_GB2312"/>
          <w:bCs/>
          <w:kern w:val="44"/>
          <w:sz w:val="32"/>
          <w:szCs w:val="32"/>
          <w:highlight w:val="none"/>
          <w:u w:val="none"/>
        </w:rPr>
        <w:t>)</w:t>
      </w:r>
    </w:p>
    <w:p>
      <w:pPr>
        <w:pStyle w:val="9"/>
        <w:pageBreakBefore w:val="0"/>
        <w:widowControl w:val="0"/>
        <w:kinsoku/>
        <w:wordWrap/>
        <w:overflowPunct/>
        <w:topLinePunct w:val="0"/>
        <w:bidi w:val="0"/>
        <w:snapToGrid w:val="0"/>
        <w:spacing w:line="360" w:lineRule="auto"/>
        <w:ind w:firstLine="640" w:firstLineChars="200"/>
        <w:jc w:val="both"/>
        <w:textAlignment w:val="auto"/>
        <w:rPr>
          <w:rFonts w:hint="eastAsia" w:ascii="楷体" w:hAnsi="楷体" w:eastAsia="仿宋_GB2312" w:cs="楷体"/>
          <w:bCs/>
          <w:color w:val="auto"/>
          <w:kern w:val="44"/>
          <w:sz w:val="32"/>
          <w:szCs w:val="32"/>
          <w:highlight w:val="none"/>
          <w:u w:val="none"/>
          <w:lang w:eastAsia="zh-CN"/>
        </w:rPr>
      </w:pPr>
      <w:r>
        <w:rPr>
          <w:rFonts w:hint="eastAsia" w:ascii="楷体" w:hAnsi="楷体" w:eastAsia="楷体" w:cs="楷体"/>
          <w:bCs/>
          <w:color w:val="auto"/>
          <w:kern w:val="44"/>
          <w:sz w:val="32"/>
          <w:szCs w:val="32"/>
          <w:highlight w:val="none"/>
          <w:u w:val="none"/>
          <w:lang w:val="en-US" w:eastAsia="zh-CN"/>
        </w:rPr>
        <w:t>1</w:t>
      </w:r>
      <w:r>
        <w:rPr>
          <w:rFonts w:hint="eastAsia" w:ascii="楷体" w:hAnsi="楷体" w:eastAsia="楷体" w:cs="楷体"/>
          <w:bCs/>
          <w:color w:val="auto"/>
          <w:kern w:val="44"/>
          <w:sz w:val="32"/>
          <w:szCs w:val="32"/>
          <w:highlight w:val="none"/>
          <w:u w:val="none"/>
        </w:rPr>
        <w:t>.</w:t>
      </w:r>
      <w:r>
        <w:rPr>
          <w:rFonts w:hint="eastAsia" w:ascii="楷体" w:hAnsi="楷体" w:eastAsia="楷体" w:cs="楷体"/>
          <w:bCs/>
          <w:color w:val="auto"/>
          <w:kern w:val="44"/>
          <w:sz w:val="32"/>
          <w:szCs w:val="32"/>
          <w:highlight w:val="none"/>
          <w:u w:val="none"/>
          <w:lang w:eastAsia="zh-CN"/>
        </w:rPr>
        <w:t>城乡社区支出。</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hAnsi="Times New Roman" w:eastAsia="仿宋_GB2312"/>
          <w:bCs/>
          <w:kern w:val="44"/>
          <w:sz w:val="32"/>
          <w:szCs w:val="32"/>
          <w:highlight w:val="none"/>
          <w:u w:val="none"/>
          <w:lang w:eastAsia="zh-CN"/>
        </w:rPr>
        <w:t>262</w:t>
      </w:r>
      <w:r>
        <w:rPr>
          <w:rFonts w:hint="eastAsia" w:ascii="仿宋_GB2312" w:hAnsi="Times New Roman" w:eastAsia="仿宋_GB2312"/>
          <w:bCs/>
          <w:kern w:val="44"/>
          <w:sz w:val="32"/>
          <w:szCs w:val="32"/>
          <w:highlight w:val="none"/>
          <w:u w:val="none"/>
          <w:lang w:val="en-US" w:eastAsia="zh-CN"/>
        </w:rPr>
        <w:t>.</w:t>
      </w:r>
      <w:r>
        <w:rPr>
          <w:rFonts w:hint="eastAsia" w:ascii="仿宋_GB2312" w:hAnsi="Times New Roman" w:eastAsia="仿宋_GB2312"/>
          <w:bCs/>
          <w:kern w:val="44"/>
          <w:sz w:val="32"/>
          <w:szCs w:val="32"/>
          <w:highlight w:val="none"/>
          <w:u w:val="none"/>
          <w:lang w:eastAsia="zh-CN"/>
        </w:rPr>
        <w:t>03</w:t>
      </w:r>
      <w:r>
        <w:rPr>
          <w:rFonts w:hint="eastAsia" w:ascii="仿宋_GB2312" w:eastAsia="仿宋_GB2312"/>
          <w:bCs/>
          <w:kern w:val="44"/>
          <w:sz w:val="32"/>
          <w:szCs w:val="32"/>
          <w:highlight w:val="none"/>
          <w:u w:val="none"/>
        </w:rPr>
        <w:t>万元，支出决算为</w:t>
      </w:r>
      <w:r>
        <w:rPr>
          <w:rFonts w:hint="eastAsia" w:ascii="仿宋_GB2312" w:hAnsi="仿宋_GB2312" w:eastAsia="仿宋_GB2312" w:cs="仿宋_GB2312"/>
          <w:bCs/>
          <w:kern w:val="44"/>
          <w:sz w:val="32"/>
          <w:szCs w:val="32"/>
          <w:highlight w:val="none"/>
          <w:u w:val="single"/>
          <w:lang w:val="en-US" w:eastAsia="zh-CN"/>
        </w:rPr>
        <w:t>4308.27</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bCs/>
          <w:kern w:val="44"/>
          <w:sz w:val="32"/>
          <w:szCs w:val="32"/>
          <w:highlight w:val="none"/>
          <w:u w:val="none"/>
          <w:lang w:val="en-US" w:eastAsia="zh-CN"/>
        </w:rPr>
        <w:t>100</w:t>
      </w:r>
      <w:r>
        <w:rPr>
          <w:rFonts w:hint="eastAsia" w:ascii="仿宋_GB2312" w:eastAsia="仿宋_GB2312"/>
          <w:bCs/>
          <w:kern w:val="44"/>
          <w:sz w:val="32"/>
          <w:szCs w:val="32"/>
          <w:highlight w:val="none"/>
          <w:u w:val="none"/>
        </w:rPr>
        <w:t>%，</w:t>
      </w:r>
      <w:r>
        <w:rPr>
          <w:rFonts w:hint="eastAsia"/>
          <w:bCs/>
          <w:kern w:val="44"/>
          <w:sz w:val="32"/>
          <w:szCs w:val="32"/>
          <w:highlight w:val="none"/>
          <w:u w:val="none"/>
          <w:lang w:eastAsia="zh-CN"/>
        </w:rPr>
        <w:t>其中：行政运行支出：440.57万元，</w:t>
      </w:r>
      <w:r>
        <w:rPr>
          <w:rFonts w:hint="eastAsia" w:ascii="仿宋_GB2312" w:hAnsi="仿宋_GB2312" w:eastAsia="仿宋_GB2312" w:cs="仿宋_GB2312"/>
          <w:bCs/>
          <w:sz w:val="32"/>
          <w:szCs w:val="32"/>
          <w:highlight w:val="none"/>
          <w:lang w:val="en-US" w:eastAsia="zh-CN"/>
        </w:rPr>
        <w:t>占本年支出</w:t>
      </w:r>
      <w:r>
        <w:rPr>
          <w:rFonts w:hint="eastAsia" w:hAnsi="仿宋_GB2312" w:cs="仿宋_GB2312"/>
          <w:bCs/>
          <w:sz w:val="32"/>
          <w:szCs w:val="32"/>
          <w:highlight w:val="none"/>
          <w:lang w:val="en-US" w:eastAsia="zh-CN"/>
        </w:rPr>
        <w:t>10.23</w:t>
      </w:r>
      <w:r>
        <w:rPr>
          <w:rFonts w:hint="eastAsia" w:ascii="仿宋_GB2312" w:hAnsi="仿宋_GB2312" w:eastAsia="仿宋_GB2312" w:cs="仿宋_GB2312"/>
          <w:bCs/>
          <w:sz w:val="32"/>
          <w:szCs w:val="32"/>
          <w:highlight w:val="none"/>
          <w:lang w:val="en-US" w:eastAsia="zh-CN"/>
        </w:rPr>
        <w:t>%</w:t>
      </w:r>
      <w:r>
        <w:rPr>
          <w:rFonts w:hint="eastAsia" w:hAnsi="仿宋_GB2312" w:cs="仿宋_GB2312"/>
          <w:bCs/>
          <w:sz w:val="32"/>
          <w:szCs w:val="32"/>
          <w:highlight w:val="none"/>
          <w:lang w:val="en-US" w:eastAsia="zh-CN"/>
        </w:rPr>
        <w:t>；</w:t>
      </w:r>
      <w:r>
        <w:rPr>
          <w:rFonts w:hint="eastAsia"/>
          <w:bCs/>
          <w:kern w:val="44"/>
          <w:sz w:val="32"/>
          <w:szCs w:val="32"/>
          <w:highlight w:val="none"/>
          <w:u w:val="none"/>
          <w:lang w:eastAsia="zh-CN"/>
        </w:rPr>
        <w:t>一般行政管理事务支出23.1万元，</w:t>
      </w:r>
      <w:r>
        <w:rPr>
          <w:rFonts w:hint="eastAsia" w:ascii="仿宋_GB2312" w:hAnsi="仿宋_GB2312" w:eastAsia="仿宋_GB2312" w:cs="仿宋_GB2312"/>
          <w:bCs/>
          <w:sz w:val="32"/>
          <w:szCs w:val="32"/>
          <w:highlight w:val="none"/>
          <w:lang w:val="en-US" w:eastAsia="zh-CN"/>
        </w:rPr>
        <w:t>占本年支出</w:t>
      </w:r>
      <w:r>
        <w:rPr>
          <w:rFonts w:hint="eastAsia" w:hAnsi="仿宋_GB2312" w:cs="仿宋_GB2312"/>
          <w:bCs/>
          <w:sz w:val="32"/>
          <w:szCs w:val="32"/>
          <w:highlight w:val="none"/>
          <w:lang w:val="en-US" w:eastAsia="zh-CN"/>
        </w:rPr>
        <w:t>0.54</w:t>
      </w:r>
      <w:r>
        <w:rPr>
          <w:rFonts w:hint="eastAsia" w:ascii="仿宋_GB2312" w:hAnsi="仿宋_GB2312" w:eastAsia="仿宋_GB2312" w:cs="仿宋_GB2312"/>
          <w:bCs/>
          <w:sz w:val="32"/>
          <w:szCs w:val="32"/>
          <w:highlight w:val="none"/>
          <w:lang w:val="en-US" w:eastAsia="zh-CN"/>
        </w:rPr>
        <w:t>%</w:t>
      </w:r>
      <w:r>
        <w:rPr>
          <w:rFonts w:hint="eastAsia" w:hAnsi="仿宋_GB2312" w:cs="仿宋_GB2312"/>
          <w:bCs/>
          <w:sz w:val="32"/>
          <w:szCs w:val="32"/>
          <w:highlight w:val="none"/>
          <w:lang w:val="en-US" w:eastAsia="zh-CN"/>
        </w:rPr>
        <w:t>；</w:t>
      </w:r>
      <w:r>
        <w:rPr>
          <w:rFonts w:hint="eastAsia"/>
          <w:bCs/>
          <w:kern w:val="44"/>
          <w:sz w:val="32"/>
          <w:szCs w:val="32"/>
          <w:highlight w:val="none"/>
          <w:u w:val="none"/>
          <w:lang w:eastAsia="zh-CN"/>
        </w:rPr>
        <w:t>城管执法支出2067.74万元，</w:t>
      </w:r>
      <w:r>
        <w:rPr>
          <w:rFonts w:hint="eastAsia" w:ascii="仿宋_GB2312" w:hAnsi="仿宋_GB2312" w:eastAsia="仿宋_GB2312" w:cs="仿宋_GB2312"/>
          <w:bCs/>
          <w:sz w:val="32"/>
          <w:szCs w:val="32"/>
          <w:highlight w:val="none"/>
          <w:lang w:val="en-US" w:eastAsia="zh-CN"/>
        </w:rPr>
        <w:t>占本年支出</w:t>
      </w:r>
      <w:r>
        <w:rPr>
          <w:rFonts w:hint="eastAsia" w:hAnsi="仿宋_GB2312" w:cs="仿宋_GB2312"/>
          <w:bCs/>
          <w:sz w:val="32"/>
          <w:szCs w:val="32"/>
          <w:highlight w:val="none"/>
          <w:lang w:val="en-US" w:eastAsia="zh-CN"/>
        </w:rPr>
        <w:t>47.99</w:t>
      </w:r>
      <w:r>
        <w:rPr>
          <w:rFonts w:hint="eastAsia" w:ascii="仿宋_GB2312" w:hAnsi="仿宋_GB2312" w:eastAsia="仿宋_GB2312" w:cs="仿宋_GB2312"/>
          <w:bCs/>
          <w:sz w:val="32"/>
          <w:szCs w:val="32"/>
          <w:highlight w:val="none"/>
          <w:lang w:val="en-US" w:eastAsia="zh-CN"/>
        </w:rPr>
        <w:t>%</w:t>
      </w:r>
      <w:r>
        <w:rPr>
          <w:rFonts w:hint="eastAsia" w:hAnsi="仿宋_GB2312" w:cs="仿宋_GB2312"/>
          <w:bCs/>
          <w:sz w:val="32"/>
          <w:szCs w:val="32"/>
          <w:highlight w:val="none"/>
          <w:lang w:val="en-US" w:eastAsia="zh-CN"/>
        </w:rPr>
        <w:t>；</w:t>
      </w:r>
      <w:r>
        <w:rPr>
          <w:rFonts w:hint="eastAsia"/>
          <w:bCs/>
          <w:kern w:val="44"/>
          <w:sz w:val="32"/>
          <w:szCs w:val="32"/>
          <w:highlight w:val="none"/>
          <w:u w:val="none"/>
          <w:lang w:eastAsia="zh-CN"/>
        </w:rPr>
        <w:t>执业资格注册、资质审查支出</w:t>
      </w:r>
      <w:r>
        <w:rPr>
          <w:rFonts w:hint="eastAsia"/>
          <w:bCs/>
          <w:kern w:val="44"/>
          <w:sz w:val="32"/>
          <w:szCs w:val="32"/>
          <w:highlight w:val="none"/>
          <w:u w:val="none"/>
          <w:lang w:val="en-US" w:eastAsia="zh-CN"/>
        </w:rPr>
        <w:t xml:space="preserve"> </w:t>
      </w:r>
      <w:r>
        <w:rPr>
          <w:rFonts w:hint="eastAsia"/>
          <w:bCs/>
          <w:kern w:val="44"/>
          <w:sz w:val="32"/>
          <w:szCs w:val="32"/>
          <w:highlight w:val="none"/>
          <w:u w:val="none"/>
          <w:lang w:eastAsia="zh-CN"/>
        </w:rPr>
        <w:t>5</w:t>
      </w:r>
      <w:r>
        <w:rPr>
          <w:rFonts w:hint="eastAsia"/>
          <w:bCs/>
          <w:kern w:val="44"/>
          <w:sz w:val="32"/>
          <w:szCs w:val="32"/>
          <w:highlight w:val="none"/>
          <w:u w:val="none"/>
          <w:lang w:val="en-US" w:eastAsia="zh-CN"/>
        </w:rPr>
        <w:t xml:space="preserve"> </w:t>
      </w:r>
      <w:r>
        <w:rPr>
          <w:rFonts w:hint="eastAsia"/>
          <w:bCs/>
          <w:kern w:val="44"/>
          <w:sz w:val="32"/>
          <w:szCs w:val="32"/>
          <w:highlight w:val="none"/>
          <w:u w:val="none"/>
          <w:lang w:eastAsia="zh-CN"/>
        </w:rPr>
        <w:t>万元，</w:t>
      </w:r>
      <w:r>
        <w:rPr>
          <w:rFonts w:hint="eastAsia" w:ascii="仿宋_GB2312" w:hAnsi="仿宋_GB2312" w:eastAsia="仿宋_GB2312" w:cs="仿宋_GB2312"/>
          <w:bCs/>
          <w:sz w:val="32"/>
          <w:szCs w:val="32"/>
          <w:highlight w:val="none"/>
          <w:lang w:val="en-US" w:eastAsia="zh-CN"/>
        </w:rPr>
        <w:t>占本年支出</w:t>
      </w:r>
      <w:r>
        <w:rPr>
          <w:rFonts w:hint="eastAsia" w:hAnsi="仿宋_GB2312" w:cs="仿宋_GB2312"/>
          <w:bCs/>
          <w:sz w:val="32"/>
          <w:szCs w:val="32"/>
          <w:highlight w:val="none"/>
          <w:lang w:val="en-US" w:eastAsia="zh-CN"/>
        </w:rPr>
        <w:t>0.12</w:t>
      </w:r>
      <w:r>
        <w:rPr>
          <w:rFonts w:hint="eastAsia" w:ascii="仿宋_GB2312" w:hAnsi="仿宋_GB2312" w:eastAsia="仿宋_GB2312" w:cs="仿宋_GB2312"/>
          <w:bCs/>
          <w:sz w:val="32"/>
          <w:szCs w:val="32"/>
          <w:highlight w:val="none"/>
          <w:lang w:val="en-US" w:eastAsia="zh-CN"/>
        </w:rPr>
        <w:t>%</w:t>
      </w:r>
      <w:r>
        <w:rPr>
          <w:rFonts w:hint="eastAsia"/>
          <w:bCs/>
          <w:kern w:val="44"/>
          <w:sz w:val="32"/>
          <w:szCs w:val="32"/>
          <w:highlight w:val="none"/>
          <w:u w:val="none"/>
          <w:lang w:eastAsia="zh-CN"/>
        </w:rPr>
        <w:t>；其他城乡社区管理事务支出410.28，</w:t>
      </w:r>
      <w:r>
        <w:rPr>
          <w:rFonts w:hint="eastAsia" w:ascii="仿宋_GB2312" w:hAnsi="仿宋_GB2312" w:eastAsia="仿宋_GB2312" w:cs="仿宋_GB2312"/>
          <w:bCs/>
          <w:sz w:val="32"/>
          <w:szCs w:val="32"/>
          <w:highlight w:val="none"/>
          <w:lang w:val="en-US" w:eastAsia="zh-CN"/>
        </w:rPr>
        <w:t>占本年支出</w:t>
      </w:r>
      <w:r>
        <w:rPr>
          <w:rFonts w:hint="eastAsia" w:hAnsi="仿宋_GB2312" w:cs="仿宋_GB2312"/>
          <w:bCs/>
          <w:sz w:val="32"/>
          <w:szCs w:val="32"/>
          <w:highlight w:val="none"/>
          <w:lang w:val="en-US" w:eastAsia="zh-CN"/>
        </w:rPr>
        <w:t>9.52</w:t>
      </w:r>
      <w:r>
        <w:rPr>
          <w:rFonts w:hint="eastAsia" w:ascii="仿宋_GB2312" w:hAnsi="仿宋_GB2312" w:eastAsia="仿宋_GB2312" w:cs="仿宋_GB2312"/>
          <w:bCs/>
          <w:sz w:val="32"/>
          <w:szCs w:val="32"/>
          <w:highlight w:val="none"/>
          <w:lang w:val="en-US" w:eastAsia="zh-CN"/>
        </w:rPr>
        <w:t>%</w:t>
      </w:r>
      <w:r>
        <w:rPr>
          <w:rFonts w:hint="eastAsia" w:hAnsi="仿宋_GB2312" w:cs="仿宋_GB2312"/>
          <w:bCs/>
          <w:sz w:val="32"/>
          <w:szCs w:val="32"/>
          <w:highlight w:val="none"/>
          <w:lang w:val="en-US" w:eastAsia="zh-CN"/>
        </w:rPr>
        <w:t>；</w:t>
      </w:r>
      <w:r>
        <w:rPr>
          <w:rFonts w:hint="eastAsia"/>
          <w:bCs/>
          <w:kern w:val="44"/>
          <w:sz w:val="32"/>
          <w:szCs w:val="32"/>
          <w:highlight w:val="none"/>
          <w:u w:val="none"/>
          <w:lang w:eastAsia="zh-CN"/>
        </w:rPr>
        <w:t>其他城乡社区支出1361.57，</w:t>
      </w:r>
      <w:r>
        <w:rPr>
          <w:rFonts w:hint="eastAsia" w:ascii="仿宋_GB2312" w:hAnsi="仿宋_GB2312" w:eastAsia="仿宋_GB2312" w:cs="仿宋_GB2312"/>
          <w:bCs/>
          <w:sz w:val="32"/>
          <w:szCs w:val="32"/>
          <w:highlight w:val="none"/>
          <w:lang w:val="en-US" w:eastAsia="zh-CN"/>
        </w:rPr>
        <w:t>占本年支出</w:t>
      </w:r>
      <w:r>
        <w:rPr>
          <w:rFonts w:hint="eastAsia" w:hAnsi="仿宋_GB2312" w:cs="仿宋_GB2312"/>
          <w:bCs/>
          <w:sz w:val="32"/>
          <w:szCs w:val="32"/>
          <w:highlight w:val="none"/>
          <w:lang w:val="en-US" w:eastAsia="zh-CN"/>
        </w:rPr>
        <w:t>31.6</w:t>
      </w:r>
      <w:r>
        <w:rPr>
          <w:rFonts w:hint="eastAsia" w:ascii="仿宋_GB2312" w:hAnsi="仿宋_GB2312" w:eastAsia="仿宋_GB2312" w:cs="仿宋_GB2312"/>
          <w:bCs/>
          <w:sz w:val="32"/>
          <w:szCs w:val="32"/>
          <w:highlight w:val="none"/>
          <w:lang w:val="en-US" w:eastAsia="zh-CN"/>
        </w:rPr>
        <w:t>%</w:t>
      </w:r>
      <w:r>
        <w:rPr>
          <w:rFonts w:hint="eastAsia" w:hAnsi="仿宋_GB2312" w:cs="仿宋_GB2312"/>
          <w:bCs/>
          <w:sz w:val="32"/>
          <w:szCs w:val="32"/>
          <w:highlight w:val="none"/>
          <w:lang w:val="en-US" w:eastAsia="zh-CN"/>
        </w:rPr>
        <w:t>。</w:t>
      </w:r>
      <w:r>
        <w:rPr>
          <w:rFonts w:hint="eastAsia"/>
          <w:bCs/>
          <w:kern w:val="44"/>
          <w:sz w:val="32"/>
          <w:szCs w:val="32"/>
          <w:highlight w:val="none"/>
          <w:u w:val="none"/>
          <w:lang w:eastAsia="zh-CN"/>
        </w:rPr>
        <w:t>增加原因是新增环卫园林市场化项目。</w:t>
      </w: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六、一般公共预算财政拨款基本支出决算情况说明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2022年度一般公共预算财政拨款基本支出4308.27万元，其中：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人员经费 250.75 万元，主要包括：基本工资、津贴补贴、奖金、伙食补助费、绩效工资、机关事业单位基本养老保险缴费、职业年金缴费、职工基本医疗保险缴费、公务员医疗补助缴费、其他社会保障缴费、住房公积金、医疗费、其他工资福利支出、离休费、医疗费补助、奖励金、其他对个人和家庭的补助。</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Times New Roman" w:hAnsi="Times New Roman" w:eastAsia="仿宋_GB2312" w:cs="Times New Roman"/>
          <w:b/>
          <w:bCs/>
          <w:color w:val="FF0000"/>
          <w:sz w:val="32"/>
          <w:szCs w:val="22"/>
          <w:u w:val="none"/>
          <w:lang w:val="en-US" w:eastAsia="zh-CN"/>
        </w:rPr>
      </w:pPr>
      <w:r>
        <w:rPr>
          <w:rFonts w:hint="eastAsia" w:ascii="仿宋_GB2312" w:eastAsia="仿宋_GB2312"/>
          <w:bCs/>
          <w:color w:val="auto"/>
          <w:kern w:val="44"/>
          <w:sz w:val="32"/>
          <w:szCs w:val="32"/>
          <w:highlight w:val="none"/>
          <w:u w:val="none"/>
          <w:lang w:val="en-US" w:eastAsia="zh-CN"/>
        </w:rPr>
        <w:t>公用经费4057.52万元，主要包括：办公费、印刷费、咨询费、手续费、水费、电费、邮电费、物业管理费、差旅费、因公出国(境)费用、维修(护)费、租赁费、会议费、培训费、公务接待费、专用燃料费、委托业务费、工会经费、福利费、公务用车运行维护费、其他交通费用、其他商品和服务支出、办公设备购置、专用设备购置、信息网络及软件购置更新、公务用车购置、其他资本性支出。</w:t>
      </w: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七、财政拨款“三公”经费支出决算情况说明</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（一）“三公”经费财政拨款支出决算总体情况说明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2022年度“三公”经费财政拨款支出预算为 9.37 万元，支出决算为9.37 万元，完成预算的 100 %。较上年增加（减少）-1.79万元，增长（下降）-19.19 %。决算数较上年增加（减少）的主要原因：严格控制“三公经费开支”，厉行节约的各项要求。</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（二）“三公”经费财政拨款支出决算具体情况说明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1.因公出国(境)费预算为 0万元，支出决算为  0万元，完成预算的 0 %。较上年增加（减少）    0万元，增长（下降） 0%。决算数小于（大于）预算数的主要原因：我单位无此项支出。决算数较上年增加（减少）的主要原因我单位无此项支出。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全年支出涉及出国（境）团组 0 个，累计 0人次。</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2.公务用车购置及运行费预算为 9.37万元，支出决算为9.37万元，完成预算的  100 %；较上年增加（减少） -1.79万元，增长（下降）-19.19 %。决算数小于（大于）预算数的主要原因：决算数未大于预算数。决算数较上年增加（减少）的主要原因：严格控制“三公经费开支”，厉行节约的各项要求。其中：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(1)公务用车购置费支出  0  万元。本年度购置(更新)公务用车  0  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(2)公务用车运行费支出 9.37 万元，主要用于执法车运行维护费用。截止2022年12月31日，开支财政拨款的公务用车保有量为 17 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3.公务接待费预算为 0 万元，支出决算为 0万元，完成预算的 0 %，较上年增加（减少）0万元，增长（下降）0 %。决算数小于（大于）预算数的主要原因：我单位无公务接待费用。其中：</w:t>
      </w:r>
    </w:p>
    <w:p>
      <w:pPr>
        <w:pageBreakBefore w:val="0"/>
        <w:widowControl w:val="0"/>
        <w:kinsoku/>
        <w:wordWrap/>
        <w:overflowPunct/>
        <w:topLinePunct w:val="0"/>
        <w:bidi w:val="0"/>
        <w:adjustRightInd w:val="0"/>
        <w:snapToGrid w:val="0"/>
        <w:spacing w:line="360" w:lineRule="auto"/>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外宾接待支出 0 万元。2022年共接待来访团组 0 个， 0 人次（不包括陪同人员）。来访对象主要是无。</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国内公务接待支出 0 万元，接待对象主要是无。2022年共接待国内来访团组 0 个，0 人次（不包括陪同人员）。</w:t>
      </w: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八、政府性基金预算财政拨款收入支出决算情况说明</w:t>
      </w:r>
    </w:p>
    <w:p>
      <w:pPr>
        <w:numPr>
          <w:ilvl w:val="0"/>
          <w:numId w:val="0"/>
        </w:numPr>
        <w:bidi w:val="0"/>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本单位当年无政府性基金预算财政拨款收入支出</w:t>
      </w: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九、国有资本经营预算财政拨款支出决算情况说明</w:t>
      </w:r>
    </w:p>
    <w:p>
      <w:pPr>
        <w:numPr>
          <w:ilvl w:val="0"/>
          <w:numId w:val="0"/>
        </w:numPr>
        <w:bidi w:val="0"/>
        <w:ind w:firstLine="640" w:firstLineChars="200"/>
        <w:rPr>
          <w:rFonts w:hint="eastAsia" w:ascii="仿宋_GB2312" w:hAnsi="仿宋_GB2312" w:eastAsia="仿宋_GB2312" w:cs="仿宋_GB2312"/>
          <w:color w:val="FF0000"/>
          <w:sz w:val="32"/>
          <w:szCs w:val="32"/>
          <w:u w:val="none"/>
          <w:lang w:val="en-US" w:eastAsia="zh-CN"/>
        </w:rPr>
      </w:pPr>
      <w:r>
        <w:rPr>
          <w:rFonts w:hint="eastAsia" w:ascii="仿宋_GB2312" w:hAnsi="仿宋_GB2312" w:eastAsia="仿宋_GB2312" w:cs="仿宋_GB2312"/>
          <w:sz w:val="32"/>
          <w:szCs w:val="32"/>
          <w:u w:val="none"/>
          <w:lang w:val="en-US" w:eastAsia="zh-CN"/>
        </w:rPr>
        <w:t>本单位当年无国有资本经营预算财政拨款支出、</w:t>
      </w:r>
    </w:p>
    <w:p>
      <w:pPr>
        <w:numPr>
          <w:ilvl w:val="0"/>
          <w:numId w:val="0"/>
        </w:numPr>
        <w:bidi w:val="0"/>
        <w:ind w:left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十、机关运行经费支出说明</w:t>
      </w:r>
    </w:p>
    <w:p>
      <w:pPr>
        <w:pStyle w:val="10"/>
        <w:rPr>
          <w:rFonts w:hint="eastAsia" w:ascii="仿宋_GB2312" w:eastAsia="仿宋_GB2312"/>
          <w:szCs w:val="32"/>
          <w:lang w:val="en-US" w:eastAsia="zh-CN"/>
        </w:rPr>
      </w:pPr>
      <w:r>
        <w:rPr>
          <w:rFonts w:hint="eastAsia" w:ascii="仿宋_GB2312" w:eastAsia="仿宋_GB2312"/>
          <w:szCs w:val="32"/>
          <w:lang w:val="en-US" w:eastAsia="zh-CN"/>
        </w:rPr>
        <w:t>部门（单位）</w:t>
      </w:r>
      <w:r>
        <w:rPr>
          <w:rFonts w:hint="eastAsia" w:ascii="仿宋_GB2312" w:eastAsia="仿宋_GB2312"/>
          <w:szCs w:val="32"/>
        </w:rPr>
        <w:t>应当按照如下格式说明：本部门 202</w:t>
      </w:r>
      <w:r>
        <w:rPr>
          <w:rFonts w:hint="eastAsia" w:ascii="仿宋_GB2312" w:eastAsia="仿宋_GB2312"/>
          <w:szCs w:val="32"/>
          <w:lang w:val="en-US" w:eastAsia="zh-CN"/>
        </w:rPr>
        <w:t>2</w:t>
      </w:r>
      <w:r>
        <w:rPr>
          <w:rFonts w:hint="eastAsia" w:ascii="仿宋_GB2312" w:eastAsia="仿宋_GB2312"/>
          <w:szCs w:val="32"/>
        </w:rPr>
        <w:t xml:space="preserve">年度机关运行经费支出 </w:t>
      </w:r>
      <w:r>
        <w:rPr>
          <w:rFonts w:hint="eastAsia" w:ascii="仿宋_GB2312" w:eastAsia="仿宋_GB2312"/>
          <w:szCs w:val="32"/>
          <w:lang w:val="en-US" w:eastAsia="zh-CN"/>
        </w:rPr>
        <w:t>4057.52</w:t>
      </w:r>
      <w:r>
        <w:rPr>
          <w:rFonts w:hint="eastAsia" w:ascii="仿宋_GB2312" w:eastAsia="仿宋_GB2312"/>
          <w:szCs w:val="32"/>
        </w:rPr>
        <w:t>万元，比年初预算数</w:t>
      </w:r>
      <w:r>
        <w:rPr>
          <w:rFonts w:hint="eastAsia" w:ascii="仿宋_GB2312" w:eastAsia="仿宋_GB2312"/>
          <w:szCs w:val="32"/>
          <w:lang w:eastAsia="zh-CN"/>
        </w:rPr>
        <w:t>（或者上年决算数）</w:t>
      </w:r>
      <w:r>
        <w:rPr>
          <w:rFonts w:hint="eastAsia" w:ascii="仿宋_GB2312" w:eastAsia="仿宋_GB2312"/>
          <w:szCs w:val="32"/>
        </w:rPr>
        <w:t>增加</w:t>
      </w:r>
      <w:r>
        <w:rPr>
          <w:rFonts w:hint="eastAsia" w:ascii="仿宋_GB2312" w:eastAsia="仿宋_GB2312"/>
          <w:szCs w:val="32"/>
          <w:lang w:val="en-US" w:eastAsia="zh-CN"/>
        </w:rPr>
        <w:t>773.18</w:t>
      </w:r>
      <w:r>
        <w:rPr>
          <w:rFonts w:hint="eastAsia" w:ascii="仿宋_GB2312" w:eastAsia="仿宋_GB2312"/>
          <w:szCs w:val="32"/>
        </w:rPr>
        <w:t>万元，增长</w:t>
      </w:r>
      <w:r>
        <w:rPr>
          <w:rFonts w:hint="eastAsia" w:ascii="仿宋_GB2312" w:eastAsia="仿宋_GB2312"/>
          <w:szCs w:val="32"/>
          <w:lang w:val="en-US" w:eastAsia="zh-CN"/>
        </w:rPr>
        <w:t>23.54</w:t>
      </w:r>
      <w:r>
        <w:rPr>
          <w:rFonts w:hint="eastAsia" w:ascii="仿宋_GB2312" w:eastAsia="仿宋_GB2312"/>
          <w:szCs w:val="32"/>
        </w:rPr>
        <w:t>%。主要原因是：</w:t>
      </w:r>
      <w:r>
        <w:rPr>
          <w:rFonts w:hint="eastAsia" w:ascii="仿宋_GB2312" w:eastAsia="仿宋_GB2312"/>
          <w:szCs w:val="32"/>
          <w:lang w:val="en-US" w:eastAsia="zh-CN"/>
        </w:rPr>
        <w:t>2022年初新增</w:t>
      </w:r>
      <w:r>
        <w:rPr>
          <w:rFonts w:hint="eastAsia" w:ascii="仿宋_GB2312" w:hAnsi="仿宋" w:eastAsia="仿宋_GB2312" w:cs="宋体"/>
          <w:kern w:val="2"/>
          <w:sz w:val="32"/>
          <w:szCs w:val="32"/>
          <w:lang w:val="en-US" w:eastAsia="zh-CN" w:bidi="ar-SA"/>
        </w:rPr>
        <w:t>环卫园林作业市场化服务</w:t>
      </w:r>
      <w:r>
        <w:rPr>
          <w:rFonts w:hint="eastAsia" w:ascii="仿宋_GB2312" w:hAnsi="仿宋" w:eastAsia="仿宋_GB2312" w:cs="仿宋"/>
          <w:sz w:val="32"/>
          <w:szCs w:val="32"/>
          <w:u w:val="none"/>
        </w:rPr>
        <w:t>项目</w:t>
      </w:r>
      <w:r>
        <w:rPr>
          <w:rFonts w:hint="eastAsia" w:ascii="仿宋_GB2312" w:eastAsia="仿宋_GB2312" w:cs="仿宋"/>
          <w:sz w:val="32"/>
          <w:szCs w:val="32"/>
          <w:u w:val="none"/>
          <w:lang w:eastAsia="zh-CN"/>
        </w:rPr>
        <w:t>，因此费用增加。</w:t>
      </w: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十一、政府采购支出说明</w:t>
      </w:r>
    </w:p>
    <w:p>
      <w:pPr>
        <w:pStyle w:val="10"/>
        <w:rPr>
          <w:rFonts w:hint="eastAsia" w:ascii="仿宋_GB2312" w:eastAsia="仿宋_GB2312" w:cs="宋体"/>
          <w:szCs w:val="32"/>
          <w:lang w:val="en-US" w:eastAsia="zh-CN"/>
        </w:rPr>
      </w:pPr>
      <w:r>
        <w:rPr>
          <w:rFonts w:hint="eastAsia" w:ascii="仿宋_GB2312" w:eastAsia="仿宋_GB2312" w:cs="宋体"/>
          <w:szCs w:val="32"/>
        </w:rPr>
        <w:t>本部门</w:t>
      </w:r>
      <w:r>
        <w:rPr>
          <w:rFonts w:hint="eastAsia" w:ascii="仿宋_GB2312" w:eastAsia="仿宋_GB2312" w:cs="宋体"/>
          <w:szCs w:val="32"/>
          <w:lang w:eastAsia="zh-CN"/>
        </w:rPr>
        <w:t>（单位）</w:t>
      </w:r>
      <w:r>
        <w:rPr>
          <w:rFonts w:hint="eastAsia" w:ascii="仿宋_GB2312" w:eastAsia="仿宋_GB2312" w:cs="宋体"/>
          <w:szCs w:val="32"/>
          <w:lang w:val="en-US" w:eastAsia="zh-CN"/>
        </w:rPr>
        <w:t>2022</w:t>
      </w:r>
      <w:r>
        <w:rPr>
          <w:rFonts w:hint="eastAsia" w:ascii="仿宋_GB2312" w:eastAsia="仿宋_GB2312" w:cs="宋体"/>
          <w:szCs w:val="32"/>
        </w:rPr>
        <w:t>年度政府采购支出总额</w:t>
      </w:r>
      <w:r>
        <w:rPr>
          <w:rFonts w:hint="eastAsia" w:ascii="仿宋_GB2312" w:eastAsia="仿宋_GB2312" w:cs="宋体"/>
          <w:szCs w:val="32"/>
          <w:lang w:val="en-US" w:eastAsia="zh-CN"/>
        </w:rPr>
        <w:t>0</w:t>
      </w:r>
      <w:r>
        <w:rPr>
          <w:rFonts w:hint="eastAsia" w:ascii="仿宋_GB2312" w:eastAsia="仿宋_GB2312" w:cs="宋体"/>
          <w:szCs w:val="32"/>
        </w:rPr>
        <w:t>万元，其中：政府采购货物支出</w:t>
      </w:r>
      <w:r>
        <w:rPr>
          <w:rFonts w:hint="eastAsia" w:ascii="仿宋_GB2312" w:eastAsia="仿宋_GB2312" w:cs="宋体"/>
          <w:szCs w:val="32"/>
          <w:lang w:val="en-US" w:eastAsia="zh-CN"/>
        </w:rPr>
        <w:t>0</w:t>
      </w:r>
      <w:r>
        <w:rPr>
          <w:rFonts w:hint="eastAsia" w:ascii="仿宋_GB2312" w:eastAsia="仿宋_GB2312" w:cs="宋体"/>
          <w:szCs w:val="32"/>
        </w:rPr>
        <w:t>万元、政府采购工程支出</w:t>
      </w:r>
      <w:r>
        <w:rPr>
          <w:rFonts w:hint="eastAsia" w:ascii="仿宋_GB2312" w:eastAsia="仿宋_GB2312" w:cs="宋体"/>
          <w:szCs w:val="32"/>
          <w:lang w:val="en-US" w:eastAsia="zh-CN"/>
        </w:rPr>
        <w:t>0</w:t>
      </w:r>
      <w:r>
        <w:rPr>
          <w:rFonts w:hint="eastAsia" w:ascii="仿宋_GB2312" w:eastAsia="仿宋_GB2312" w:cs="宋体"/>
          <w:szCs w:val="32"/>
        </w:rPr>
        <w:t>万元、政府采购服务支出</w:t>
      </w:r>
      <w:r>
        <w:rPr>
          <w:rFonts w:hint="eastAsia" w:ascii="仿宋_GB2312" w:eastAsia="仿宋_GB2312" w:cs="宋体"/>
          <w:szCs w:val="32"/>
          <w:lang w:val="en-US" w:eastAsia="zh-CN"/>
        </w:rPr>
        <w:t>0</w:t>
      </w:r>
      <w:r>
        <w:rPr>
          <w:rFonts w:hint="eastAsia" w:ascii="仿宋_GB2312" w:eastAsia="仿宋_GB2312" w:cs="宋体"/>
          <w:szCs w:val="32"/>
        </w:rPr>
        <w:t>万元。授予中小企业合同金额</w:t>
      </w:r>
      <w:r>
        <w:rPr>
          <w:rFonts w:hint="eastAsia" w:ascii="仿宋_GB2312" w:eastAsia="仿宋_GB2312" w:cs="宋体"/>
          <w:szCs w:val="32"/>
          <w:lang w:val="en-US" w:eastAsia="zh-CN"/>
        </w:rPr>
        <w:t>0</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0</w:t>
      </w:r>
      <w:r>
        <w:rPr>
          <w:rFonts w:hint="eastAsia" w:ascii="仿宋_GB2312" w:eastAsia="仿宋_GB2312" w:cs="宋体"/>
          <w:szCs w:val="32"/>
        </w:rPr>
        <w:t>%，其中：授予小微企业合同金额</w:t>
      </w:r>
      <w:r>
        <w:rPr>
          <w:rFonts w:hint="eastAsia" w:ascii="仿宋_GB2312" w:eastAsia="仿宋_GB2312" w:cs="宋体"/>
          <w:szCs w:val="32"/>
          <w:lang w:val="en-US" w:eastAsia="zh-CN"/>
        </w:rPr>
        <w:t>0</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0</w:t>
      </w:r>
      <w:r>
        <w:rPr>
          <w:rFonts w:hint="eastAsia" w:ascii="仿宋_GB2312" w:eastAsia="仿宋_GB2312" w:cs="宋体"/>
          <w:szCs w:val="32"/>
        </w:rPr>
        <w:t>%。</w:t>
      </w: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十二、国有资产占用情况说明</w:t>
      </w:r>
    </w:p>
    <w:p>
      <w:pPr>
        <w:pStyle w:val="10"/>
        <w:rPr>
          <w:rFonts w:hint="eastAsia" w:ascii="仿宋_GB2312" w:eastAsia="仿宋_GB2312" w:cs="宋体"/>
          <w:szCs w:val="32"/>
        </w:rPr>
      </w:pPr>
      <w:r>
        <w:rPr>
          <w:rFonts w:hint="eastAsia" w:ascii="仿宋_GB2312" w:eastAsia="仿宋_GB2312" w:cs="宋体"/>
          <w:szCs w:val="32"/>
        </w:rPr>
        <w:t>截至</w:t>
      </w:r>
      <w:r>
        <w:rPr>
          <w:rFonts w:hint="eastAsia" w:ascii="仿宋_GB2312" w:eastAsia="仿宋_GB2312" w:cs="宋体"/>
          <w:szCs w:val="32"/>
          <w:lang w:val="en-US" w:eastAsia="zh-CN"/>
        </w:rPr>
        <w:t>2022</w:t>
      </w:r>
      <w:r>
        <w:rPr>
          <w:rFonts w:hint="eastAsia" w:ascii="仿宋_GB2312" w:eastAsia="仿宋_GB2312" w:cs="宋体"/>
          <w:szCs w:val="32"/>
        </w:rPr>
        <w:t>年12月31日，部门</w:t>
      </w:r>
      <w:r>
        <w:rPr>
          <w:rFonts w:hint="eastAsia" w:ascii="仿宋_GB2312" w:eastAsia="仿宋_GB2312" w:cs="宋体"/>
          <w:szCs w:val="32"/>
          <w:lang w:eastAsia="zh-CN"/>
        </w:rPr>
        <w:t>（单位）</w:t>
      </w:r>
      <w:r>
        <w:rPr>
          <w:rFonts w:hint="eastAsia" w:ascii="仿宋_GB2312" w:eastAsia="仿宋_GB2312" w:cs="宋体"/>
          <w:szCs w:val="32"/>
        </w:rPr>
        <w:t>共有车辆</w:t>
      </w:r>
      <w:r>
        <w:rPr>
          <w:rFonts w:hint="eastAsia" w:ascii="仿宋_GB2312" w:eastAsia="仿宋_GB2312" w:cs="宋体"/>
          <w:szCs w:val="32"/>
          <w:lang w:val="en-US" w:eastAsia="zh-CN"/>
        </w:rPr>
        <w:t>17</w:t>
      </w:r>
      <w:r>
        <w:rPr>
          <w:rFonts w:hint="eastAsia" w:ascii="仿宋_GB2312" w:eastAsia="仿宋_GB2312" w:cs="宋体"/>
          <w:szCs w:val="32"/>
        </w:rPr>
        <w:t>辆，其中，副省级及以上领导干部用车</w:t>
      </w:r>
      <w:r>
        <w:rPr>
          <w:rFonts w:hint="eastAsia" w:ascii="仿宋_GB2312" w:eastAsia="仿宋_GB2312" w:cs="宋体"/>
          <w:szCs w:val="32"/>
          <w:lang w:val="en-US" w:eastAsia="zh-CN"/>
        </w:rPr>
        <w:t>0</w:t>
      </w:r>
      <w:r>
        <w:rPr>
          <w:rFonts w:hint="eastAsia" w:ascii="仿宋_GB2312" w:eastAsia="仿宋_GB2312" w:cs="宋体"/>
          <w:szCs w:val="32"/>
        </w:rPr>
        <w:t>辆、主要领导干部用车</w:t>
      </w:r>
      <w:r>
        <w:rPr>
          <w:rFonts w:hint="eastAsia" w:ascii="仿宋_GB2312" w:eastAsia="仿宋_GB2312" w:cs="宋体"/>
          <w:szCs w:val="32"/>
          <w:lang w:val="en-US" w:eastAsia="zh-CN"/>
        </w:rPr>
        <w:t>0</w:t>
      </w:r>
      <w:r>
        <w:rPr>
          <w:rFonts w:hint="eastAsia" w:ascii="仿宋_GB2312" w:eastAsia="仿宋_GB2312" w:cs="宋体"/>
          <w:szCs w:val="32"/>
        </w:rPr>
        <w:t>辆、机要通信用车</w:t>
      </w:r>
      <w:r>
        <w:rPr>
          <w:rFonts w:hint="eastAsia" w:ascii="仿宋_GB2312" w:eastAsia="仿宋_GB2312" w:cs="宋体"/>
          <w:szCs w:val="32"/>
          <w:lang w:val="en-US" w:eastAsia="zh-CN"/>
        </w:rPr>
        <w:t>0</w:t>
      </w:r>
      <w:r>
        <w:rPr>
          <w:rFonts w:hint="eastAsia" w:ascii="仿宋_GB2312" w:eastAsia="仿宋_GB2312" w:cs="宋体"/>
          <w:szCs w:val="32"/>
        </w:rPr>
        <w:t>辆、应急保障用车</w:t>
      </w:r>
      <w:r>
        <w:rPr>
          <w:rFonts w:hint="eastAsia" w:ascii="仿宋_GB2312" w:eastAsia="仿宋_GB2312" w:cs="宋体"/>
          <w:szCs w:val="32"/>
          <w:lang w:val="en-US" w:eastAsia="zh-CN"/>
        </w:rPr>
        <w:t>0</w:t>
      </w:r>
      <w:r>
        <w:rPr>
          <w:rFonts w:hint="eastAsia" w:ascii="仿宋_GB2312" w:eastAsia="仿宋_GB2312" w:cs="宋体"/>
          <w:szCs w:val="32"/>
        </w:rPr>
        <w:t>辆、执法执勤用车</w:t>
      </w:r>
      <w:r>
        <w:rPr>
          <w:rFonts w:hint="eastAsia" w:ascii="仿宋_GB2312" w:eastAsia="仿宋_GB2312" w:cs="宋体"/>
          <w:szCs w:val="32"/>
          <w:lang w:val="en-US" w:eastAsia="zh-CN"/>
        </w:rPr>
        <w:t>17</w:t>
      </w:r>
      <w:r>
        <w:rPr>
          <w:rFonts w:hint="eastAsia" w:ascii="仿宋_GB2312" w:eastAsia="仿宋_GB2312" w:cs="宋体"/>
          <w:szCs w:val="32"/>
        </w:rPr>
        <w:t>辆、特种专业技术用车</w:t>
      </w:r>
      <w:r>
        <w:rPr>
          <w:rFonts w:hint="eastAsia" w:ascii="仿宋_GB2312" w:eastAsia="仿宋_GB2312" w:cs="宋体"/>
          <w:szCs w:val="32"/>
          <w:lang w:val="en-US" w:eastAsia="zh-CN"/>
        </w:rPr>
        <w:t>0</w:t>
      </w:r>
      <w:r>
        <w:rPr>
          <w:rFonts w:hint="eastAsia" w:ascii="仿宋_GB2312" w:eastAsia="仿宋_GB2312" w:cs="宋体"/>
          <w:szCs w:val="32"/>
        </w:rPr>
        <w:t>辆、其他用车</w:t>
      </w:r>
      <w:r>
        <w:rPr>
          <w:rFonts w:hint="eastAsia" w:ascii="仿宋_GB2312" w:eastAsia="仿宋_GB2312" w:cs="宋体"/>
          <w:szCs w:val="32"/>
          <w:lang w:val="en-US" w:eastAsia="zh-CN"/>
        </w:rPr>
        <w:t>0</w:t>
      </w:r>
      <w:r>
        <w:rPr>
          <w:rFonts w:hint="eastAsia" w:ascii="仿宋_GB2312" w:eastAsia="仿宋_GB2312" w:cs="宋体"/>
          <w:szCs w:val="32"/>
        </w:rPr>
        <w:t>辆，其他用车主要是</w:t>
      </w:r>
      <w:r>
        <w:rPr>
          <w:rFonts w:hint="eastAsia" w:ascii="仿宋_GB2312" w:eastAsia="仿宋_GB2312" w:cs="宋体"/>
          <w:szCs w:val="32"/>
          <w:lang w:eastAsia="zh-CN"/>
        </w:rPr>
        <w:t>无</w:t>
      </w:r>
      <w:r>
        <w:rPr>
          <w:rFonts w:hint="eastAsia" w:ascii="仿宋_GB2312" w:eastAsia="仿宋_GB2312" w:cs="宋体"/>
          <w:szCs w:val="32"/>
        </w:rPr>
        <w:t>；单位价值50万元以上通用设备</w:t>
      </w:r>
      <w:r>
        <w:rPr>
          <w:rFonts w:hint="eastAsia" w:ascii="仿宋_GB2312" w:eastAsia="仿宋_GB2312" w:cs="宋体"/>
          <w:szCs w:val="32"/>
          <w:lang w:val="en-US" w:eastAsia="zh-CN"/>
        </w:rPr>
        <w:t>0</w:t>
      </w:r>
      <w:r>
        <w:rPr>
          <w:rFonts w:hint="eastAsia" w:ascii="仿宋_GB2312" w:eastAsia="仿宋_GB2312" w:cs="宋体"/>
          <w:szCs w:val="32"/>
        </w:rPr>
        <w:t>台（套）；单位价值100万元以上专用设备</w:t>
      </w:r>
      <w:r>
        <w:rPr>
          <w:rFonts w:hint="eastAsia" w:ascii="仿宋_GB2312" w:eastAsia="仿宋_GB2312" w:cs="宋体"/>
          <w:szCs w:val="32"/>
          <w:lang w:val="en-US" w:eastAsia="zh-CN"/>
        </w:rPr>
        <w:t>0</w:t>
      </w:r>
      <w:r>
        <w:rPr>
          <w:rFonts w:hint="eastAsia" w:ascii="仿宋_GB2312" w:eastAsia="仿宋_GB2312" w:cs="宋体"/>
          <w:szCs w:val="32"/>
        </w:rPr>
        <w:t>台（套）。</w:t>
      </w:r>
    </w:p>
    <w:p>
      <w:pPr>
        <w:pStyle w:val="10"/>
        <w:rPr>
          <w:rFonts w:hint="eastAsia" w:ascii="仿宋_GB2312" w:eastAsia="仿宋_GB2312" w:cs="宋体"/>
          <w:szCs w:val="32"/>
          <w:lang w:val="en-US" w:eastAsia="zh-CN"/>
        </w:rPr>
      </w:pPr>
      <w:r>
        <w:rPr>
          <w:rFonts w:hint="eastAsia" w:ascii="仿宋_GB2312" w:eastAsia="仿宋_GB2312" w:cs="宋体"/>
          <w:szCs w:val="32"/>
          <w:lang w:val="en-US" w:eastAsia="zh-CN"/>
        </w:rPr>
        <w:t>十三、</w:t>
      </w:r>
      <w:r>
        <w:rPr>
          <w:rFonts w:hint="eastAsia" w:ascii="楷体" w:hAnsi="楷体" w:eastAsia="楷体" w:cs="楷体"/>
          <w:b w:val="0"/>
          <w:bCs w:val="0"/>
          <w:kern w:val="2"/>
          <w:sz w:val="32"/>
          <w:szCs w:val="32"/>
          <w:highlight w:val="none"/>
          <w:u w:val="none"/>
          <w:lang w:val="en-US" w:eastAsia="zh-CN" w:bidi="ar-SA"/>
        </w:rPr>
        <w:t>预算绩效情况说明</w:t>
      </w:r>
    </w:p>
    <w:p>
      <w:pPr>
        <w:bidi w:val="0"/>
        <w:ind w:firstLine="643" w:firstLineChars="200"/>
        <w:rPr>
          <w:rFonts w:hint="eastAsia" w:ascii="仿宋_GB2312" w:hAnsi="仿宋" w:eastAsia="仿宋_GB2312" w:cs="宋体"/>
          <w:b/>
          <w:bCs/>
          <w:kern w:val="2"/>
          <w:sz w:val="32"/>
          <w:szCs w:val="32"/>
          <w:lang w:val="en-US" w:eastAsia="zh-CN" w:bidi="ar-SA"/>
        </w:rPr>
      </w:pPr>
      <w:r>
        <w:rPr>
          <w:rFonts w:hint="eastAsia" w:ascii="仿宋_GB2312" w:hAnsi="仿宋" w:eastAsia="仿宋_GB2312" w:cs="宋体"/>
          <w:b/>
          <w:bCs/>
          <w:kern w:val="2"/>
          <w:sz w:val="32"/>
          <w:szCs w:val="32"/>
          <w:lang w:val="en-US" w:eastAsia="zh-CN" w:bidi="ar-SA"/>
        </w:rPr>
        <w:t>1.预算绩效管理工作开展情况。</w:t>
      </w:r>
    </w:p>
    <w:p>
      <w:pPr>
        <w:bidi w:val="0"/>
        <w:ind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根据预算绩效管理要求，本部门组织对2022年度一般公共预算项目支出全面开展绩效自评，共涉及项目</w:t>
      </w:r>
      <w:r>
        <w:rPr>
          <w:rFonts w:hint="eastAsia" w:ascii="仿宋_GB2312" w:hAnsi="仿宋" w:eastAsia="仿宋_GB2312" w:cs="宋体"/>
          <w:color w:val="auto"/>
          <w:kern w:val="2"/>
          <w:sz w:val="32"/>
          <w:szCs w:val="32"/>
          <w:lang w:val="en-US" w:eastAsia="zh-CN" w:bidi="ar-SA"/>
        </w:rPr>
        <w:t>3个，资金4704.35万元，占一般公共预算项目支出总额的78.11％。从评价情况来</w:t>
      </w:r>
      <w:r>
        <w:rPr>
          <w:rFonts w:hint="eastAsia" w:ascii="仿宋_GB2312" w:hAnsi="仿宋" w:eastAsia="仿宋_GB2312" w:cs="宋体"/>
          <w:kern w:val="2"/>
          <w:sz w:val="32"/>
          <w:szCs w:val="32"/>
          <w:lang w:val="en-US" w:eastAsia="zh-CN" w:bidi="ar-SA"/>
        </w:rPr>
        <w:t>看，环卫园林作业市场化服务项目，</w:t>
      </w:r>
      <w:r>
        <w:rPr>
          <w:rFonts w:hint="eastAsia" w:ascii="仿宋_GB2312" w:hAnsi="仿宋_GB2312" w:eastAsia="仿宋_GB2312" w:cs="仿宋_GB2312"/>
          <w:sz w:val="32"/>
          <w:szCs w:val="32"/>
          <w:lang w:val="en-US" w:eastAsia="zh-CN"/>
        </w:rPr>
        <w:t>提高黄石港区城市道路清扫保洁和园林绿化维护质量，提升环卫园林作业服务水平。环卫园林正式职工人员经费及协管员人员增补经费保障日常工作的顺利开展，工资足额发放。</w:t>
      </w:r>
    </w:p>
    <w:p>
      <w:pPr>
        <w:spacing w:line="56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组织开展部门整体支出绩效评价，我单位严格按照上级专项资金管理办法使用专项资金，确保专项资金专款专用。</w:t>
      </w:r>
    </w:p>
    <w:p>
      <w:pPr>
        <w:pStyle w:val="10"/>
        <w:rPr>
          <w:rFonts w:hint="eastAsia" w:ascii="仿宋_GB2312" w:hAnsi="仿宋_GB2312" w:eastAsia="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2.</w:t>
      </w:r>
      <w:r>
        <w:rPr>
          <w:rFonts w:hint="eastAsia" w:ascii="仿宋_GB2312" w:hAnsi="仿宋_GB2312" w:eastAsia="仿宋_GB2312" w:cs="仿宋_GB2312"/>
          <w:b/>
          <w:bCs/>
          <w:sz w:val="32"/>
          <w:szCs w:val="32"/>
          <w:u w:val="none"/>
          <w:lang w:eastAsia="zh-CN"/>
        </w:rPr>
        <w:t>部门决算中项目绩效自评结果。</w:t>
      </w:r>
    </w:p>
    <w:p>
      <w:pPr>
        <w:spacing w:line="560" w:lineRule="exact"/>
        <w:ind w:firstLine="640" w:firstLineChars="20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本部门今年在部门决算中反映所有项目绩效自评结果。</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 w:eastAsia="仿宋_GB2312" w:cs="宋体"/>
          <w:kern w:val="2"/>
          <w:sz w:val="32"/>
          <w:szCs w:val="32"/>
          <w:lang w:val="en-US" w:eastAsia="zh-CN" w:bidi="ar-SA"/>
        </w:rPr>
        <w:t>环卫园林作业市场化服务</w:t>
      </w:r>
      <w:r>
        <w:rPr>
          <w:rFonts w:hint="eastAsia" w:ascii="仿宋_GB2312" w:hAnsi="仿宋" w:eastAsia="仿宋_GB2312" w:cs="仿宋"/>
          <w:sz w:val="32"/>
          <w:szCs w:val="32"/>
          <w:u w:val="none"/>
        </w:rPr>
        <w:t>项目绩效自评综述：项目全年预算数为</w:t>
      </w:r>
      <w:r>
        <w:rPr>
          <w:rFonts w:hint="eastAsia" w:ascii="仿宋_GB2312" w:hAnsi="仿宋_GB2312" w:eastAsia="仿宋_GB2312" w:cs="仿宋_GB2312"/>
          <w:sz w:val="32"/>
          <w:szCs w:val="32"/>
          <w:lang w:val="en-US" w:eastAsia="zh-CN"/>
        </w:rPr>
        <w:t>3980.25</w:t>
      </w:r>
      <w:r>
        <w:rPr>
          <w:rFonts w:hint="eastAsia" w:ascii="仿宋_GB2312" w:hAnsi="仿宋" w:eastAsia="仿宋_GB2312" w:cs="仿宋"/>
          <w:sz w:val="32"/>
          <w:szCs w:val="32"/>
          <w:u w:val="none"/>
        </w:rPr>
        <w:t>万元，执行数为</w:t>
      </w:r>
      <w:r>
        <w:rPr>
          <w:rFonts w:hint="eastAsia" w:ascii="仿宋_GB2312" w:hAnsi="仿宋" w:eastAsia="仿宋_GB2312" w:cs="仿宋"/>
          <w:sz w:val="32"/>
          <w:szCs w:val="32"/>
          <w:u w:val="none"/>
          <w:lang w:val="en-US" w:eastAsia="zh-CN"/>
        </w:rPr>
        <w:t>3904.35</w:t>
      </w:r>
      <w:r>
        <w:rPr>
          <w:rFonts w:hint="eastAsia" w:ascii="仿宋_GB2312" w:hAnsi="仿宋" w:eastAsia="仿宋_GB2312" w:cs="仿宋"/>
          <w:sz w:val="32"/>
          <w:szCs w:val="32"/>
          <w:u w:val="none"/>
        </w:rPr>
        <w:t>万元，完成预算</w:t>
      </w:r>
      <w:r>
        <w:rPr>
          <w:rFonts w:hint="eastAsia" w:ascii="仿宋_GB2312" w:hAnsi="仿宋" w:eastAsia="仿宋_GB2312" w:cs="仿宋"/>
          <w:sz w:val="32"/>
          <w:szCs w:val="32"/>
          <w:u w:val="none"/>
          <w:lang w:val="en-US" w:eastAsia="zh-CN"/>
        </w:rPr>
        <w:t>98</w:t>
      </w:r>
      <w:r>
        <w:rPr>
          <w:rFonts w:hint="eastAsia" w:ascii="仿宋_GB2312" w:hAnsi="仿宋" w:eastAsia="仿宋_GB2312" w:cs="仿宋"/>
          <w:sz w:val="32"/>
          <w:szCs w:val="32"/>
          <w:u w:val="none"/>
        </w:rPr>
        <w:t>％。主要产出和效益：</w:t>
      </w:r>
      <w:r>
        <w:rPr>
          <w:rFonts w:hint="eastAsia" w:ascii="仿宋_GB2312" w:hAnsi="仿宋" w:eastAsia="仿宋_GB2312" w:cs="仿宋"/>
          <w:sz w:val="32"/>
          <w:szCs w:val="32"/>
          <w:u w:val="none"/>
          <w:lang w:eastAsia="zh-CN"/>
        </w:rPr>
        <w:t>黄石港区内</w:t>
      </w:r>
      <w:r>
        <w:rPr>
          <w:rFonts w:hint="eastAsia" w:ascii="仿宋_GB2312" w:hAnsi="仿宋_GB2312" w:eastAsia="仿宋_GB2312" w:cs="仿宋_GB2312"/>
          <w:sz w:val="32"/>
          <w:szCs w:val="32"/>
          <w:lang w:val="en-US" w:eastAsia="zh-CN"/>
        </w:rPr>
        <w:t>主次干道、社区背街小巷清扫保洁</w:t>
      </w:r>
      <w:r>
        <w:rPr>
          <w:rFonts w:hint="eastAsia" w:ascii="仿宋_GB2312" w:hAnsi="仿宋" w:eastAsia="仿宋_GB2312" w:cs="仿宋"/>
          <w:sz w:val="32"/>
          <w:szCs w:val="32"/>
          <w:u w:val="none"/>
        </w:rPr>
        <w:t>。发现的问题：</w:t>
      </w:r>
      <w:r>
        <w:rPr>
          <w:rFonts w:hint="eastAsia" w:ascii="仿宋_GB2312" w:hAnsi="仿宋_GB2312" w:eastAsia="仿宋_GB2312" w:cs="仿宋_GB2312"/>
          <w:sz w:val="32"/>
          <w:szCs w:val="32"/>
          <w:lang w:val="en-US" w:eastAsia="zh-CN"/>
        </w:rPr>
        <w:t>主次干道“黑色”时段的人员管理，提高保洁强度，提升全面保洁的质量</w:t>
      </w:r>
      <w:r>
        <w:rPr>
          <w:rFonts w:hint="eastAsia" w:ascii="仿宋_GB2312" w:hAnsi="仿宋" w:eastAsia="仿宋_GB2312" w:cs="仿宋"/>
          <w:sz w:val="32"/>
          <w:szCs w:val="32"/>
          <w:u w:val="none"/>
        </w:rPr>
        <w:t>。下一步改进措施：</w:t>
      </w:r>
      <w:r>
        <w:rPr>
          <w:rFonts w:hint="eastAsia" w:ascii="仿宋_GB2312" w:hAnsi="仿宋_GB2312" w:eastAsia="仿宋_GB2312" w:cs="仿宋_GB2312"/>
          <w:sz w:val="32"/>
          <w:szCs w:val="32"/>
          <w:lang w:val="en-US" w:eastAsia="zh-CN"/>
        </w:rPr>
        <w:t>加强“黑色”时段的转运站作业管理，确保转运站正常工作运转。做好作业车的维护保养，确保作业时正常运行。</w:t>
      </w:r>
    </w:p>
    <w:p>
      <w:pPr>
        <w:numPr>
          <w:ilvl w:val="0"/>
          <w:numId w:val="0"/>
        </w:numPr>
        <w:ind w:firstLine="640" w:firstLineChars="200"/>
        <w:jc w:val="left"/>
        <w:rPr>
          <w:rFonts w:hint="eastAsia" w:ascii="仿宋_GB2312" w:hAnsi="仿宋" w:eastAsia="仿宋_GB2312" w:cs="仿宋"/>
          <w:sz w:val="32"/>
          <w:szCs w:val="32"/>
          <w:u w:val="none"/>
        </w:rPr>
      </w:pPr>
      <w:r>
        <w:rPr>
          <w:rFonts w:hint="eastAsia" w:ascii="仿宋_GB2312" w:hAnsi="仿宋" w:eastAsia="仿宋_GB2312" w:cs="仿宋"/>
          <w:sz w:val="32"/>
          <w:szCs w:val="32"/>
          <w:u w:val="none"/>
          <w:lang w:eastAsia="zh-CN"/>
        </w:rPr>
        <w:t>环卫园林正式职工人员经费</w:t>
      </w:r>
      <w:r>
        <w:rPr>
          <w:rFonts w:hint="eastAsia" w:ascii="仿宋_GB2312" w:hAnsi="仿宋" w:eastAsia="仿宋_GB2312" w:cs="仿宋"/>
          <w:sz w:val="32"/>
          <w:szCs w:val="32"/>
          <w:u w:val="none"/>
        </w:rPr>
        <w:t>项目绩效自评综述：项目全年预算</w:t>
      </w:r>
      <w:r>
        <w:rPr>
          <w:rFonts w:hint="eastAsia" w:ascii="仿宋_GB2312" w:hAnsi="仿宋" w:eastAsia="仿宋_GB2312" w:cs="仿宋"/>
          <w:color w:val="auto"/>
          <w:sz w:val="32"/>
          <w:szCs w:val="32"/>
          <w:u w:val="none"/>
        </w:rPr>
        <w:t>数</w:t>
      </w:r>
      <w:r>
        <w:rPr>
          <w:rFonts w:hint="eastAsia" w:ascii="仿宋_GB2312" w:hAnsi="仿宋" w:eastAsia="仿宋_GB2312" w:cs="仿宋"/>
          <w:color w:val="auto"/>
          <w:sz w:val="32"/>
          <w:szCs w:val="32"/>
          <w:highlight w:val="none"/>
          <w:u w:val="none"/>
        </w:rPr>
        <w:t>为</w:t>
      </w:r>
      <w:r>
        <w:rPr>
          <w:rFonts w:hint="eastAsia" w:ascii="仿宋_GB2312" w:hAnsi="仿宋_GB2312" w:eastAsia="仿宋_GB2312" w:cs="仿宋_GB2312"/>
          <w:color w:val="auto"/>
          <w:sz w:val="32"/>
          <w:szCs w:val="32"/>
          <w:highlight w:val="none"/>
          <w:lang w:val="en-US" w:eastAsia="zh-CN"/>
        </w:rPr>
        <w:t>800</w:t>
      </w:r>
      <w:r>
        <w:rPr>
          <w:rFonts w:hint="eastAsia" w:ascii="仿宋_GB2312" w:hAnsi="仿宋" w:eastAsia="仿宋_GB2312" w:cs="仿宋"/>
          <w:color w:val="auto"/>
          <w:sz w:val="32"/>
          <w:szCs w:val="32"/>
          <w:highlight w:val="none"/>
          <w:u w:val="none"/>
        </w:rPr>
        <w:t>万元，执行数为</w:t>
      </w:r>
      <w:r>
        <w:rPr>
          <w:rFonts w:hint="eastAsia" w:ascii="仿宋_GB2312" w:hAnsi="仿宋" w:eastAsia="仿宋_GB2312" w:cs="仿宋"/>
          <w:color w:val="auto"/>
          <w:sz w:val="32"/>
          <w:szCs w:val="32"/>
          <w:highlight w:val="none"/>
          <w:u w:val="none"/>
          <w:lang w:val="en-US" w:eastAsia="zh-CN"/>
        </w:rPr>
        <w:t>600</w:t>
      </w:r>
      <w:r>
        <w:rPr>
          <w:rFonts w:hint="eastAsia" w:ascii="仿宋_GB2312" w:hAnsi="仿宋" w:eastAsia="仿宋_GB2312" w:cs="仿宋"/>
          <w:color w:val="auto"/>
          <w:sz w:val="32"/>
          <w:szCs w:val="32"/>
          <w:highlight w:val="none"/>
          <w:u w:val="none"/>
        </w:rPr>
        <w:t>万元，</w:t>
      </w:r>
      <w:r>
        <w:rPr>
          <w:rFonts w:hint="eastAsia" w:ascii="仿宋_GB2312" w:hAnsi="仿宋" w:eastAsia="仿宋_GB2312" w:cs="仿宋"/>
          <w:sz w:val="32"/>
          <w:szCs w:val="32"/>
          <w:u w:val="none"/>
        </w:rPr>
        <w:t>完成预算</w:t>
      </w:r>
      <w:r>
        <w:rPr>
          <w:rFonts w:hint="eastAsia" w:ascii="仿宋_GB2312" w:hAnsi="仿宋" w:eastAsia="仿宋_GB2312" w:cs="仿宋"/>
          <w:sz w:val="32"/>
          <w:szCs w:val="32"/>
          <w:u w:val="none"/>
          <w:lang w:val="en-US" w:eastAsia="zh-CN"/>
        </w:rPr>
        <w:t>75</w:t>
      </w:r>
      <w:r>
        <w:rPr>
          <w:rFonts w:hint="eastAsia" w:ascii="仿宋_GB2312" w:hAnsi="仿宋" w:eastAsia="仿宋_GB2312" w:cs="仿宋"/>
          <w:sz w:val="32"/>
          <w:szCs w:val="32"/>
          <w:u w:val="none"/>
        </w:rPr>
        <w:t>％。主要产出和效益：</w:t>
      </w:r>
      <w:r>
        <w:rPr>
          <w:rFonts w:hint="eastAsia" w:ascii="仿宋_GB2312" w:hAnsi="仿宋_GB2312" w:eastAsia="仿宋_GB2312" w:cs="仿宋_GB2312"/>
          <w:sz w:val="32"/>
          <w:szCs w:val="32"/>
          <w:lang w:val="en-US" w:eastAsia="zh-CN"/>
        </w:rPr>
        <w:t>保障日常工作的顺利开展，提高群众生活水平</w:t>
      </w:r>
      <w:r>
        <w:rPr>
          <w:rFonts w:hint="eastAsia" w:ascii="仿宋_GB2312" w:hAnsi="仿宋" w:eastAsia="仿宋_GB2312" w:cs="仿宋"/>
          <w:sz w:val="32"/>
          <w:szCs w:val="32"/>
          <w:u w:val="none"/>
        </w:rPr>
        <w:t>。</w:t>
      </w:r>
    </w:p>
    <w:p>
      <w:pPr>
        <w:numPr>
          <w:ilvl w:val="0"/>
          <w:numId w:val="0"/>
        </w:numPr>
        <w:ind w:firstLine="640" w:firstLineChars="200"/>
        <w:jc w:val="left"/>
        <w:rPr>
          <w:rFonts w:hint="eastAsia" w:ascii="仿宋_GB2312" w:hAnsi="仿宋" w:eastAsia="仿宋_GB2312" w:cs="仿宋"/>
          <w:sz w:val="32"/>
          <w:szCs w:val="32"/>
          <w:u w:val="none"/>
        </w:rPr>
      </w:pPr>
      <w:r>
        <w:rPr>
          <w:rFonts w:hint="eastAsia" w:ascii="仿宋_GB2312" w:hAnsi="仿宋" w:eastAsia="仿宋_GB2312" w:cs="仿宋"/>
          <w:sz w:val="32"/>
          <w:szCs w:val="32"/>
          <w:u w:val="none"/>
          <w:lang w:eastAsia="zh-CN"/>
        </w:rPr>
        <w:t>协管员人员增补经费</w:t>
      </w:r>
      <w:r>
        <w:rPr>
          <w:rFonts w:hint="eastAsia" w:ascii="仿宋_GB2312" w:hAnsi="仿宋" w:eastAsia="仿宋_GB2312" w:cs="仿宋"/>
          <w:sz w:val="32"/>
          <w:szCs w:val="32"/>
          <w:u w:val="none"/>
        </w:rPr>
        <w:t>项目绩效自评综述：项目全年预</w:t>
      </w:r>
      <w:r>
        <w:rPr>
          <w:rFonts w:hint="eastAsia" w:ascii="仿宋_GB2312" w:hAnsi="仿宋" w:eastAsia="仿宋_GB2312" w:cs="仿宋"/>
          <w:color w:val="auto"/>
          <w:sz w:val="32"/>
          <w:szCs w:val="32"/>
          <w:u w:val="none"/>
        </w:rPr>
        <w:t>算数</w:t>
      </w:r>
      <w:r>
        <w:rPr>
          <w:rFonts w:hint="eastAsia" w:ascii="仿宋_GB2312" w:hAnsi="仿宋" w:eastAsia="仿宋_GB2312" w:cs="仿宋"/>
          <w:color w:val="auto"/>
          <w:sz w:val="32"/>
          <w:szCs w:val="32"/>
          <w:highlight w:val="none"/>
          <w:u w:val="none"/>
        </w:rPr>
        <w:t>为</w:t>
      </w:r>
      <w:r>
        <w:rPr>
          <w:rFonts w:hint="eastAsia" w:ascii="仿宋_GB2312" w:hAnsi="仿宋_GB2312" w:eastAsia="仿宋_GB2312" w:cs="仿宋_GB2312"/>
          <w:color w:val="auto"/>
          <w:sz w:val="32"/>
          <w:szCs w:val="32"/>
          <w:highlight w:val="none"/>
          <w:lang w:val="en-US" w:eastAsia="zh-CN"/>
        </w:rPr>
        <w:t>200</w:t>
      </w:r>
      <w:r>
        <w:rPr>
          <w:rFonts w:hint="eastAsia" w:ascii="仿宋_GB2312" w:hAnsi="仿宋" w:eastAsia="仿宋_GB2312" w:cs="仿宋"/>
          <w:color w:val="auto"/>
          <w:sz w:val="32"/>
          <w:szCs w:val="32"/>
          <w:highlight w:val="none"/>
          <w:u w:val="none"/>
        </w:rPr>
        <w:t>万元，执行数为</w:t>
      </w:r>
      <w:r>
        <w:rPr>
          <w:rFonts w:hint="eastAsia" w:ascii="仿宋_GB2312" w:hAnsi="仿宋" w:eastAsia="仿宋_GB2312" w:cs="仿宋"/>
          <w:color w:val="auto"/>
          <w:sz w:val="32"/>
          <w:szCs w:val="32"/>
          <w:highlight w:val="none"/>
          <w:u w:val="none"/>
          <w:lang w:val="en-US" w:eastAsia="zh-CN"/>
        </w:rPr>
        <w:t>200</w:t>
      </w:r>
      <w:r>
        <w:rPr>
          <w:rFonts w:hint="eastAsia" w:ascii="仿宋_GB2312" w:hAnsi="仿宋" w:eastAsia="仿宋_GB2312" w:cs="仿宋"/>
          <w:color w:val="auto"/>
          <w:sz w:val="32"/>
          <w:szCs w:val="32"/>
          <w:highlight w:val="none"/>
          <w:u w:val="none"/>
        </w:rPr>
        <w:t>万元，</w:t>
      </w:r>
      <w:r>
        <w:rPr>
          <w:rFonts w:hint="eastAsia" w:ascii="仿宋_GB2312" w:hAnsi="仿宋" w:eastAsia="仿宋_GB2312" w:cs="仿宋"/>
          <w:color w:val="auto"/>
          <w:sz w:val="32"/>
          <w:szCs w:val="32"/>
          <w:u w:val="none"/>
        </w:rPr>
        <w:t>完</w:t>
      </w:r>
      <w:r>
        <w:rPr>
          <w:rFonts w:hint="eastAsia" w:ascii="仿宋_GB2312" w:hAnsi="仿宋" w:eastAsia="仿宋_GB2312" w:cs="仿宋"/>
          <w:sz w:val="32"/>
          <w:szCs w:val="32"/>
          <w:u w:val="none"/>
        </w:rPr>
        <w:t>成预算</w:t>
      </w:r>
      <w:r>
        <w:rPr>
          <w:rFonts w:hint="eastAsia" w:ascii="仿宋_GB2312" w:hAnsi="仿宋" w:eastAsia="仿宋_GB2312" w:cs="仿宋"/>
          <w:sz w:val="32"/>
          <w:szCs w:val="32"/>
          <w:u w:val="none"/>
          <w:lang w:val="en-US" w:eastAsia="zh-CN"/>
        </w:rPr>
        <w:t>100</w:t>
      </w:r>
      <w:r>
        <w:rPr>
          <w:rFonts w:hint="eastAsia" w:ascii="仿宋_GB2312" w:hAnsi="仿宋" w:eastAsia="仿宋_GB2312" w:cs="仿宋"/>
          <w:sz w:val="32"/>
          <w:szCs w:val="32"/>
          <w:u w:val="none"/>
        </w:rPr>
        <w:t>％。主要产出和效益：</w:t>
      </w:r>
      <w:r>
        <w:rPr>
          <w:rFonts w:hint="eastAsia" w:ascii="仿宋_GB2312" w:hAnsi="仿宋_GB2312" w:eastAsia="仿宋_GB2312" w:cs="仿宋_GB2312"/>
          <w:sz w:val="32"/>
          <w:szCs w:val="32"/>
          <w:lang w:val="en-US" w:eastAsia="zh-CN"/>
        </w:rPr>
        <w:t>保障日常工作的顺利开展，提高群众生活水平</w:t>
      </w:r>
      <w:r>
        <w:rPr>
          <w:rFonts w:hint="eastAsia" w:ascii="仿宋_GB2312" w:hAnsi="仿宋" w:eastAsia="仿宋_GB2312" w:cs="仿宋"/>
          <w:sz w:val="32"/>
          <w:szCs w:val="32"/>
          <w:u w:val="none"/>
        </w:rPr>
        <w:t>。</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我局2022年度严格执行年初部门预算，资金使用及管理规范，制度落实到位，绩效考核目标任务圆满完成，按照部门整体支出绩效自评表指标体系对照打分得出结果为96分。</w:t>
      </w:r>
    </w:p>
    <w:p>
      <w:pPr>
        <w:spacing w:line="560" w:lineRule="exact"/>
        <w:ind w:firstLine="640"/>
        <w:rPr>
          <w:rFonts w:hint="eastAsia" w:ascii="仿宋_GB2312" w:hAnsi="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3.</w:t>
      </w:r>
      <w:r>
        <w:rPr>
          <w:rFonts w:hint="eastAsia" w:ascii="仿宋_GB2312" w:hAnsi="仿宋_GB2312" w:eastAsia="仿宋_GB2312" w:cs="仿宋_GB2312"/>
          <w:b/>
          <w:bCs/>
          <w:sz w:val="32"/>
          <w:szCs w:val="32"/>
          <w:u w:val="none"/>
        </w:rPr>
        <w:t>绩效评价结果应用情况</w:t>
      </w:r>
      <w:r>
        <w:rPr>
          <w:rFonts w:hint="eastAsia" w:ascii="仿宋_GB2312" w:hAnsi="仿宋_GB2312" w:cs="仿宋_GB2312"/>
          <w:b/>
          <w:bCs/>
          <w:sz w:val="32"/>
          <w:szCs w:val="32"/>
          <w:u w:val="none"/>
          <w:lang w:eastAsia="zh-CN"/>
        </w:rPr>
        <w:t>。</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部门整体支出绩效自评结果显示，我单位绩效管理情况较为理想，达到了年初设定的各项绩效目标。所有资金使用严格按审批程序办理、操作规范，会计核算结果真实、准确，各项支出严格按照各项制度执行。</w:t>
      </w:r>
    </w:p>
    <w:p>
      <w:pPr>
        <w:pStyle w:val="1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  名词解释</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none"/>
          <w:u w:val="none"/>
          <w:lang w:eastAsia="zh-CN"/>
        </w:rPr>
      </w:pPr>
      <w:r>
        <w:rPr>
          <w:rFonts w:hint="eastAsia" w:ascii="仿宋_GB2312" w:eastAsia="仿宋_GB2312"/>
          <w:bCs/>
          <w:kern w:val="44"/>
          <w:sz w:val="32"/>
          <w:szCs w:val="32"/>
          <w:highlight w:val="none"/>
          <w:u w:val="none"/>
        </w:rPr>
        <w:t>(一)</w:t>
      </w:r>
      <w:r>
        <w:rPr>
          <w:rFonts w:hint="eastAsia" w:ascii="仿宋_GB2312" w:eastAsia="仿宋_GB2312"/>
          <w:spacing w:val="6"/>
          <w:sz w:val="32"/>
          <w:szCs w:val="32"/>
          <w:highlight w:val="none"/>
          <w:u w:val="none"/>
        </w:rPr>
        <w:t>一般公共预算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eastAsia="仿宋_GB2312"/>
          <w:spacing w:val="6"/>
          <w:sz w:val="32"/>
          <w:szCs w:val="32"/>
          <w:highlight w:val="none"/>
          <w:u w:val="none"/>
        </w:rPr>
        <w:t>一般公共预算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预算财政拨款收入：指市级财政</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预算当年拨付的资金。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四</w:t>
      </w:r>
      <w:r>
        <w:rPr>
          <w:rFonts w:hint="eastAsia" w:ascii="仿宋_GB2312" w:eastAsia="仿宋_GB2312"/>
          <w:bCs/>
          <w:kern w:val="44"/>
          <w:sz w:val="32"/>
          <w:szCs w:val="32"/>
          <w:highlight w:val="none"/>
          <w:u w:val="none"/>
        </w:rPr>
        <w:t>)上级补助收入：指从</w:t>
      </w:r>
      <w:r>
        <w:rPr>
          <w:rFonts w:hint="eastAsia" w:ascii="仿宋_GB2312" w:hAnsi="宋体" w:eastAsia="仿宋_GB2312"/>
          <w:sz w:val="32"/>
          <w:szCs w:val="32"/>
          <w:highlight w:val="none"/>
          <w:u w:val="none"/>
        </w:rPr>
        <w:t>事业单位</w:t>
      </w:r>
      <w:r>
        <w:rPr>
          <w:rFonts w:hint="eastAsia" w:ascii="仿宋_GB2312" w:eastAsia="仿宋_GB2312"/>
          <w:bCs/>
          <w:kern w:val="44"/>
          <w:sz w:val="32"/>
          <w:szCs w:val="32"/>
          <w:highlight w:val="none"/>
          <w:u w:val="none"/>
        </w:rPr>
        <w:t>主管部门和上级单位取得的非财政补助收入。</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五</w:t>
      </w:r>
      <w:r>
        <w:rPr>
          <w:rFonts w:hint="eastAsia" w:ascii="仿宋_GB2312" w:eastAsia="仿宋_GB2312"/>
          <w:bCs/>
          <w:kern w:val="44"/>
          <w:sz w:val="32"/>
          <w:szCs w:val="32"/>
          <w:highlight w:val="none"/>
          <w:u w:val="none"/>
        </w:rPr>
        <w:t>)事业收入：指事业单位开展专业业务活动及其辅助活动取得的收入。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六</w:t>
      </w:r>
      <w:r>
        <w:rPr>
          <w:rFonts w:hint="eastAsia" w:ascii="仿宋_GB2312" w:eastAsia="仿宋_GB2312"/>
          <w:bCs/>
          <w:kern w:val="44"/>
          <w:sz w:val="32"/>
          <w:szCs w:val="32"/>
          <w:highlight w:val="none"/>
          <w:u w:val="none"/>
        </w:rPr>
        <w:t>)经营收入：指事业单位在专业业务活动及其辅助活动之外开展非独立核算经营活动取得的收入。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宋体" w:eastAsia="仿宋_GB2312"/>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七</w:t>
      </w:r>
      <w:r>
        <w:rPr>
          <w:rFonts w:hint="eastAsia" w:ascii="仿宋_GB2312" w:eastAsia="仿宋_GB2312"/>
          <w:bCs/>
          <w:kern w:val="44"/>
          <w:sz w:val="32"/>
          <w:szCs w:val="32"/>
          <w:highlight w:val="none"/>
          <w:u w:val="none"/>
        </w:rPr>
        <w:t>)其他收入：指</w:t>
      </w:r>
      <w:r>
        <w:rPr>
          <w:rFonts w:hint="eastAsia" w:ascii="仿宋_GB2312" w:hAnsi="宋体" w:eastAsia="仿宋_GB2312"/>
          <w:sz w:val="32"/>
          <w:szCs w:val="32"/>
          <w:highlight w:val="none"/>
          <w:u w:val="none"/>
        </w:rPr>
        <w:t>单位取得的除</w:t>
      </w:r>
      <w:r>
        <w:rPr>
          <w:rFonts w:hint="eastAsia" w:ascii="仿宋_GB2312" w:hAnsi="宋体" w:eastAsia="仿宋_GB2312"/>
          <w:sz w:val="32"/>
          <w:szCs w:val="32"/>
          <w:highlight w:val="none"/>
          <w:u w:val="none"/>
          <w:lang w:eastAsia="zh-CN"/>
        </w:rPr>
        <w:t>上述“一般公共预算财政拨款收入”、“</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highlight w:val="none"/>
          <w:u w:val="none"/>
        </w:rPr>
        <w:t>上级补助收入</w:t>
      </w:r>
      <w:r>
        <w:rPr>
          <w:rFonts w:hint="eastAsia" w:ascii="仿宋_GB2312" w:hAnsi="宋体" w:eastAsia="仿宋_GB2312"/>
          <w:sz w:val="32"/>
          <w:szCs w:val="32"/>
          <w:highlight w:val="none"/>
          <w:u w:val="none"/>
          <w:lang w:eastAsia="zh-CN"/>
        </w:rPr>
        <w:t>”、“事业收入”、“经营收入”等</w:t>
      </w:r>
      <w:r>
        <w:rPr>
          <w:rFonts w:hint="eastAsia" w:ascii="仿宋_GB2312" w:hAnsi="宋体" w:eastAsia="仿宋_GB2312"/>
          <w:sz w:val="32"/>
          <w:szCs w:val="32"/>
          <w:highlight w:val="none"/>
          <w:u w:val="none"/>
        </w:rPr>
        <w:t>收入以外的各项收入</w:t>
      </w:r>
      <w:r>
        <w:rPr>
          <w:rFonts w:hint="eastAsia" w:ascii="仿宋_GB2312" w:hAnsi="宋体" w:eastAsia="仿宋_GB2312"/>
          <w:sz w:val="32"/>
          <w:szCs w:val="32"/>
          <w:highlight w:val="none"/>
          <w:u w:val="none"/>
          <w:lang w:eastAsia="zh-CN"/>
        </w:rPr>
        <w:t>。（</w:t>
      </w:r>
      <w:r>
        <w:rPr>
          <w:rFonts w:hint="eastAsia" w:ascii="仿宋_GB2312" w:hAnsi="宋体" w:eastAsia="仿宋_GB2312"/>
          <w:sz w:val="32"/>
          <w:szCs w:val="32"/>
          <w:highlight w:val="none"/>
          <w:u w:val="none"/>
          <w:lang w:val="en-US" w:eastAsia="zh-CN"/>
        </w:rPr>
        <w:t>该</w:t>
      </w:r>
      <w:r>
        <w:rPr>
          <w:rFonts w:hint="eastAsia" w:ascii="仿宋" w:hAnsi="仿宋" w:eastAsia="仿宋" w:cs="仿宋"/>
          <w:sz w:val="32"/>
          <w:szCs w:val="32"/>
          <w:highlight w:val="none"/>
          <w:u w:val="none"/>
          <w:lang w:val="en-US" w:eastAsia="zh-CN"/>
        </w:rPr>
        <w:t>项名词解</w:t>
      </w:r>
      <w:r>
        <w:rPr>
          <w:rFonts w:hint="eastAsia" w:ascii="仿宋" w:hAnsi="仿宋" w:eastAsia="仿宋" w:cs="仿宋"/>
          <w:sz w:val="32"/>
          <w:szCs w:val="32"/>
          <w:highlight w:val="none"/>
          <w:u w:val="none"/>
        </w:rPr>
        <w:t>释</w:t>
      </w:r>
      <w:r>
        <w:rPr>
          <w:rFonts w:hint="eastAsia" w:ascii="仿宋" w:hAnsi="仿宋" w:eastAsia="仿宋" w:cs="仿宋"/>
          <w:sz w:val="32"/>
          <w:szCs w:val="32"/>
          <w:highlight w:val="none"/>
          <w:u w:val="none"/>
          <w:lang w:eastAsia="zh-CN"/>
        </w:rPr>
        <w:t>中“上述……等收入”请依据部门收入的实际情况进行</w:t>
      </w:r>
      <w:r>
        <w:rPr>
          <w:rFonts w:hint="eastAsia" w:ascii="仿宋" w:hAnsi="仿宋" w:eastAsia="仿宋" w:cs="仿宋"/>
          <w:sz w:val="32"/>
          <w:szCs w:val="32"/>
          <w:highlight w:val="none"/>
          <w:u w:val="none"/>
          <w:lang w:val="en-US" w:eastAsia="zh-CN"/>
        </w:rPr>
        <w:t>解</w:t>
      </w:r>
      <w:r>
        <w:rPr>
          <w:rFonts w:hint="eastAsia" w:ascii="仿宋" w:hAnsi="仿宋" w:eastAsia="仿宋" w:cs="仿宋"/>
          <w:sz w:val="32"/>
          <w:szCs w:val="32"/>
          <w:highlight w:val="none"/>
          <w:u w:val="none"/>
        </w:rPr>
        <w:t>释</w:t>
      </w:r>
      <w:r>
        <w:rPr>
          <w:rFonts w:hint="eastAsia" w:ascii="仿宋_GB2312" w:hAnsi="宋体" w:eastAsia="仿宋_GB2312"/>
          <w:sz w:val="32"/>
          <w:szCs w:val="32"/>
          <w:highlight w:val="none"/>
          <w:u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u w:val="none"/>
          <w:lang w:eastAsia="zh-CN"/>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八</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使用非财政拨款结余</w:t>
      </w:r>
      <w:r>
        <w:rPr>
          <w:rFonts w:hint="eastAsia" w:ascii="仿宋_GB2312" w:eastAsia="仿宋_GB2312"/>
          <w:bCs/>
          <w:kern w:val="44"/>
          <w:sz w:val="32"/>
          <w:szCs w:val="32"/>
          <w:highlight w:val="none"/>
          <w:u w:val="none"/>
        </w:rPr>
        <w:t>：</w:t>
      </w:r>
      <w:r>
        <w:rPr>
          <w:rFonts w:hint="default" w:ascii="仿宋_GB2312" w:hAnsi="仿宋_GB2312" w:eastAsia="仿宋_GB2312"/>
          <w:color w:val="000000"/>
          <w:sz w:val="32"/>
          <w:u w:val="none"/>
        </w:rPr>
        <w:t>指事业单位</w:t>
      </w:r>
      <w:r>
        <w:rPr>
          <w:rFonts w:hint="eastAsia" w:ascii="仿宋_GB2312" w:hAnsi="仿宋_GB2312" w:eastAsia="仿宋_GB2312"/>
          <w:color w:val="000000"/>
          <w:sz w:val="32"/>
          <w:u w:val="none"/>
          <w:lang w:eastAsia="zh-CN"/>
        </w:rPr>
        <w:t>使用以前年度积累的非财政拨款结余弥补当年收支差额的金额。</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九</w:t>
      </w:r>
      <w:r>
        <w:rPr>
          <w:rFonts w:hint="eastAsia" w:ascii="仿宋_GB2312" w:eastAsia="仿宋_GB2312"/>
          <w:bCs/>
          <w:kern w:val="44"/>
          <w:sz w:val="32"/>
          <w:szCs w:val="32"/>
          <w:highlight w:val="none"/>
          <w:u w:val="none"/>
        </w:rPr>
        <w:t>)年初结转和结余：</w:t>
      </w:r>
      <w:r>
        <w:rPr>
          <w:rFonts w:hint="default" w:ascii="仿宋_GB2312" w:hAnsi="仿宋_GB2312" w:eastAsia="仿宋_GB2312"/>
          <w:color w:val="000000"/>
          <w:sz w:val="32"/>
          <w:u w:val="none"/>
        </w:rPr>
        <w:t>指</w:t>
      </w:r>
      <w:r>
        <w:rPr>
          <w:rFonts w:hint="eastAsia" w:ascii="仿宋_GB2312" w:hAnsi="仿宋_GB2312" w:eastAsia="仿宋_GB2312"/>
          <w:color w:val="000000"/>
          <w:sz w:val="32"/>
          <w:u w:val="none"/>
          <w:lang w:eastAsia="zh-CN"/>
        </w:rPr>
        <w:t>单位</w:t>
      </w:r>
      <w:r>
        <w:rPr>
          <w:rFonts w:hint="default" w:ascii="仿宋_GB2312" w:hAnsi="仿宋_GB2312" w:eastAsia="仿宋_GB2312"/>
          <w:color w:val="000000"/>
          <w:sz w:val="32"/>
          <w:u w:val="none"/>
        </w:rPr>
        <w:t>以前年度</w:t>
      </w:r>
      <w:r>
        <w:rPr>
          <w:rFonts w:hint="eastAsia" w:ascii="仿宋_GB2312" w:hAnsi="仿宋_GB2312" w:eastAsia="仿宋_GB2312"/>
          <w:color w:val="000000"/>
          <w:sz w:val="32"/>
          <w:u w:val="none"/>
          <w:lang w:eastAsia="zh-CN"/>
        </w:rPr>
        <w:t>尚未完成</w:t>
      </w:r>
      <w:r>
        <w:rPr>
          <w:rFonts w:hint="default" w:ascii="仿宋_GB2312" w:hAnsi="仿宋_GB2312" w:eastAsia="仿宋_GB2312"/>
          <w:color w:val="000000"/>
          <w:sz w:val="32"/>
          <w:u w:val="none"/>
        </w:rPr>
        <w:t>、结转到本年仍按原规定用途继续使用的资金</w:t>
      </w:r>
      <w:r>
        <w:rPr>
          <w:rFonts w:hint="eastAsia" w:ascii="仿宋_GB2312" w:hAnsi="仿宋_GB2312" w:eastAsia="仿宋_GB2312"/>
          <w:color w:val="000000"/>
          <w:sz w:val="32"/>
          <w:u w:val="none"/>
          <w:lang w:eastAsia="zh-CN"/>
        </w:rPr>
        <w:t>，或项目已完成等产生的结余资金</w:t>
      </w:r>
      <w:r>
        <w:rPr>
          <w:rFonts w:hint="default" w:ascii="仿宋_GB2312" w:hAnsi="仿宋_GB2312" w:eastAsia="仿宋_GB2312"/>
          <w:color w:val="000000"/>
          <w:sz w:val="32"/>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十</w:t>
      </w:r>
      <w:r>
        <w:rPr>
          <w:rFonts w:hint="eastAsia" w:ascii="仿宋_GB2312" w:eastAsia="仿宋_GB2312"/>
          <w:bCs/>
          <w:kern w:val="44"/>
          <w:sz w:val="32"/>
          <w:szCs w:val="32"/>
          <w:highlight w:val="none"/>
          <w:u w:val="none"/>
        </w:rPr>
        <w:t>)本部门使用的支出功能分类科目(到项级)</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lang w:eastAsia="zh-CN"/>
        </w:rPr>
      </w:pPr>
      <w:r>
        <w:rPr>
          <w:rFonts w:hint="eastAsia" w:ascii="仿宋_GB2312" w:eastAsia="仿宋_GB2312"/>
          <w:bCs/>
          <w:kern w:val="44"/>
          <w:sz w:val="32"/>
          <w:szCs w:val="32"/>
          <w:highlight w:val="none"/>
          <w:u w:val="none"/>
        </w:rPr>
        <w:t>1.</w:t>
      </w:r>
      <w:r>
        <w:rPr>
          <w:rFonts w:hint="eastAsia" w:ascii="仿宋_GB2312" w:eastAsia="仿宋_GB2312"/>
          <w:bCs/>
          <w:kern w:val="44"/>
          <w:sz w:val="32"/>
          <w:szCs w:val="32"/>
          <w:highlight w:val="none"/>
          <w:u w:val="none"/>
          <w:lang w:eastAsia="zh-CN"/>
        </w:rPr>
        <w:t>城乡社区支出（类）城乡社区管理事务（款）：</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1</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行政运行(项)</w:t>
      </w:r>
      <w:r>
        <w:rPr>
          <w:rFonts w:hint="eastAsia" w:ascii="仿宋_GB2312" w:eastAsia="仿宋_GB2312"/>
          <w:sz w:val="32"/>
          <w:szCs w:val="32"/>
          <w:highlight w:val="none"/>
          <w:u w:val="none"/>
          <w:lang w:eastAsia="zh-CN"/>
        </w:rPr>
        <w:t>：指行政单位（包括实行公务员管理的事业单位）的基本支出。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2</w:t>
      </w:r>
      <w:r>
        <w:rPr>
          <w:rFonts w:hint="eastAsia" w:ascii="仿宋_GB2312" w:eastAsia="仿宋_GB2312"/>
          <w:sz w:val="32"/>
          <w:szCs w:val="32"/>
          <w:highlight w:val="none"/>
          <w:u w:val="none"/>
          <w:lang w:eastAsia="zh-CN"/>
        </w:rPr>
        <w:t>）一般行政管理事务（项）：指行政单位（包括实行公务员管理的事业单位）未单独设置项级科目的其他项目支出。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3</w:t>
      </w:r>
      <w:r>
        <w:rPr>
          <w:rFonts w:hint="eastAsia" w:ascii="仿宋_GB2312" w:eastAsia="仿宋_GB2312"/>
          <w:sz w:val="32"/>
          <w:szCs w:val="32"/>
          <w:highlight w:val="none"/>
          <w:u w:val="none"/>
          <w:lang w:eastAsia="zh-CN"/>
        </w:rPr>
        <w:t>）城管执法（项）：指返城市管理综合行政执法，加强城市市容和环境卫生管理等当面的支出。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4</w:t>
      </w:r>
      <w:r>
        <w:rPr>
          <w:rFonts w:hint="eastAsia" w:ascii="仿宋_GB2312" w:eastAsia="仿宋_GB2312"/>
          <w:sz w:val="32"/>
          <w:szCs w:val="32"/>
          <w:highlight w:val="none"/>
          <w:u w:val="none"/>
          <w:lang w:eastAsia="zh-CN"/>
        </w:rPr>
        <w:t>）执业资格注册、资质审查（项）：执业资格注册和资质审查等行政性收费的成本性开支。</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5</w:t>
      </w:r>
      <w:r>
        <w:rPr>
          <w:rFonts w:hint="eastAsia" w:ascii="仿宋_GB2312" w:eastAsia="仿宋_GB2312"/>
          <w:sz w:val="32"/>
          <w:szCs w:val="32"/>
          <w:highlight w:val="none"/>
          <w:u w:val="none"/>
          <w:lang w:eastAsia="zh-CN"/>
        </w:rPr>
        <w:t>）其他城乡社区管理事务支出（项）：上述项目以外其他用于城乡社区管理事务方面的支出。</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lang w:eastAsia="zh-CN"/>
        </w:rPr>
      </w:pPr>
      <w:r>
        <w:rPr>
          <w:rFonts w:hint="eastAsia" w:ascii="仿宋_GB2312" w:eastAsia="仿宋_GB2312"/>
          <w:bCs/>
          <w:kern w:val="44"/>
          <w:sz w:val="32"/>
          <w:szCs w:val="32"/>
          <w:highlight w:val="none"/>
          <w:u w:val="none"/>
          <w:lang w:val="en-US" w:eastAsia="zh-CN"/>
        </w:rPr>
        <w:t>2.</w:t>
      </w:r>
      <w:r>
        <w:rPr>
          <w:rFonts w:hint="eastAsia" w:ascii="仿宋_GB2312" w:eastAsia="仿宋_GB2312"/>
          <w:bCs/>
          <w:kern w:val="44"/>
          <w:sz w:val="32"/>
          <w:szCs w:val="32"/>
          <w:highlight w:val="none"/>
          <w:u w:val="none"/>
          <w:lang w:eastAsia="zh-CN"/>
        </w:rPr>
        <w:t>城乡社区支出（类）其他城乡社区支出（款）：</w:t>
      </w:r>
    </w:p>
    <w:p>
      <w:pPr>
        <w:pageBreakBefore w:val="0"/>
        <w:widowControl w:val="0"/>
        <w:numPr>
          <w:ilvl w:val="0"/>
          <w:numId w:val="0"/>
        </w:numPr>
        <w:kinsoku/>
        <w:wordWrap/>
        <w:overflowPunct/>
        <w:topLinePunct w:val="0"/>
        <w:bidi w:val="0"/>
        <w:adjustRightInd w:val="0"/>
        <w:snapToGrid w:val="0"/>
        <w:spacing w:line="360" w:lineRule="auto"/>
        <w:ind w:firstLine="960" w:firstLineChars="300"/>
        <w:textAlignment w:val="auto"/>
        <w:rPr>
          <w:rFonts w:hint="eastAsia" w:ascii="仿宋_GB2312" w:eastAsia="仿宋_GB2312"/>
          <w:bCs/>
          <w:kern w:val="44"/>
          <w:sz w:val="32"/>
          <w:szCs w:val="32"/>
          <w:highlight w:val="none"/>
          <w:u w:val="none"/>
          <w:lang w:eastAsia="zh-CN"/>
        </w:rPr>
      </w:pPr>
      <w:r>
        <w:rPr>
          <w:rFonts w:hint="eastAsia" w:ascii="仿宋_GB2312" w:eastAsia="仿宋_GB2312"/>
          <w:bCs/>
          <w:kern w:val="44"/>
          <w:sz w:val="32"/>
          <w:szCs w:val="32"/>
          <w:highlight w:val="none"/>
          <w:u w:val="none"/>
          <w:lang w:eastAsia="zh-CN"/>
        </w:rPr>
        <w:t>其他城乡社区支出（项）：除上述项目以外其他用于城乡社区反面的支出。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参考《</w:t>
      </w:r>
      <w:r>
        <w:rPr>
          <w:rFonts w:hint="eastAsia" w:ascii="仿宋_GB2312"/>
          <w:sz w:val="32"/>
          <w:szCs w:val="32"/>
          <w:highlight w:val="none"/>
          <w:u w:val="none"/>
          <w:lang w:eastAsia="zh-CN"/>
        </w:rPr>
        <w:t>2022</w:t>
      </w:r>
      <w:r>
        <w:rPr>
          <w:rFonts w:hint="eastAsia" w:ascii="仿宋_GB2312" w:eastAsia="仿宋_GB2312"/>
          <w:sz w:val="32"/>
          <w:szCs w:val="32"/>
          <w:highlight w:val="none"/>
          <w:u w:val="none"/>
        </w:rPr>
        <w:t>年政府收支分类科目》说明逐项解释</w:t>
      </w:r>
      <w:r>
        <w:rPr>
          <w:rFonts w:hint="eastAsia" w:ascii="仿宋_GB2312" w:eastAsia="仿宋_GB2312"/>
          <w:sz w:val="32"/>
          <w:szCs w:val="32"/>
          <w:highlight w:val="none"/>
          <w:u w:val="none"/>
          <w:lang w:eastAsia="zh-CN"/>
        </w:rPr>
        <w:t>）</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一</w:t>
      </w:r>
      <w:r>
        <w:rPr>
          <w:rFonts w:hint="eastAsia" w:ascii="仿宋_GB2312" w:eastAsia="仿宋_GB2312"/>
          <w:bCs/>
          <w:kern w:val="44"/>
          <w:sz w:val="32"/>
          <w:szCs w:val="32"/>
          <w:highlight w:val="none"/>
          <w:u w:val="none"/>
        </w:rPr>
        <w:t>)结余分配：指事业单位按照会计制度规定缴纳</w:t>
      </w:r>
      <w:r>
        <w:rPr>
          <w:rFonts w:hint="eastAsia" w:ascii="仿宋_GB2312" w:eastAsia="仿宋_GB2312"/>
          <w:bCs/>
          <w:kern w:val="44"/>
          <w:sz w:val="32"/>
          <w:szCs w:val="32"/>
          <w:highlight w:val="none"/>
          <w:u w:val="none"/>
          <w:lang w:eastAsia="zh-CN"/>
        </w:rPr>
        <w:t>的企业</w:t>
      </w:r>
      <w:r>
        <w:rPr>
          <w:rFonts w:hint="eastAsia" w:ascii="仿宋_GB2312" w:eastAsia="仿宋_GB2312"/>
          <w:bCs/>
          <w:kern w:val="44"/>
          <w:sz w:val="32"/>
          <w:szCs w:val="32"/>
          <w:highlight w:val="none"/>
          <w:u w:val="none"/>
        </w:rPr>
        <w:t>所得税</w:t>
      </w:r>
      <w:r>
        <w:rPr>
          <w:rFonts w:hint="eastAsia" w:ascii="仿宋_GB2312" w:eastAsia="仿宋_GB2312"/>
          <w:bCs/>
          <w:kern w:val="44"/>
          <w:sz w:val="32"/>
          <w:szCs w:val="32"/>
          <w:highlight w:val="none"/>
          <w:u w:val="none"/>
          <w:lang w:eastAsia="zh-CN"/>
        </w:rPr>
        <w:t>、提取的专用结余以及转入非财政拨款结余的金额</w:t>
      </w:r>
      <w:r>
        <w:rPr>
          <w:rFonts w:hint="eastAsia" w:ascii="仿宋_GB2312" w:eastAsia="仿宋_GB2312"/>
          <w:bCs/>
          <w:kern w:val="44"/>
          <w:sz w:val="32"/>
          <w:szCs w:val="32"/>
          <w:highlight w:val="none"/>
          <w:u w:val="none"/>
        </w:rPr>
        <w:t>等。</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)年末结转和结余：指单位</w:t>
      </w:r>
      <w:r>
        <w:rPr>
          <w:rFonts w:hint="eastAsia" w:ascii="仿宋_GB2312" w:eastAsia="仿宋_GB2312"/>
          <w:bCs/>
          <w:kern w:val="44"/>
          <w:sz w:val="32"/>
          <w:szCs w:val="32"/>
          <w:highlight w:val="none"/>
          <w:u w:val="none"/>
          <w:lang w:eastAsia="zh-CN"/>
        </w:rPr>
        <w:t>按有关规定结转到下年或以后年度继续使用的资金</w:t>
      </w:r>
      <w:r>
        <w:rPr>
          <w:rFonts w:hint="eastAsia" w:ascii="仿宋_GB2312" w:eastAsia="仿宋_GB2312"/>
          <w:bCs/>
          <w:kern w:val="44"/>
          <w:sz w:val="32"/>
          <w:szCs w:val="32"/>
          <w:highlight w:val="none"/>
          <w:u w:val="none"/>
        </w:rPr>
        <w:t>，或项目已完成等产生的结余资金。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)基本支出：指为保障机构正常运转、完成日常工作任务而发生的</w:t>
      </w:r>
      <w:r>
        <w:rPr>
          <w:rFonts w:ascii="仿宋_GB2312" w:eastAsia="仿宋_GB2312"/>
          <w:bCs/>
          <w:kern w:val="44"/>
          <w:sz w:val="32"/>
          <w:szCs w:val="32"/>
          <w:highlight w:val="none"/>
          <w:u w:val="none"/>
        </w:rPr>
        <w:t>人员支出和公用支出</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szCs w:val="22"/>
          <w:u w:val="none"/>
        </w:rPr>
      </w:pPr>
      <w:r>
        <w:rPr>
          <w:rFonts w:hint="eastAsia" w:ascii="仿宋_GB2312" w:hAnsi="仿宋_GB2312" w:eastAsia="仿宋_GB2312"/>
          <w:color w:val="000000"/>
          <w:sz w:val="32"/>
          <w:szCs w:val="22"/>
          <w:u w:val="none"/>
        </w:rPr>
        <w:t>(十</w:t>
      </w:r>
      <w:r>
        <w:rPr>
          <w:rFonts w:hint="eastAsia" w:ascii="仿宋_GB2312" w:hAnsi="仿宋_GB2312" w:eastAsia="仿宋_GB2312"/>
          <w:color w:val="000000"/>
          <w:sz w:val="32"/>
          <w:szCs w:val="22"/>
          <w:u w:val="none"/>
          <w:lang w:eastAsia="zh-CN"/>
        </w:rPr>
        <w:t>四</w:t>
      </w:r>
      <w:r>
        <w:rPr>
          <w:rFonts w:hint="eastAsia" w:ascii="仿宋_GB2312" w:hAnsi="仿宋_GB2312" w:eastAsia="仿宋_GB2312"/>
          <w:color w:val="000000"/>
          <w:sz w:val="32"/>
          <w:szCs w:val="22"/>
          <w:u w:val="none"/>
        </w:rPr>
        <w:t>)项目支出：指在基本支出之外为完成特定行政任务或事业发展目标所发生的支出。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五</w:t>
      </w:r>
      <w:r>
        <w:rPr>
          <w:rFonts w:hint="eastAsia" w:ascii="仿宋_GB2312" w:eastAsia="仿宋_GB2312"/>
          <w:sz w:val="32"/>
          <w:szCs w:val="32"/>
          <w:highlight w:val="none"/>
          <w:u w:val="none"/>
        </w:rPr>
        <w:t>)</w:t>
      </w:r>
      <w:r>
        <w:rPr>
          <w:rFonts w:hint="eastAsia" w:ascii="仿宋_GB2312" w:eastAsia="仿宋_GB2312"/>
          <w:bCs/>
          <w:kern w:val="44"/>
          <w:sz w:val="32"/>
          <w:szCs w:val="32"/>
          <w:highlight w:val="none"/>
          <w:u w:val="none"/>
        </w:rPr>
        <w:t>经营支出：指事业单位在专业活动及辅助活动之外开展非独立核算经营活动发生的支出。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yellow"/>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六</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纳入财政一般公共预算管理的</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，是</w:t>
      </w:r>
      <w:r>
        <w:rPr>
          <w:rFonts w:hint="eastAsia" w:ascii="仿宋_GB2312" w:eastAsia="仿宋_GB2312"/>
          <w:sz w:val="32"/>
          <w:szCs w:val="32"/>
          <w:highlight w:val="none"/>
          <w:u w:val="none"/>
        </w:rPr>
        <w:t>指</w:t>
      </w:r>
      <w:r>
        <w:rPr>
          <w:rFonts w:hint="eastAsia" w:ascii="仿宋_GB2312" w:eastAsia="仿宋_GB2312"/>
          <w:sz w:val="32"/>
          <w:szCs w:val="32"/>
          <w:highlight w:val="none"/>
          <w:u w:val="none"/>
          <w:lang w:eastAsia="zh-CN"/>
        </w:rPr>
        <w:t>市直部门</w:t>
      </w:r>
      <w:r>
        <w:rPr>
          <w:rFonts w:hint="eastAsia" w:ascii="仿宋_GB2312" w:eastAsia="仿宋_GB2312"/>
          <w:sz w:val="32"/>
          <w:szCs w:val="32"/>
          <w:highlight w:val="none"/>
          <w:u w:val="none"/>
        </w:rPr>
        <w:t>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eastAsia="仿宋_GB2312"/>
          <w:sz w:val="32"/>
          <w:szCs w:val="32"/>
          <w:highlight w:val="none"/>
          <w:u w:val="none"/>
          <w:lang w:eastAsia="zh-CN"/>
        </w:rPr>
        <w:t>、牌照费</w:t>
      </w:r>
      <w:r>
        <w:rPr>
          <w:rFonts w:hint="eastAsia" w:ascii="仿宋_GB2312" w:eastAsia="仿宋_GB2312"/>
          <w:sz w:val="32"/>
          <w:szCs w:val="32"/>
          <w:highlight w:val="none"/>
          <w:u w:val="none"/>
        </w:rPr>
        <w:t>)及燃料费、维修费、过桥过路费、保险费、安全奖励费用等支出；公务接待费反映单位按规定开支的各类公务接待(含外宾接待)费用。</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sz w:val="32"/>
          <w:szCs w:val="32"/>
          <w:highlight w:val="yellow"/>
          <w:u w:val="none"/>
          <w:lang w:eastAsia="zh-CN"/>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七</w:t>
      </w:r>
      <w:r>
        <w:rPr>
          <w:rFonts w:hint="eastAsia" w:ascii="仿宋_GB2312" w:eastAsia="仿宋_GB2312"/>
          <w:sz w:val="32"/>
          <w:szCs w:val="32"/>
          <w:highlight w:val="none"/>
          <w:u w:val="none"/>
        </w:rPr>
        <w:t>)机关运行经费：指为保障行政单位（</w:t>
      </w:r>
      <w:r>
        <w:rPr>
          <w:rFonts w:hint="eastAsia" w:ascii="仿宋_GB2312" w:eastAsia="仿宋_GB2312"/>
          <w:sz w:val="32"/>
          <w:szCs w:val="32"/>
          <w:highlight w:val="none"/>
          <w:u w:val="none"/>
          <w:lang w:eastAsia="zh-CN"/>
        </w:rPr>
        <w:t>包括</w:t>
      </w:r>
      <w:r>
        <w:rPr>
          <w:rFonts w:hint="eastAsia" w:ascii="仿宋_GB2312" w:eastAsia="仿宋_GB2312"/>
          <w:sz w:val="32"/>
          <w:szCs w:val="32"/>
          <w:highlight w:val="none"/>
          <w:u w:val="none"/>
        </w:rPr>
        <w:t>参照公务员法管理的事业单位）运行用于购买货物和服务的各项资金，</w:t>
      </w:r>
      <w:r>
        <w:rPr>
          <w:rFonts w:ascii="仿宋_GB2312" w:eastAsia="仿宋_GB2312"/>
          <w:sz w:val="32"/>
          <w:szCs w:val="32"/>
          <w:highlight w:val="none"/>
          <w:u w:val="none"/>
        </w:rPr>
        <w:t>包括办公</w:t>
      </w:r>
      <w:r>
        <w:rPr>
          <w:rFonts w:hint="eastAsia" w:ascii="仿宋_GB2312" w:eastAsia="仿宋_GB2312"/>
          <w:sz w:val="32"/>
          <w:szCs w:val="32"/>
          <w:highlight w:val="none"/>
          <w:u w:val="none"/>
          <w:lang w:eastAsia="zh-CN"/>
        </w:rPr>
        <w:t>费、</w:t>
      </w:r>
      <w:r>
        <w:rPr>
          <w:rFonts w:ascii="仿宋_GB2312" w:eastAsia="仿宋_GB2312"/>
          <w:sz w:val="32"/>
          <w:szCs w:val="32"/>
          <w:highlight w:val="none"/>
          <w:u w:val="none"/>
        </w:rPr>
        <w:t>印刷费、邮电费、差旅费、会议费、福利费、日常维修费、专用材料及一般设备购置费、办公用房水电费、</w:t>
      </w:r>
      <w:r>
        <w:rPr>
          <w:rFonts w:hint="eastAsia" w:ascii="仿宋_GB2312" w:eastAsia="仿宋_GB2312"/>
          <w:sz w:val="32"/>
          <w:szCs w:val="32"/>
          <w:highlight w:val="none"/>
          <w:u w:val="none"/>
        </w:rPr>
        <w:t>办公用房取暖费、</w:t>
      </w:r>
      <w:r>
        <w:rPr>
          <w:rFonts w:ascii="仿宋_GB2312" w:eastAsia="仿宋_GB2312"/>
          <w:sz w:val="32"/>
          <w:szCs w:val="32"/>
          <w:highlight w:val="none"/>
          <w:u w:val="none"/>
        </w:rPr>
        <w:t>办公用房物业管理费、公务用车运行维护费以及其他费用。</w:t>
      </w:r>
    </w:p>
    <w:p>
      <w:pPr>
        <w:pStyle w:val="1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第五部分  附件</w:t>
      </w:r>
    </w:p>
    <w:tbl>
      <w:tblPr>
        <w:tblStyle w:val="6"/>
        <w:tblW w:w="1376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9"/>
        <w:gridCol w:w="766"/>
        <w:gridCol w:w="894"/>
        <w:gridCol w:w="517"/>
        <w:gridCol w:w="4103"/>
        <w:gridCol w:w="1308"/>
        <w:gridCol w:w="2676"/>
        <w:gridCol w:w="900"/>
        <w:gridCol w:w="876"/>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1376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2022年黄石港区区部门整体支出绩效自评表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29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填报单位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（盖章）：</w:t>
            </w:r>
          </w:p>
        </w:tc>
        <w:tc>
          <w:tcPr>
            <w:tcW w:w="4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黄石市黄石港区城市管理局执法局</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填报日期：</w:t>
            </w:r>
          </w:p>
        </w:tc>
        <w:tc>
          <w:tcPr>
            <w:tcW w:w="2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7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2023年9月13日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290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80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黄石市黄石港区城市管理局执法局</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评价年度：</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90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部门整体支出总额预算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执行情况（万元）</w:t>
            </w:r>
          </w:p>
        </w:tc>
        <w:tc>
          <w:tcPr>
            <w:tcW w:w="4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执行数（A）</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预算数（B）</w:t>
            </w:r>
          </w:p>
        </w:tc>
        <w:tc>
          <w:tcPr>
            <w:tcW w:w="27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90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6021.96</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258.78</w:t>
            </w:r>
          </w:p>
        </w:tc>
        <w:tc>
          <w:tcPr>
            <w:tcW w:w="27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4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指标说明</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评分标准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年初目标值</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8" w:hRule="atLeast"/>
        </w:trPr>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投入</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预算执行（35分）</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率（10分）</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预算完成率=（预算完成数/预算数）×100%，用以反映和考核部门（单位）预算完成程度。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预算完成数：部门（单位）本年度实际完成的预算数。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预算数：财政部分批复的本年度部门（单位）预算数。</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预算完成率=100%的，得10分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预算完成率≥95%的，得9分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预算完成率在90%（含）和95%之间，得8分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预算完成率在85%（含）和90%之间，得7分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预算完成率在80%（含）和85%之间，得6分。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预算完成率在70%(含）和80%之间，得4分。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预算完成率＜70%的，得0分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0"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预算调整率（10分）</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预算调整率=（预算调整数/预算率）×100%，用以反映和考核部门（单位）预算的调整过程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预算调整数：部门（单位）在本年度内涉及预算的追加、追减或结构调整的资金综合（因落实国家政策、发生不可抗力、上级部门或本级党委政府临时交办而产生的调整除外）。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预算包括一般公共预算与政府性基金预算。</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预算调整率绝对值≤5%，得10分。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预算调整率绝对值＞5%的，每增加0.1个百分点扣0.1分，扣完为止。</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2"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支出进度率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支出进度率=（实际支出/支出预算）×100%，用以反映和考核部门（单位）预算执行的及时性和均衡性程度。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半年支出进度＝部门上半年实际支出/（上年结余结转+本年部门预算安排+上半年执行中追加追减）*100%。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前三季度支出进度＝部门前三季度实际支出/（上年结余结转+本年部门预算安排+前三季度执行中追加追减）*100%。</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半年进度：进度率≥45%，得4分；进度率在40%（含）和45%之间，得2分；进度率＜40%，得0分。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前三季度进度：进度率≥75%，得6分；进度率在60%（含）和75%之间，得4分；进度率＜60%，得0分。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预算编制准确率（5分）</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部门预算中除财政拨款外的其他收入预算与决算差异率。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预算编制准确率＝其他收入决算数/其他收入预算数×100%-100%。</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预算编制准确率≤20%，得5分。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预算编制准确率在20%和40%（含）之间，得3分。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预算编制准确率＞40%，得0分。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4" w:hRule="atLeast"/>
        </w:trPr>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过程</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预算管理（20分）</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（5分）</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“三公经费”控制率=（“三公经费”实际支出数/“三公经费”预算安排数）×100%，用以反映和考核部门（单位）对“三公经费”的实际控制程度。</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 ≤100%，得5分，每增加0.1个百分点扣0.5分，扣完为止。</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4"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资产管理规范性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（5分） </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部门（单位）资产管理是否规范，用以反映和考核部门（单位）资产管理情况。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1.新增资产配置按预算执行。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2.资产有偿使用、处置按规定程序审批。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3.资产收益及时、足额上缴财政。</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全部符合5分，有1项不符扣2分,扣完为止。</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4"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资金使用合规性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部门（单位）使用预算资金是否符合相关的预算财务管理制度的规定，用以反映和考核部门（单位）预算资金的规范运行情况。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1.符合国家财经法规和财务管理制度规定以及有关专项资金管理办法的规定；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2.资金的拨付有完整的审批程序和手续；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3.重大项目开支经过评估论证；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4.符合部门预算批复的用途；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5.不存在截留、挤占、挪用、虚列支出等情况。</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全部符合10分,有1项不符扣2分，扣完为止。</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运行效益（45分）</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行政运行经济性</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现行行政运行经费支出预算编制方法的行政运行成本。</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可使行政运行成本最经济为5分，可使行政运行成本较合理为3分，一般为2分，不合理为0分。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行政运行有效性</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行政运行经费支出能否保障部门正常运行。</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正常运行的得5分，基本正常得3分，不能正常运行的不得分。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专项运行经济效益</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项目资金运行产生的经济效益</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经济效益显著得10分；一般得5分，下降不得分。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专项运行社会效益</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项目资金运行产生的社会效益</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社会效益显著得10分；一般得5分；否则不得分。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专项运行可持续影响</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1.项目完成后有经费安排能满足项目持续运行需要；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2.项目完成后有制度保障项目持续运行需要；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3.项目完成后有明确的项目管理机构、负责人对项目后继管理负责，满足持续运行需要。</w:t>
            </w:r>
          </w:p>
        </w:tc>
        <w:tc>
          <w:tcPr>
            <w:tcW w:w="3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全部符合15分,有1项不符扣5分，扣完为止。</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评价结果（优、良、中、差）：优</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  分：</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BB01"/>
    <w:multiLevelType w:val="singleLevel"/>
    <w:tmpl w:val="1957BB01"/>
    <w:lvl w:ilvl="0" w:tentative="0">
      <w:start w:val="5"/>
      <w:numFmt w:val="chineseCounting"/>
      <w:suff w:val="nothing"/>
      <w:lvlText w:val="%1、"/>
      <w:lvlJc w:val="left"/>
      <w:rPr>
        <w:rFonts w:hint="eastAsia"/>
      </w:rPr>
    </w:lvl>
  </w:abstractNum>
  <w:abstractNum w:abstractNumId="1">
    <w:nsid w:val="1E013009"/>
    <w:multiLevelType w:val="singleLevel"/>
    <w:tmpl w:val="1E013009"/>
    <w:lvl w:ilvl="0" w:tentative="0">
      <w:start w:val="2"/>
      <w:numFmt w:val="chineseCounting"/>
      <w:suff w:val="nothing"/>
      <w:lvlText w:val="%1、"/>
      <w:lvlJc w:val="left"/>
      <w:rPr>
        <w:rFonts w:hint="eastAsia"/>
      </w:rPr>
    </w:lvl>
  </w:abstractNum>
  <w:abstractNum w:abstractNumId="2">
    <w:nsid w:val="6FC9A984"/>
    <w:multiLevelType w:val="singleLevel"/>
    <w:tmpl w:val="6FC9A984"/>
    <w:lvl w:ilvl="0" w:tentative="0">
      <w:start w:val="2"/>
      <w:numFmt w:val="chineseCounting"/>
      <w:suff w:val="nothing"/>
      <w:lvlText w:val="（%1）"/>
      <w:lvlJc w:val="left"/>
      <w:pPr>
        <w:ind w:left="640" w:leftChars="0" w:firstLine="0" w:firstLineChars="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YzdjZTdkMTIyZjQzNjViNWY1NDJiYjdjYTQ2OTgifQ=="/>
  </w:docVars>
  <w:rsids>
    <w:rsidRoot w:val="00000000"/>
    <w:rsid w:val="00550132"/>
    <w:rsid w:val="04E2157A"/>
    <w:rsid w:val="057B6029"/>
    <w:rsid w:val="05B41F37"/>
    <w:rsid w:val="06040D5C"/>
    <w:rsid w:val="073033BE"/>
    <w:rsid w:val="07792E18"/>
    <w:rsid w:val="09A8274F"/>
    <w:rsid w:val="0D44243F"/>
    <w:rsid w:val="0E353CE1"/>
    <w:rsid w:val="0E6059EA"/>
    <w:rsid w:val="0F87169C"/>
    <w:rsid w:val="116A51BC"/>
    <w:rsid w:val="12C372AD"/>
    <w:rsid w:val="139B265D"/>
    <w:rsid w:val="14366E27"/>
    <w:rsid w:val="146401FE"/>
    <w:rsid w:val="16263A9C"/>
    <w:rsid w:val="169237EC"/>
    <w:rsid w:val="17024866"/>
    <w:rsid w:val="18473363"/>
    <w:rsid w:val="1AA83B64"/>
    <w:rsid w:val="1B723200"/>
    <w:rsid w:val="1E351614"/>
    <w:rsid w:val="1F725D40"/>
    <w:rsid w:val="1FA06BD7"/>
    <w:rsid w:val="20901CE0"/>
    <w:rsid w:val="21D20555"/>
    <w:rsid w:val="23614286"/>
    <w:rsid w:val="27E16595"/>
    <w:rsid w:val="297220D0"/>
    <w:rsid w:val="29BB2695"/>
    <w:rsid w:val="29ED3ADD"/>
    <w:rsid w:val="2C8743C1"/>
    <w:rsid w:val="2F53115A"/>
    <w:rsid w:val="329F26D5"/>
    <w:rsid w:val="36557DE0"/>
    <w:rsid w:val="36BB21D0"/>
    <w:rsid w:val="38C56C0D"/>
    <w:rsid w:val="38F117B0"/>
    <w:rsid w:val="39684B6F"/>
    <w:rsid w:val="39B21AF3"/>
    <w:rsid w:val="3A4A73CA"/>
    <w:rsid w:val="3B5D137F"/>
    <w:rsid w:val="3DFA61BA"/>
    <w:rsid w:val="41390199"/>
    <w:rsid w:val="45F11042"/>
    <w:rsid w:val="46040E7A"/>
    <w:rsid w:val="470B7EE1"/>
    <w:rsid w:val="471A6376"/>
    <w:rsid w:val="4B793C3E"/>
    <w:rsid w:val="4B99090A"/>
    <w:rsid w:val="4EBB043F"/>
    <w:rsid w:val="51D27F79"/>
    <w:rsid w:val="51D3742D"/>
    <w:rsid w:val="5493290A"/>
    <w:rsid w:val="5980050C"/>
    <w:rsid w:val="5B28212A"/>
    <w:rsid w:val="5C930305"/>
    <w:rsid w:val="5DE548F0"/>
    <w:rsid w:val="5E5A7158"/>
    <w:rsid w:val="62A51FDC"/>
    <w:rsid w:val="631A352E"/>
    <w:rsid w:val="648D7D30"/>
    <w:rsid w:val="65042018"/>
    <w:rsid w:val="652E0BB1"/>
    <w:rsid w:val="666A0E45"/>
    <w:rsid w:val="66DC06BF"/>
    <w:rsid w:val="67E93C46"/>
    <w:rsid w:val="68F66E34"/>
    <w:rsid w:val="6BBD539F"/>
    <w:rsid w:val="6D7A58FD"/>
    <w:rsid w:val="733C7D92"/>
    <w:rsid w:val="753C0626"/>
    <w:rsid w:val="76F51E90"/>
    <w:rsid w:val="78582716"/>
    <w:rsid w:val="7A856E51"/>
    <w:rsid w:val="7CC80849"/>
    <w:rsid w:val="7DB4563E"/>
    <w:rsid w:val="7F8973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biubiu</cp:lastModifiedBy>
  <dcterms:modified xsi:type="dcterms:W3CDTF">2023-09-21T09:34:35Z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3C5E70AC1B4144B5BF664F13D7272C23_12</vt:lpwstr>
  </property>
</Properties>
</file>