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残联</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黄石港区残联</w:t>
      </w:r>
      <w:r>
        <w:rPr>
          <w:rStyle w:val="9"/>
          <w:rFonts w:hint="eastAsia" w:ascii="微软雅黑" w:hAnsi="微软雅黑" w:eastAsia="微软雅黑" w:cs="微软雅黑"/>
          <w:i w:val="0"/>
          <w:caps w:val="0"/>
          <w:color w:val="333333"/>
          <w:spacing w:val="0"/>
          <w:sz w:val="24"/>
          <w:szCs w:val="24"/>
          <w:shd w:val="clear" w:fill="FFFFFF"/>
        </w:rPr>
        <w:t>201</w:t>
      </w:r>
      <w:r>
        <w:rPr>
          <w:rStyle w:val="9"/>
          <w:rFonts w:hint="eastAsia" w:ascii="微软雅黑" w:hAnsi="微软雅黑" w:eastAsia="微软雅黑" w:cs="微软雅黑"/>
          <w:i w:val="0"/>
          <w:caps w:val="0"/>
          <w:color w:val="333333"/>
          <w:spacing w:val="0"/>
          <w:sz w:val="24"/>
          <w:szCs w:val="24"/>
          <w:shd w:val="clear" w:fill="FFFFFF"/>
          <w:lang w:val="en-US" w:eastAsia="zh-CN"/>
        </w:rPr>
        <w:t>8</w:t>
      </w:r>
      <w:r>
        <w:rPr>
          <w:rStyle w:val="9"/>
          <w:rFonts w:hint="eastAsia" w:ascii="微软雅黑" w:hAnsi="微软雅黑" w:eastAsia="微软雅黑" w:cs="微软雅黑"/>
          <w:i w:val="0"/>
          <w:caps w:val="0"/>
          <w:color w:val="333333"/>
          <w:spacing w:val="0"/>
          <w:sz w:val="24"/>
          <w:szCs w:val="24"/>
          <w:shd w:val="clear" w:fill="FFFFFF"/>
        </w:rPr>
        <w:t>年决算公开</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八、政府性基金预算财政拨款收入支出决算表（8）</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9"/>
          <w:rFonts w:hint="eastAsia" w:ascii="微软雅黑" w:hAnsi="微软雅黑" w:eastAsia="微软雅黑" w:cs="微软雅黑"/>
          <w:i w:val="0"/>
          <w:caps w:val="0"/>
          <w:color w:val="333333"/>
          <w:spacing w:val="0"/>
          <w:sz w:val="24"/>
          <w:szCs w:val="24"/>
          <w:shd w:val="clear" w:fill="FFFFFF"/>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rPr>
        <w:t>201</w:t>
      </w:r>
      <w:r>
        <w:rPr>
          <w:rStyle w:val="9"/>
          <w:rFonts w:hint="eastAsia" w:ascii="微软雅黑" w:hAnsi="微软雅黑" w:eastAsia="微软雅黑" w:cs="微软雅黑"/>
          <w:i w:val="0"/>
          <w:caps w:val="0"/>
          <w:color w:val="333333"/>
          <w:spacing w:val="0"/>
          <w:sz w:val="24"/>
          <w:szCs w:val="24"/>
          <w:shd w:val="clear" w:fill="FFFFFF"/>
          <w:lang w:val="en-US" w:eastAsia="zh-CN"/>
        </w:rPr>
        <w:t>8</w:t>
      </w:r>
      <w:r>
        <w:rPr>
          <w:rStyle w:val="9"/>
          <w:rFonts w:hint="eastAsia" w:ascii="微软雅黑" w:hAnsi="微软雅黑" w:eastAsia="微软雅黑" w:cs="微软雅黑"/>
          <w:i w:val="0"/>
          <w:caps w:val="0"/>
          <w:color w:val="333333"/>
          <w:spacing w:val="0"/>
          <w:sz w:val="24"/>
          <w:szCs w:val="24"/>
          <w:shd w:val="clear" w:fill="FFFFFF"/>
        </w:rPr>
        <w:t>年部门决算</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第一部分</w:t>
      </w:r>
      <w:r>
        <w:rPr>
          <w:rStyle w:val="9"/>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fill="FFFFFF"/>
        </w:rPr>
        <w:t>部门概况</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（一）主要职责</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eastAsiaTheme="minorEastAsia" w:cstheme="minorEastAsia"/>
          <w:color w:val="333333"/>
          <w:kern w:val="0"/>
          <w:sz w:val="28"/>
          <w:szCs w:val="28"/>
          <w:lang w:val="zh-CN"/>
        </w:rPr>
        <w:t>黄石港区残联成立于1991年，为正科级行政事业单位，实行行政单位具有“代表</w:t>
      </w:r>
      <w:r>
        <w:rPr>
          <w:rFonts w:hint="eastAsia" w:asciiTheme="minorEastAsia" w:hAnsiTheme="minorEastAsia" w:eastAsiaTheme="minorEastAsia" w:cstheme="minorEastAsia"/>
          <w:color w:val="333333"/>
          <w:kern w:val="0"/>
          <w:sz w:val="28"/>
          <w:szCs w:val="28"/>
        </w:rPr>
        <w:t>残疾人共同利益，维护残疾人合法权益；团结教育残疾人，为残疾人</w:t>
      </w:r>
      <w:r>
        <w:rPr>
          <w:rFonts w:hint="eastAsia" w:asciiTheme="minorEastAsia" w:hAnsiTheme="minorEastAsia" w:eastAsiaTheme="minorEastAsia" w:cstheme="minorEastAsia"/>
          <w:color w:val="333333"/>
          <w:kern w:val="0"/>
          <w:sz w:val="28"/>
          <w:szCs w:val="28"/>
          <w:lang w:val="zh-CN"/>
        </w:rPr>
        <w:t>服务；履行法律赋予的职责，承担政府委托的任务，管理和发展残疾人事业三种职能。</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eastAsiaTheme="minorEastAsia" w:cstheme="minorEastAsia"/>
          <w:color w:val="333333"/>
          <w:kern w:val="0"/>
          <w:sz w:val="28"/>
          <w:szCs w:val="28"/>
          <w:lang w:val="zh-CN"/>
        </w:rPr>
        <w:t>单位基本信息</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lang w:val="zh-CN"/>
        </w:rPr>
      </w:pPr>
      <w:r>
        <w:rPr>
          <w:rFonts w:hint="eastAsia" w:asciiTheme="minorEastAsia" w:hAnsiTheme="minorEastAsia" w:eastAsiaTheme="minorEastAsia" w:cstheme="minorEastAsia"/>
          <w:color w:val="333333"/>
          <w:kern w:val="0"/>
          <w:sz w:val="28"/>
          <w:szCs w:val="28"/>
          <w:lang w:val="zh-CN"/>
        </w:rPr>
        <w:t>201</w:t>
      </w:r>
      <w:r>
        <w:rPr>
          <w:rFonts w:hint="eastAsia" w:asciiTheme="minorEastAsia" w:hAnsi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lang w:val="zh-CN"/>
        </w:rPr>
        <w:t>年区残联机关在职人员</w:t>
      </w:r>
      <w:r>
        <w:rPr>
          <w:rFonts w:hint="eastAsia" w:asciiTheme="minorEastAsia" w:hAnsiTheme="minorEastAsia" w:eastAsiaTheme="minorEastAsia" w:cstheme="minorEastAsia"/>
          <w:color w:val="333333"/>
          <w:kern w:val="0"/>
          <w:sz w:val="28"/>
          <w:szCs w:val="28"/>
        </w:rPr>
        <w:t>11</w:t>
      </w:r>
      <w:r>
        <w:rPr>
          <w:rFonts w:hint="eastAsia" w:asciiTheme="minorEastAsia" w:hAnsiTheme="minorEastAsia" w:eastAsiaTheme="minorEastAsia" w:cstheme="minorEastAsia"/>
          <w:color w:val="333333"/>
          <w:kern w:val="0"/>
          <w:sz w:val="28"/>
          <w:szCs w:val="28"/>
          <w:lang w:val="zh-CN"/>
        </w:rPr>
        <w:t>人，其中理事长1人，办事员1人，聘用人员</w:t>
      </w:r>
      <w:r>
        <w:rPr>
          <w:rFonts w:hint="eastAsia" w:asciiTheme="minorEastAsia" w:hAnsiTheme="minorEastAsia" w:eastAsiaTheme="minorEastAsia" w:cstheme="minorEastAsia"/>
          <w:color w:val="333333"/>
          <w:kern w:val="0"/>
          <w:sz w:val="28"/>
          <w:szCs w:val="28"/>
        </w:rPr>
        <w:t>9人。</w:t>
      </w:r>
      <w:r>
        <w:rPr>
          <w:rFonts w:hint="eastAsia" w:asciiTheme="minorEastAsia" w:hAnsiTheme="minorEastAsia" w:eastAsiaTheme="minorEastAsia" w:cstheme="minorEastAsia"/>
          <w:color w:val="333333"/>
          <w:kern w:val="0"/>
          <w:sz w:val="28"/>
          <w:szCs w:val="28"/>
          <w:lang w:val="zh-CN"/>
        </w:rPr>
        <w:t>内设“五室三中心”，即康复室、组宣室、教就室、档案室、办公室、残疾人劳动就业服务所、黄石港区残疾人“阳光家园”日间照料中心、黄石港区残疾人辅助器具服务站。分别负责残疾人的劳动就业、特殊教育、职业培训、康复、宣传、文娱体育和无障碍设施等日常工作。按残疾类别设立了盲人协会、聋人协会、肢残人协会、智力残疾亲友协会、精神残疾亲友协会等</w:t>
      </w:r>
      <w:r>
        <w:rPr>
          <w:rFonts w:hint="eastAsia" w:asciiTheme="minorEastAsia" w:hAnsiTheme="minorEastAsia" w:eastAsiaTheme="minorEastAsia" w:cstheme="minorEastAsia"/>
          <w:color w:val="333333"/>
          <w:kern w:val="0"/>
          <w:sz w:val="28"/>
          <w:szCs w:val="28"/>
        </w:rPr>
        <w:t>5</w:t>
      </w:r>
      <w:r>
        <w:rPr>
          <w:rFonts w:hint="eastAsia" w:asciiTheme="minorEastAsia" w:hAnsiTheme="minorEastAsia" w:eastAsiaTheme="minorEastAsia" w:cstheme="minorEastAsia"/>
          <w:color w:val="333333"/>
          <w:kern w:val="0"/>
          <w:sz w:val="28"/>
          <w:szCs w:val="28"/>
          <w:lang w:val="zh-CN"/>
        </w:rPr>
        <w:t>个专门协会，各社区配备了残疾人专职委员。</w:t>
      </w: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widowControl/>
        <w:shd w:val="clear" w:color="auto" w:fill="FFFFFF"/>
        <w:jc w:val="left"/>
        <w:rPr>
          <w:rFonts w:hint="eastAsia" w:ascii="宋体" w:hAnsi="宋体" w:cs="宋体"/>
          <w:color w:val="333333"/>
          <w:kern w:val="0"/>
          <w:sz w:val="30"/>
          <w:szCs w:val="30"/>
        </w:rPr>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420" w:leftChars="0" w:right="0" w:rightChars="0"/>
        <w:rPr>
          <w:color w:val="333333"/>
          <w:sz w:val="24"/>
          <w:szCs w:val="24"/>
        </w:rPr>
      </w:pPr>
      <w:r>
        <w:rPr>
          <w:rStyle w:val="9"/>
          <w:rFonts w:hint="eastAsia" w:ascii="微软雅黑" w:hAnsi="微软雅黑" w:eastAsia="微软雅黑" w:cs="微软雅黑"/>
          <w:i w:val="0"/>
          <w:caps w:val="0"/>
          <w:color w:val="333333"/>
          <w:spacing w:val="0"/>
          <w:sz w:val="24"/>
          <w:szCs w:val="24"/>
          <w:shd w:val="clear" w:fill="FFFFFF"/>
          <w:lang w:eastAsia="zh-CN"/>
        </w:rPr>
        <w:t>第二部分</w:t>
      </w:r>
      <w:r>
        <w:rPr>
          <w:rStyle w:val="9"/>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9"/>
          <w:rFonts w:hint="eastAsia" w:ascii="微软雅黑" w:hAnsi="微软雅黑" w:eastAsia="微软雅黑" w:cs="微软雅黑"/>
          <w:i w:val="0"/>
          <w:caps w:val="0"/>
          <w:color w:val="333333"/>
          <w:spacing w:val="0"/>
          <w:sz w:val="24"/>
          <w:szCs w:val="24"/>
          <w:shd w:val="clear" w:fill="FFFFFF"/>
          <w:lang w:eastAsia="zh-CN"/>
        </w:rPr>
        <w:t>部门</w:t>
      </w:r>
      <w:r>
        <w:rPr>
          <w:rStyle w:val="9"/>
          <w:rFonts w:hint="eastAsia" w:ascii="微软雅黑" w:hAnsi="微软雅黑" w:eastAsia="微软雅黑" w:cs="微软雅黑"/>
          <w:i w:val="0"/>
          <w:caps w:val="0"/>
          <w:color w:val="333333"/>
          <w:spacing w:val="0"/>
          <w:sz w:val="24"/>
          <w:szCs w:val="24"/>
          <w:shd w:val="clear" w:fill="FFFFFF"/>
        </w:rPr>
        <w:t>201</w:t>
      </w:r>
      <w:r>
        <w:rPr>
          <w:rStyle w:val="9"/>
          <w:rFonts w:hint="eastAsia" w:ascii="微软雅黑" w:hAnsi="微软雅黑" w:eastAsia="微软雅黑" w:cs="微软雅黑"/>
          <w:i w:val="0"/>
          <w:caps w:val="0"/>
          <w:color w:val="333333"/>
          <w:spacing w:val="0"/>
          <w:sz w:val="24"/>
          <w:szCs w:val="24"/>
          <w:shd w:val="clear" w:fill="FFFFFF"/>
          <w:lang w:val="en-US" w:eastAsia="zh-CN"/>
        </w:rPr>
        <w:t>8</w:t>
      </w:r>
      <w:r>
        <w:rPr>
          <w:rStyle w:val="9"/>
          <w:rFonts w:hint="eastAsia" w:ascii="微软雅黑" w:hAnsi="微软雅黑" w:eastAsia="微软雅黑" w:cs="微软雅黑"/>
          <w:i w:val="0"/>
          <w:caps w:val="0"/>
          <w:color w:val="333333"/>
          <w:spacing w:val="0"/>
          <w:sz w:val="24"/>
          <w:szCs w:val="24"/>
          <w:shd w:val="clear" w:fill="FFFFFF"/>
        </w:rPr>
        <w:t>年部门决算表</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52205" cy="4681220"/>
            <wp:effectExtent l="0" t="0" r="10795" b="508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4"/>
                    <a:stretch>
                      <a:fillRect/>
                    </a:stretch>
                  </pic:blipFill>
                  <pic:spPr>
                    <a:xfrm>
                      <a:off x="0" y="0"/>
                      <a:ext cx="8752205" cy="4681220"/>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43950" cy="2102485"/>
            <wp:effectExtent l="0" t="0" r="0" b="1206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5"/>
                    <a:stretch>
                      <a:fillRect/>
                    </a:stretch>
                  </pic:blipFill>
                  <pic:spPr>
                    <a:xfrm>
                      <a:off x="0" y="0"/>
                      <a:ext cx="8743950" cy="2102485"/>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47760" cy="2343785"/>
            <wp:effectExtent l="0" t="0" r="15240" b="18415"/>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6"/>
                    <a:stretch>
                      <a:fillRect/>
                    </a:stretch>
                  </pic:blipFill>
                  <pic:spPr>
                    <a:xfrm>
                      <a:off x="0" y="0"/>
                      <a:ext cx="8747760" cy="2343785"/>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pP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pPr>
      <w:r>
        <w:drawing>
          <wp:inline distT="0" distB="0" distL="114300" distR="114300">
            <wp:extent cx="8712200" cy="5610860"/>
            <wp:effectExtent l="0" t="0" r="12700" b="889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7"/>
                    <a:stretch>
                      <a:fillRect/>
                    </a:stretch>
                  </pic:blipFill>
                  <pic:spPr>
                    <a:xfrm>
                      <a:off x="0" y="0"/>
                      <a:ext cx="8712200" cy="561086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831580" cy="3970020"/>
            <wp:effectExtent l="0" t="0" r="7620" b="762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8"/>
                    <a:stretch>
                      <a:fillRect/>
                    </a:stretch>
                  </pic:blipFill>
                  <pic:spPr>
                    <a:xfrm>
                      <a:off x="0" y="0"/>
                      <a:ext cx="8831580" cy="397002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776970" cy="5134610"/>
            <wp:effectExtent l="0" t="0" r="5080" b="889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9"/>
                    <a:stretch>
                      <a:fillRect/>
                    </a:stretch>
                  </pic:blipFill>
                  <pic:spPr>
                    <a:xfrm>
                      <a:off x="0" y="0"/>
                      <a:ext cx="8776970" cy="513461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pPr>
      <w:r>
        <w:drawing>
          <wp:inline distT="0" distB="0" distL="114300" distR="114300">
            <wp:extent cx="8775700" cy="2213610"/>
            <wp:effectExtent l="0" t="0" r="6350" b="1524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pic:cNvPicPr>
                  </pic:nvPicPr>
                  <pic:blipFill>
                    <a:blip r:embed="rId10"/>
                    <a:stretch>
                      <a:fillRect/>
                    </a:stretch>
                  </pic:blipFill>
                  <pic:spPr>
                    <a:xfrm>
                      <a:off x="0" y="0"/>
                      <a:ext cx="8775700" cy="2213610"/>
                    </a:xfrm>
                    <a:prstGeom prst="rect">
                      <a:avLst/>
                    </a:prstGeom>
                    <a:noFill/>
                    <a:ln>
                      <a:noFill/>
                    </a:ln>
                  </pic:spPr>
                </pic:pic>
              </a:graphicData>
            </a:graphic>
          </wp:inline>
        </w:drawing>
      </w:r>
    </w:p>
    <w:p>
      <w:pPr>
        <w:pStyle w:val="7"/>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ightChars="0"/>
        <w:rPr>
          <w:rFonts w:hint="eastAsia"/>
        </w:rPr>
      </w:pPr>
      <w:r>
        <w:drawing>
          <wp:inline distT="0" distB="0" distL="114300" distR="114300">
            <wp:extent cx="8756015" cy="2406015"/>
            <wp:effectExtent l="0" t="0" r="6985" b="13335"/>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pic:cNvPicPr>
                  </pic:nvPicPr>
                  <pic:blipFill>
                    <a:blip r:embed="rId11"/>
                    <a:stretch>
                      <a:fillRect/>
                    </a:stretch>
                  </pic:blipFill>
                  <pic:spPr>
                    <a:xfrm>
                      <a:off x="0" y="0"/>
                      <a:ext cx="8756015" cy="2406015"/>
                    </a:xfrm>
                    <a:prstGeom prst="rect">
                      <a:avLst/>
                    </a:prstGeom>
                    <a:noFill/>
                    <a:ln>
                      <a:noFill/>
                    </a:ln>
                  </pic:spPr>
                </pic:pic>
              </a:graphicData>
            </a:graphic>
          </wp:inline>
        </w:drawing>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微软雅黑" w:hAnsi="微软雅黑" w:eastAsia="微软雅黑" w:cs="微软雅黑"/>
          <w:b/>
          <w:bCs/>
          <w:i w:val="0"/>
          <w:caps w:val="0"/>
          <w:color w:val="333333"/>
          <w:spacing w:val="0"/>
          <w:sz w:val="24"/>
          <w:szCs w:val="24"/>
          <w:shd w:val="clear" w:fill="FFFFFF"/>
        </w:rPr>
      </w:pPr>
      <w:r>
        <w:rPr>
          <w:rFonts w:hint="eastAsia" w:ascii="微软雅黑" w:hAnsi="微软雅黑" w:eastAsia="微软雅黑" w:cs="微软雅黑"/>
          <w:b/>
          <w:bCs/>
          <w:i w:val="0"/>
          <w:caps w:val="0"/>
          <w:color w:val="333333"/>
          <w:spacing w:val="0"/>
          <w:sz w:val="24"/>
          <w:szCs w:val="24"/>
          <w:shd w:val="clear" w:fill="FFFFFF"/>
        </w:rPr>
        <w:t>第三部分：部门201</w:t>
      </w:r>
      <w:r>
        <w:rPr>
          <w:rFonts w:hint="eastAsia" w:ascii="微软雅黑" w:hAnsi="微软雅黑" w:eastAsia="微软雅黑" w:cs="微软雅黑"/>
          <w:b/>
          <w:bCs/>
          <w:i w:val="0"/>
          <w:caps w:val="0"/>
          <w:color w:val="333333"/>
          <w:spacing w:val="0"/>
          <w:sz w:val="24"/>
          <w:szCs w:val="24"/>
          <w:shd w:val="clear" w:fill="FFFFFF"/>
          <w:lang w:val="en-US" w:eastAsia="zh-CN"/>
        </w:rPr>
        <w:t>8</w:t>
      </w:r>
      <w:r>
        <w:rPr>
          <w:rFonts w:hint="eastAsia" w:ascii="微软雅黑" w:hAnsi="微软雅黑" w:eastAsia="微软雅黑" w:cs="微软雅黑"/>
          <w:b/>
          <w:bCs/>
          <w:i w:val="0"/>
          <w:caps w:val="0"/>
          <w:color w:val="333333"/>
          <w:spacing w:val="0"/>
          <w:sz w:val="24"/>
          <w:szCs w:val="24"/>
          <w:shd w:val="clear" w:fill="FFFFFF"/>
        </w:rPr>
        <w:t>年部门决算情况说明</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2" w:firstLineChars="200"/>
        <w:textAlignment w:val="auto"/>
        <w:rPr>
          <w:rFonts w:hint="eastAsia" w:ascii="宋体" w:hAnsi="宋体" w:cs="宋体"/>
          <w:b/>
          <w:bCs/>
          <w:color w:val="333333"/>
          <w:kern w:val="0"/>
          <w:sz w:val="28"/>
          <w:szCs w:val="28"/>
        </w:rPr>
      </w:pPr>
      <w:r>
        <w:rPr>
          <w:rFonts w:hint="eastAsia" w:ascii="宋体" w:hAnsi="宋体" w:cs="宋体"/>
          <w:b/>
          <w:bCs/>
          <w:color w:val="333333"/>
          <w:kern w:val="0"/>
          <w:sz w:val="28"/>
          <w:szCs w:val="28"/>
          <w:lang w:eastAsia="zh-CN"/>
        </w:rPr>
        <w:t>（一）</w:t>
      </w:r>
      <w:r>
        <w:rPr>
          <w:rFonts w:hint="eastAsia" w:ascii="宋体" w:hAnsi="宋体" w:cs="宋体"/>
          <w:b/>
          <w:bCs/>
          <w:color w:val="333333"/>
          <w:kern w:val="0"/>
          <w:sz w:val="28"/>
          <w:szCs w:val="28"/>
        </w:rPr>
        <w:t>收入与支出预算执行情况分析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2018年财政收入预算数248403元，其中人员经费217667元，公用经费30736元, 2018年财政支出预算数248403元，其中人员经费217667元，公用经费30736元, 2017年财政收入预算数221,364.86元，其中人员经费190644元，公用经费30720.86元, 2017年财政支出预算数221364.86元，其中人员经费190644元，公用经费30720.86元，2018年支出预算数安排比上年增加27038.14元。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2018年财政收入预算执行数5639803.71元，其中人员经费190644元，公用经费30720.86元, 2017年财政支出预算执行数221364.86元，其中人员经费190644元，公用经费30720.86元, 2018年收入预算数执行比上年增加5418438.85元，2017年支出预算数执行比上年增加5418438.85元。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val="en-US" w:eastAsia="zh-CN"/>
        </w:rPr>
        <w:t>1、</w:t>
      </w:r>
      <w:r>
        <w:rPr>
          <w:rFonts w:hint="eastAsia" w:asciiTheme="minorEastAsia" w:hAnsiTheme="minorEastAsia" w:eastAsiaTheme="minorEastAsia" w:cstheme="minorEastAsia"/>
          <w:color w:val="333333"/>
          <w:kern w:val="0"/>
          <w:sz w:val="28"/>
          <w:szCs w:val="28"/>
        </w:rPr>
        <w:t>收入支出与预算对比分析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2018年全年总收入5639803.71元,其中财拔款决算收入2863597.41元,其它收入2776206.3元, 2018年全年决算总支出5639803.71元,其中财拔款决算支出2863597.41元,其它资金支出2776206.3元,2018年财政预算数248403元，财拔决算比预算多2615194.41元,幅度为5403%,原因为业务增加。</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2、</w:t>
      </w:r>
      <w:r>
        <w:rPr>
          <w:rFonts w:hint="eastAsia" w:asciiTheme="minorEastAsia" w:hAnsiTheme="minorEastAsia" w:eastAsiaTheme="minorEastAsia" w:cstheme="minorEastAsia"/>
          <w:color w:val="333333"/>
          <w:kern w:val="0"/>
          <w:sz w:val="28"/>
          <w:szCs w:val="28"/>
        </w:rPr>
        <w:t>收入支出结构分析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 xml:space="preserve">2018年全年总收入5639803.71元,其中财拔款决算收入2863597.41元,其它收入2776206.3元2018年全年决算总支出5639803.71元,其中财拔款决算支出2863597.41元,其它资金支出2776206.3元；支出按以下分类说明：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①</w:t>
      </w:r>
      <w:r>
        <w:rPr>
          <w:rFonts w:hint="eastAsia" w:asciiTheme="minorEastAsia" w:hAnsiTheme="minorEastAsia" w:eastAsiaTheme="minorEastAsia" w:cstheme="minorEastAsia"/>
          <w:color w:val="333333"/>
          <w:kern w:val="0"/>
          <w:sz w:val="28"/>
          <w:szCs w:val="28"/>
        </w:rPr>
        <w:t>支出功能分类：总支出5639803.71元，其中社会保障和就业支出5639803.71元.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②</w:t>
      </w:r>
      <w:r>
        <w:rPr>
          <w:rFonts w:hint="eastAsia" w:asciiTheme="minorEastAsia" w:hAnsiTheme="minorEastAsia" w:eastAsiaTheme="minorEastAsia" w:cstheme="minorEastAsia"/>
          <w:color w:val="333333"/>
          <w:kern w:val="0"/>
          <w:sz w:val="28"/>
          <w:szCs w:val="28"/>
        </w:rPr>
        <w:t xml:space="preserve">支出性质分类：总支出5639803.71元，其中人员经费345877.94元，公用经费5293925.77元;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lang w:eastAsia="zh-CN"/>
        </w:rPr>
        <w:t>③</w:t>
      </w:r>
      <w:r>
        <w:rPr>
          <w:rFonts w:hint="eastAsia" w:asciiTheme="minorEastAsia" w:hAnsiTheme="minorEastAsia" w:eastAsiaTheme="minorEastAsia" w:cstheme="minorEastAsia"/>
          <w:color w:val="333333"/>
          <w:kern w:val="0"/>
          <w:sz w:val="28"/>
          <w:szCs w:val="28"/>
        </w:rPr>
        <w:t>支出经济分类：总支出5639803.71元，其中工资福利支出 345877.94元，商品服务支出5271735.77元，对个人和家庭的补助支出0元，其它资本性支出 22190元。</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val="en-US" w:eastAsia="zh-CN"/>
        </w:rPr>
        <w:t>3、</w:t>
      </w:r>
      <w:r>
        <w:rPr>
          <w:rFonts w:hint="eastAsia" w:asciiTheme="minorEastAsia" w:hAnsiTheme="minorEastAsia" w:eastAsiaTheme="minorEastAsia" w:cstheme="minorEastAsia"/>
          <w:color w:val="333333"/>
          <w:kern w:val="0"/>
          <w:sz w:val="28"/>
          <w:szCs w:val="28"/>
        </w:rPr>
        <w:t>支出按经济分类科目分析</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2018年全年总支出5639803.71元，其中工资福利支出 345877.94元，商品服务支出5271735.77元，对个人和家庭的补助支出0元，其它资本性支出 22190元。</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lang w:eastAsia="zh-CN"/>
        </w:rPr>
        <w:t>（二）</w:t>
      </w:r>
      <w:r>
        <w:rPr>
          <w:rFonts w:hint="eastAsia" w:ascii="宋体" w:hAnsi="宋体" w:cs="宋体"/>
          <w:b/>
          <w:bCs/>
          <w:sz w:val="28"/>
          <w:szCs w:val="28"/>
        </w:rPr>
        <w:t>关于“三公”经费支出说明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三公”经费决算总支出717.00元，其中：公务车运行维护费0元，年初预算数0元，决算数比预算数减少0元，减少幅度为0；公务接待费717.00元，年初预算数717元，决算数比预算数增加0元，增长幅度为0%；因公出国（境）费0元，预算数0元，决算数比预算数增加0元，增长幅度为0%；201</w:t>
      </w:r>
      <w:r>
        <w:rPr>
          <w:rFonts w:hint="eastAsia" w:asciiTheme="minorEastAsia" w:hAnsiTheme="minorEastAsia" w:eastAsiaTheme="minorEastAsia" w:cstheme="minorEastAsia"/>
          <w:color w:val="333333"/>
          <w:kern w:val="0"/>
          <w:sz w:val="28"/>
          <w:szCs w:val="28"/>
          <w:lang w:val="en-US" w:eastAsia="zh-CN"/>
        </w:rPr>
        <w:t>8</w:t>
      </w:r>
      <w:r>
        <w:rPr>
          <w:rFonts w:hint="eastAsia" w:asciiTheme="minorEastAsia" w:hAnsiTheme="minorEastAsia" w:eastAsiaTheme="minorEastAsia" w:cstheme="minorEastAsia"/>
          <w:color w:val="333333"/>
          <w:kern w:val="0"/>
          <w:sz w:val="28"/>
          <w:szCs w:val="28"/>
        </w:rPr>
        <w:t>年“三公”经费决算总支出720.00元，其中：公务车运行维护费0元，年初预算数0元，决算数比预算数减少0元，减少幅度为0；公务接待费720.00元，年初预算数0元，决算数比预算数增加0元，增长幅度为0%；因公出国（境）费0元，预算数0元，决算数比预算数增加0元，增长幅度为0%；</w:t>
      </w:r>
    </w:p>
    <w:p>
      <w:pPr>
        <w:widowControl/>
        <w:shd w:val="clear" w:color="auto" w:fill="FFFFFF"/>
        <w:ind w:firstLine="562" w:firstLineChars="20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（三）</w:t>
      </w:r>
      <w:r>
        <w:rPr>
          <w:rFonts w:hint="eastAsia" w:asciiTheme="minorEastAsia" w:hAnsiTheme="minorEastAsia" w:eastAsiaTheme="minorEastAsia" w:cstheme="minorEastAsia"/>
          <w:b/>
          <w:bCs/>
          <w:color w:val="333333"/>
          <w:kern w:val="0"/>
          <w:sz w:val="28"/>
          <w:szCs w:val="28"/>
        </w:rPr>
        <w:t>关于机关运行经费支出说明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2018年机关运行经费支出2518305.52元, 2017年机关运行经费支出1,249,357.19元,同比上年增加1268948.33元，同比上年增加101.57%，原因是黄石港区残疾人联合会业务量增加。</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（四）</w:t>
      </w:r>
      <w:r>
        <w:rPr>
          <w:rFonts w:hint="eastAsia" w:asciiTheme="minorEastAsia" w:hAnsiTheme="minorEastAsia" w:eastAsiaTheme="minorEastAsia" w:cstheme="minorEastAsia"/>
          <w:b/>
          <w:bCs/>
          <w:color w:val="333333"/>
          <w:kern w:val="0"/>
          <w:sz w:val="28"/>
          <w:szCs w:val="28"/>
        </w:rPr>
        <w:t>关于政府采购支出说明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2018年政府采购总支出364115元，其中政府采购货物支出164708元，政府采购工程支出155645元，政府采购服务支出43762元。</w:t>
      </w:r>
    </w:p>
    <w:p>
      <w:pPr>
        <w:widowControl/>
        <w:shd w:val="clear" w:color="auto" w:fill="FFFFFF"/>
        <w:ind w:firstLine="480"/>
        <w:jc w:val="left"/>
        <w:rPr>
          <w:rFonts w:hint="eastAsia" w:asciiTheme="minorEastAsia" w:hAnsiTheme="minorEastAsia" w:eastAsiaTheme="minorEastAsia" w:cstheme="minorEastAsia"/>
          <w:b/>
          <w:bCs/>
          <w:color w:val="333333"/>
          <w:kern w:val="0"/>
          <w:sz w:val="28"/>
          <w:szCs w:val="28"/>
        </w:rPr>
      </w:pPr>
      <w:r>
        <w:rPr>
          <w:rFonts w:hint="eastAsia" w:asciiTheme="minorEastAsia" w:hAnsiTheme="minorEastAsia" w:cstheme="minorEastAsia"/>
          <w:b/>
          <w:bCs/>
          <w:color w:val="333333"/>
          <w:kern w:val="0"/>
          <w:sz w:val="28"/>
          <w:szCs w:val="28"/>
          <w:lang w:eastAsia="zh-CN"/>
        </w:rPr>
        <w:t>（五）</w:t>
      </w:r>
      <w:r>
        <w:rPr>
          <w:rFonts w:hint="eastAsia" w:asciiTheme="minorEastAsia" w:hAnsiTheme="minorEastAsia" w:eastAsiaTheme="minorEastAsia" w:cstheme="minorEastAsia"/>
          <w:b/>
          <w:bCs/>
          <w:color w:val="333333"/>
          <w:kern w:val="0"/>
          <w:sz w:val="28"/>
          <w:szCs w:val="28"/>
        </w:rPr>
        <w:t>关于国有资产占用情况说明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截至2018年12月31日，本单位共有车辆0辆，其中领导干部用车0辆，一般公务用车0辆，一般执法执勤用车0辆，特种专业技术用车0辆，其它用车0辆。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截至2017年12月31日，本单位共有车辆1辆，其中领导干部用车0辆，一般公务用车1辆，一般执法执勤用车0辆，特种专业技术用车0辆，其它用车0辆。2018年与2017年对比减少一辆公务用车。</w:t>
      </w:r>
    </w:p>
    <w:p>
      <w:pPr>
        <w:widowControl/>
        <w:shd w:val="clear" w:color="auto" w:fill="FFFFFF"/>
        <w:ind w:firstLine="480"/>
        <w:jc w:val="left"/>
        <w:rPr>
          <w:rFonts w:hint="eastAsia" w:asciiTheme="minorEastAsia" w:hAnsiTheme="minorEastAsia" w:cstheme="minorEastAsia"/>
          <w:b/>
          <w:bCs/>
          <w:color w:val="333333"/>
          <w:kern w:val="0"/>
          <w:sz w:val="28"/>
          <w:szCs w:val="28"/>
          <w:lang w:val="en-US" w:eastAsia="zh-CN"/>
        </w:rPr>
      </w:pPr>
      <w:r>
        <w:rPr>
          <w:rFonts w:hint="eastAsia" w:asciiTheme="minorEastAsia" w:hAnsiTheme="minorEastAsia" w:cstheme="minorEastAsia"/>
          <w:b/>
          <w:bCs/>
          <w:color w:val="333333"/>
          <w:kern w:val="0"/>
          <w:sz w:val="28"/>
          <w:szCs w:val="28"/>
          <w:lang w:val="en-US" w:eastAsia="zh-CN"/>
        </w:rPr>
        <w:t>（六）重点绩效评价结</w:t>
      </w:r>
      <w:bookmarkStart w:id="0" w:name="_GoBack"/>
      <w:bookmarkEnd w:id="0"/>
      <w:r>
        <w:rPr>
          <w:rFonts w:hint="eastAsia" w:asciiTheme="minorEastAsia" w:hAnsiTheme="minorEastAsia" w:cstheme="minorEastAsia"/>
          <w:b/>
          <w:bCs/>
          <w:color w:val="333333"/>
          <w:kern w:val="0"/>
          <w:sz w:val="28"/>
          <w:szCs w:val="28"/>
          <w:lang w:val="en-US" w:eastAsia="zh-CN"/>
        </w:rPr>
        <w:t>果等预算绩效情况说明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82"/>
        <w:jc w:val="left"/>
        <w:textAlignment w:val="auto"/>
        <w:rPr>
          <w:rFonts w:hint="eastAsia" w:asciiTheme="minorEastAsia" w:hAnsiTheme="minorEastAsia" w:eastAsiaTheme="minorEastAsia" w:cstheme="minorEastAsia"/>
          <w:color w:val="333333"/>
          <w:kern w:val="0"/>
          <w:sz w:val="28"/>
          <w:szCs w:val="28"/>
          <w:lang w:val="en-US" w:eastAsia="zh-CN"/>
        </w:rPr>
      </w:pPr>
      <w:r>
        <w:rPr>
          <w:rFonts w:hint="eastAsia" w:asciiTheme="minorEastAsia" w:hAnsiTheme="minorEastAsia" w:eastAsiaTheme="minorEastAsia" w:cstheme="minorEastAsia"/>
          <w:color w:val="333333"/>
          <w:kern w:val="0"/>
          <w:sz w:val="28"/>
          <w:szCs w:val="28"/>
          <w:lang w:val="en-US" w:eastAsia="zh-CN"/>
        </w:rPr>
        <w:t>2</w:t>
      </w:r>
      <w:r>
        <w:rPr>
          <w:rFonts w:hint="eastAsia" w:asciiTheme="minorEastAsia" w:hAnsiTheme="minorEastAsia" w:eastAsiaTheme="minorEastAsia" w:cstheme="minorEastAsia"/>
          <w:color w:val="333333"/>
          <w:kern w:val="0"/>
          <w:sz w:val="28"/>
          <w:szCs w:val="28"/>
          <w:lang w:val="en-US" w:eastAsia="zh-CN"/>
        </w:rPr>
        <w:t>018年， 根据预算绩效管理要求，我单位组织2018年度一般公共预算项目支出全面开展绩效自评，共涉及项目</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lang w:val="en-US" w:eastAsia="zh-CN"/>
        </w:rPr>
        <w:t>个，资金</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lang w:val="en-US" w:eastAsia="zh-CN"/>
        </w:rPr>
        <w:t>万元。 2018年项目资金投入</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lang w:val="en-US" w:eastAsia="zh-CN"/>
        </w:rPr>
        <w:t>万元，已使用</w:t>
      </w:r>
      <w:r>
        <w:rPr>
          <w:rFonts w:hint="eastAsia" w:asciiTheme="minorEastAsia" w:hAnsiTheme="minorEastAsia" w:cstheme="minorEastAsia"/>
          <w:color w:val="333333"/>
          <w:kern w:val="0"/>
          <w:sz w:val="28"/>
          <w:szCs w:val="28"/>
          <w:lang w:val="en-US" w:eastAsia="zh-CN"/>
        </w:rPr>
        <w:t>0</w:t>
      </w:r>
      <w:r>
        <w:rPr>
          <w:rFonts w:hint="eastAsia" w:asciiTheme="minorEastAsia" w:hAnsiTheme="minorEastAsia" w:eastAsiaTheme="minorEastAsia" w:cstheme="minorEastAsia"/>
          <w:color w:val="333333"/>
          <w:kern w:val="0"/>
          <w:sz w:val="28"/>
          <w:szCs w:val="28"/>
          <w:lang w:val="en-US" w:eastAsia="zh-CN"/>
        </w:rPr>
        <w:t>万元。使用从评价结果看，项目立项程序完整、规范，预算执行及时、有效，绩效目标得到较好实现，绩效管理水平不断提高，绩效指标体系建设逐渐丰富和完善。</w:t>
      </w:r>
    </w:p>
    <w:p>
      <w:pPr>
        <w:widowControl/>
        <w:numPr>
          <w:ilvl w:val="0"/>
          <w:numId w:val="2"/>
        </w:numPr>
        <w:shd w:val="clear" w:color="auto" w:fill="FFFFFF"/>
        <w:jc w:val="left"/>
        <w:rPr>
          <w:rFonts w:hint="eastAsia" w:ascii="微软雅黑" w:hAnsi="微软雅黑" w:eastAsia="微软雅黑" w:cs="微软雅黑"/>
          <w:b/>
          <w:bCs/>
          <w:color w:val="333333"/>
          <w:kern w:val="0"/>
          <w:sz w:val="24"/>
          <w:szCs w:val="24"/>
          <w:lang w:val="en-US" w:eastAsia="zh-CN"/>
        </w:rPr>
      </w:pPr>
      <w:r>
        <w:rPr>
          <w:rFonts w:hint="eastAsia" w:ascii="微软雅黑" w:hAnsi="微软雅黑" w:eastAsia="微软雅黑" w:cs="微软雅黑"/>
          <w:b/>
          <w:bCs/>
          <w:color w:val="333333"/>
          <w:kern w:val="0"/>
          <w:sz w:val="24"/>
          <w:szCs w:val="24"/>
          <w:lang w:val="en-US" w:eastAsia="zh-CN"/>
        </w:rPr>
        <w:t>名词解释</w:t>
      </w:r>
    </w:p>
    <w:p>
      <w:pPr>
        <w:keepNext w:val="0"/>
        <w:keepLines w:val="0"/>
        <w:pageBreakBefore w:val="0"/>
        <w:widowControl/>
        <w:numPr>
          <w:ilvl w:val="0"/>
          <w:numId w:val="3"/>
        </w:numPr>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财政拨款（补助）：指省级财政当年拨付的资金。</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ind w:left="559" w:leftChars="266" w:firstLine="0" w:firstLineChars="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 xml:space="preserve">（二）事业收入：指事业单位开展专业业务活动及其辅助活动取得的收入。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（三）其他收入：指预算单位在“财政拨款补助收入”、“事业收入”、“经营收入”以外取得的收入。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（四）上年结转：指以前年度尚未完成、结转到本年仍按原规定用途继续使用的资金。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 xml:space="preserve">（五）基本支出：指为保障机构正常运转、完成日常工作任务而发生的人员支出和公用支出。 </w:t>
      </w:r>
      <w:r>
        <w:rPr>
          <w:rFonts w:hint="eastAsia" w:asciiTheme="minorEastAsia" w:hAnsiTheme="minorEastAsia" w:eastAsiaTheme="minorEastAsia" w:cstheme="minorEastAsia"/>
          <w:color w:val="333333"/>
          <w:kern w:val="0"/>
          <w:sz w:val="28"/>
          <w:szCs w:val="28"/>
        </w:rPr>
        <w:br w:type="textWrapping"/>
      </w:r>
      <w:r>
        <w:rPr>
          <w:rFonts w:hint="eastAsia" w:asciiTheme="minorEastAsia" w:hAnsiTheme="minorEastAsia" w:eastAsiaTheme="minorEastAsia" w:cstheme="minorEastAsia"/>
          <w:color w:val="333333"/>
          <w:kern w:val="0"/>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（八）行政运行（项）：指机关和实行公务员法管理事业单位用于保障机构正常运转的基本支出。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cstheme="minorEastAsia"/>
          <w:color w:val="333333"/>
          <w:kern w:val="0"/>
          <w:sz w:val="28"/>
          <w:szCs w:val="28"/>
          <w:lang w:eastAsia="zh-CN"/>
        </w:rPr>
        <w:t>（</w:t>
      </w:r>
      <w:r>
        <w:rPr>
          <w:rFonts w:hint="eastAsia" w:asciiTheme="minorEastAsia" w:hAnsiTheme="minorEastAsia" w:eastAsiaTheme="minorEastAsia" w:cstheme="minorEastAsia"/>
          <w:color w:val="333333"/>
          <w:kern w:val="0"/>
          <w:sz w:val="28"/>
          <w:szCs w:val="28"/>
        </w:rPr>
        <w:t>九）残疾人康复：为智力、精神、肢体、视力、听力、言语残疾人提供康复服务项目。</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Theme="minorEastAsia" w:hAnsiTheme="minorEastAsia" w:eastAsiaTheme="minorEastAsia" w:cstheme="minorEastAsia"/>
          <w:color w:val="333333"/>
          <w:kern w:val="0"/>
          <w:sz w:val="28"/>
          <w:szCs w:val="28"/>
        </w:rPr>
      </w:pPr>
      <w:r>
        <w:rPr>
          <w:rFonts w:hint="eastAsia" w:asciiTheme="minorEastAsia" w:hAnsiTheme="minorEastAsia" w:eastAsiaTheme="minorEastAsia" w:cstheme="minorEastAsia"/>
          <w:color w:val="333333"/>
          <w:kern w:val="0"/>
          <w:sz w:val="28"/>
          <w:szCs w:val="28"/>
        </w:rPr>
        <w:t>（十）其它残疾人事业支出：残疾人培训、扶贫救助、就业服务等事业支出。</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E53314"/>
    <w:multiLevelType w:val="singleLevel"/>
    <w:tmpl w:val="22E53314"/>
    <w:lvl w:ilvl="0" w:tentative="0">
      <w:start w:val="1"/>
      <w:numFmt w:val="chineseCounting"/>
      <w:suff w:val="nothing"/>
      <w:lvlText w:val="（%1）"/>
      <w:lvlJc w:val="left"/>
      <w:rPr>
        <w:rFonts w:hint="eastAsia"/>
      </w:rPr>
    </w:lvl>
  </w:abstractNum>
  <w:abstractNum w:abstractNumId="1">
    <w:nsid w:val="4DBA1788"/>
    <w:multiLevelType w:val="singleLevel"/>
    <w:tmpl w:val="4DBA1788"/>
    <w:lvl w:ilvl="0" w:tentative="0">
      <w:start w:val="2"/>
      <w:numFmt w:val="chineseCounting"/>
      <w:suff w:val="nothing"/>
      <w:lvlText w:val="（%1）"/>
      <w:lvlJc w:val="left"/>
      <w:rPr>
        <w:rFonts w:hint="eastAsia"/>
      </w:rPr>
    </w:lvl>
  </w:abstractNum>
  <w:abstractNum w:abstractNumId="2">
    <w:nsid w:val="77E940AA"/>
    <w:multiLevelType w:val="singleLevel"/>
    <w:tmpl w:val="77E940AA"/>
    <w:lvl w:ilvl="0" w:tentative="0">
      <w:start w:val="4"/>
      <w:numFmt w:val="chineseCounting"/>
      <w:suff w:val="space"/>
      <w:lvlText w:val="第%1部分"/>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1BA2E7D"/>
    <w:rsid w:val="0664587B"/>
    <w:rsid w:val="09FF39B4"/>
    <w:rsid w:val="0B821CB6"/>
    <w:rsid w:val="0F243B6C"/>
    <w:rsid w:val="0F580F62"/>
    <w:rsid w:val="10157CA5"/>
    <w:rsid w:val="11411182"/>
    <w:rsid w:val="11CE5DA7"/>
    <w:rsid w:val="13FA6E94"/>
    <w:rsid w:val="1A0D67D9"/>
    <w:rsid w:val="1D3216D7"/>
    <w:rsid w:val="219E41B4"/>
    <w:rsid w:val="255E033E"/>
    <w:rsid w:val="27272230"/>
    <w:rsid w:val="27390172"/>
    <w:rsid w:val="295F56C2"/>
    <w:rsid w:val="2CCE2491"/>
    <w:rsid w:val="2D3B2CC0"/>
    <w:rsid w:val="2F081AB6"/>
    <w:rsid w:val="2FDC7747"/>
    <w:rsid w:val="35840005"/>
    <w:rsid w:val="386174B5"/>
    <w:rsid w:val="39092A06"/>
    <w:rsid w:val="3EAD0866"/>
    <w:rsid w:val="401A2F36"/>
    <w:rsid w:val="408F5EDF"/>
    <w:rsid w:val="44064590"/>
    <w:rsid w:val="44B72F6C"/>
    <w:rsid w:val="457D21A1"/>
    <w:rsid w:val="46583570"/>
    <w:rsid w:val="486A3980"/>
    <w:rsid w:val="49D83A19"/>
    <w:rsid w:val="4A187DA8"/>
    <w:rsid w:val="4CC36F4D"/>
    <w:rsid w:val="4E192D09"/>
    <w:rsid w:val="4FCC39E6"/>
    <w:rsid w:val="507C1CF5"/>
    <w:rsid w:val="53FA08DA"/>
    <w:rsid w:val="57193076"/>
    <w:rsid w:val="5D19252C"/>
    <w:rsid w:val="5EF27DB1"/>
    <w:rsid w:val="5F966E19"/>
    <w:rsid w:val="61773BFF"/>
    <w:rsid w:val="621B3808"/>
    <w:rsid w:val="67E4782B"/>
    <w:rsid w:val="6A5F0092"/>
    <w:rsid w:val="6FC62DF1"/>
    <w:rsid w:val="746766E2"/>
    <w:rsid w:val="74EA7B66"/>
    <w:rsid w:val="78186405"/>
    <w:rsid w:val="784C1E5B"/>
    <w:rsid w:val="796F54E7"/>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8">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paragraph" w:customStyle="1" w:styleId="11">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2">
    <w:name w:val="ca-2"/>
    <w:basedOn w:val="8"/>
    <w:qFormat/>
    <w:uiPriority w:val="0"/>
  </w:style>
  <w:style w:type="paragraph" w:customStyle="1" w:styleId="13">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4">
    <w:name w:val="ca-3"/>
    <w:basedOn w:val="8"/>
    <w:qFormat/>
    <w:uiPriority w:val="0"/>
  </w:style>
  <w:style w:type="character" w:customStyle="1" w:styleId="15">
    <w:name w:val="apple-converted-space"/>
    <w:basedOn w:val="8"/>
    <w:qFormat/>
    <w:uiPriority w:val="99"/>
  </w:style>
  <w:style w:type="paragraph" w:customStyle="1" w:styleId="16">
    <w:name w:val="pa-1"/>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2021-05-26T02:22:10Z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