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黄石港区残联</w:t>
      </w:r>
      <w:r>
        <w:rPr>
          <w:rFonts w:hint="eastAsia" w:ascii="微软雅黑" w:hAnsi="微软雅黑" w:eastAsia="微软雅黑" w:cs="微软雅黑"/>
          <w:color w:val="BC1010"/>
          <w:sz w:val="40"/>
          <w:szCs w:val="40"/>
          <w:shd w:val="clear" w:color="auto" w:fill="FFFFFF"/>
          <w:lang w:eastAsia="zh-CN"/>
        </w:rPr>
        <w:t>2022年</w:t>
      </w:r>
      <w:r>
        <w:rPr>
          <w:rFonts w:hint="eastAsia" w:ascii="微软雅黑" w:hAnsi="微软雅黑" w:eastAsia="微软雅黑" w:cs="微软雅黑"/>
          <w:color w:val="BC1010"/>
          <w:sz w:val="40"/>
          <w:szCs w:val="40"/>
          <w:shd w:val="clear" w:color="auto" w:fill="FFFFFF"/>
        </w:rPr>
        <w:t>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pStyle w:val="5"/>
        <w:widowControl/>
        <w:numPr>
          <w:ilvl w:val="0"/>
          <w:numId w:val="1"/>
        </w:numPr>
        <w:spacing w:before="0" w:beforeAutospacing="0" w:after="0" w:afterAutospacing="0" w:line="560" w:lineRule="exact"/>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p>
    <w:p>
      <w:pPr>
        <w:pStyle w:val="5"/>
        <w:widowControl/>
        <w:numPr>
          <w:ilvl w:val="0"/>
          <w:numId w:val="0"/>
        </w:numPr>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九、项目支出表（表</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lang w:eastAsia="zh-CN"/>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2022年</w:t>
      </w:r>
      <w:r>
        <w:rPr>
          <w:rFonts w:hint="eastAsia" w:ascii="微软雅黑" w:hAnsi="微软雅黑" w:eastAsia="微软雅黑" w:cs="微软雅黑"/>
          <w:color w:val="333333"/>
          <w:shd w:val="clear" w:color="auto" w:fill="FFFFFF"/>
        </w:rPr>
        <w:t>财政拨款收入支出情况说明</w:t>
      </w:r>
    </w:p>
    <w:p>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黄石港区残联</w:t>
      </w:r>
      <w:r>
        <w:rPr>
          <w:rFonts w:hint="eastAsia" w:ascii="黑体" w:hAnsi="黑体" w:eastAsia="黑体" w:cs="宋体"/>
          <w:kern w:val="2"/>
          <w:sz w:val="40"/>
          <w:szCs w:val="40"/>
          <w:lang w:eastAsia="zh-CN"/>
        </w:rPr>
        <w:t>2022年</w:t>
      </w:r>
      <w:r>
        <w:rPr>
          <w:rFonts w:hint="eastAsia" w:ascii="黑体" w:hAnsi="黑体" w:eastAsia="黑体" w:cs="宋体"/>
          <w:kern w:val="2"/>
          <w:sz w:val="40"/>
          <w:szCs w:val="40"/>
        </w:rPr>
        <w:t>部门预算公开</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numPr>
          <w:ilvl w:val="0"/>
          <w:numId w:val="2"/>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pPr>
        <w:widowControl/>
        <w:shd w:val="clear" w:color="auto" w:fill="FFFFFF"/>
        <w:snapToGrid w:val="0"/>
        <w:spacing w:line="56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zh-CN"/>
        </w:rPr>
        <w:t>黄石港区残联成立于1991年，为正科级行政事业单位，实行行政单位具有“代表</w:t>
      </w:r>
      <w:r>
        <w:rPr>
          <w:rFonts w:hint="eastAsia" w:asciiTheme="minorEastAsia" w:hAnsiTheme="minorEastAsia" w:eastAsiaTheme="minorEastAsia" w:cstheme="minorEastAsia"/>
          <w:color w:val="333333"/>
          <w:kern w:val="0"/>
          <w:sz w:val="28"/>
          <w:szCs w:val="28"/>
        </w:rPr>
        <w:t>残疾人共同利益，维护残疾人合法权益；团结教育残疾人，为残疾人</w:t>
      </w:r>
      <w:r>
        <w:rPr>
          <w:rFonts w:hint="eastAsia" w:asciiTheme="minorEastAsia" w:hAnsiTheme="minorEastAsia" w:eastAsiaTheme="minorEastAsia" w:cstheme="minorEastAsia"/>
          <w:color w:val="333333"/>
          <w:kern w:val="0"/>
          <w:sz w:val="28"/>
          <w:szCs w:val="28"/>
          <w:lang w:val="zh-CN"/>
        </w:rPr>
        <w:t>服务；履行法律赋予的职责，承担政府委托的任务，管理和发展残疾人事业三种职能</w:t>
      </w:r>
      <w:r>
        <w:rPr>
          <w:rFonts w:hint="eastAsia" w:ascii="宋体" w:hAnsi="宋体" w:cs="宋体"/>
          <w:color w:val="333333"/>
          <w:kern w:val="0"/>
          <w:sz w:val="28"/>
          <w:szCs w:val="28"/>
        </w:rPr>
        <w:t>。</w:t>
      </w:r>
    </w:p>
    <w:p>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color w:val="000000"/>
          <w:spacing w:val="2"/>
          <w:sz w:val="28"/>
          <w:szCs w:val="28"/>
        </w:rPr>
        <w:t>部门预算单位人员构成</w:t>
      </w:r>
    </w:p>
    <w:p>
      <w:pPr>
        <w:widowControl/>
        <w:ind w:firstLine="420" w:firstLineChars="150"/>
        <w:rPr>
          <w:rFonts w:ascii="宋体" w:hAnsi="宋体" w:cs="宋体"/>
          <w:color w:val="333333"/>
          <w:kern w:val="0"/>
          <w:sz w:val="28"/>
          <w:szCs w:val="28"/>
        </w:rPr>
      </w:pPr>
      <w:r>
        <w:rPr>
          <w:rFonts w:hint="eastAsia" w:asciiTheme="minorEastAsia" w:hAnsiTheme="minorEastAsia" w:eastAsiaTheme="minorEastAsia" w:cstheme="minorEastAsia"/>
          <w:color w:val="333333"/>
          <w:kern w:val="0"/>
          <w:sz w:val="28"/>
          <w:szCs w:val="28"/>
          <w:lang w:val="zh-CN"/>
        </w:rPr>
        <w:t>2021年区残联机关在职人员</w:t>
      </w:r>
      <w:r>
        <w:rPr>
          <w:rFonts w:hint="eastAsia" w:asciiTheme="minorEastAsia" w:hAnsiTheme="minorEastAsia" w:eastAsiaTheme="minorEastAsia" w:cstheme="minorEastAsia"/>
          <w:color w:val="333333"/>
          <w:kern w:val="0"/>
          <w:sz w:val="28"/>
          <w:szCs w:val="28"/>
        </w:rPr>
        <w:t>11</w:t>
      </w:r>
      <w:r>
        <w:rPr>
          <w:rFonts w:hint="eastAsia" w:asciiTheme="minorEastAsia" w:hAnsiTheme="minorEastAsia" w:eastAsiaTheme="minorEastAsia" w:cstheme="minorEastAsia"/>
          <w:color w:val="333333"/>
          <w:kern w:val="0"/>
          <w:sz w:val="28"/>
          <w:szCs w:val="28"/>
          <w:lang w:val="zh-CN"/>
        </w:rPr>
        <w:t>人，其中理事长1人，办事员1人，聘用人员</w:t>
      </w:r>
      <w:r>
        <w:rPr>
          <w:rFonts w:hint="eastAsia" w:asciiTheme="minorEastAsia" w:hAnsiTheme="minorEastAsia" w:eastAsiaTheme="minorEastAsia" w:cstheme="minorEastAsia"/>
          <w:color w:val="333333"/>
          <w:kern w:val="0"/>
          <w:sz w:val="28"/>
          <w:szCs w:val="28"/>
        </w:rPr>
        <w:t>9人</w:t>
      </w:r>
      <w:r>
        <w:rPr>
          <w:rFonts w:hint="eastAsia" w:ascii="宋体" w:hAnsi="宋体" w:cs="宋体"/>
          <w:color w:val="333333"/>
          <w:kern w:val="0"/>
          <w:sz w:val="28"/>
          <w:szCs w:val="28"/>
        </w:rPr>
        <w:t>。</w:t>
      </w:r>
    </w:p>
    <w:p>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2022年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rPr>
              <w:t>黄石港区残联</w:t>
            </w:r>
            <w:r>
              <w:rPr>
                <w:rFonts w:hint="eastAsia" w:ascii="微软雅黑" w:hAnsi="微软雅黑" w:eastAsia="微软雅黑" w:cs="微软雅黑"/>
                <w:b/>
                <w:bCs/>
                <w:color w:val="333333"/>
                <w:kern w:val="0"/>
                <w:sz w:val="28"/>
                <w:szCs w:val="28"/>
                <w:shd w:val="clear" w:color="auto" w:fill="FFFFFF"/>
                <w:lang w:eastAsia="zh-CN"/>
              </w:rPr>
              <w:t>2022年</w:t>
            </w:r>
            <w:r>
              <w:rPr>
                <w:rFonts w:hint="eastAsia" w:ascii="微软雅黑" w:hAnsi="微软雅黑" w:eastAsia="微软雅黑" w:cs="微软雅黑"/>
                <w:b/>
                <w:bCs/>
                <w:color w:val="333333"/>
                <w:kern w:val="0"/>
                <w:sz w:val="28"/>
                <w:szCs w:val="28"/>
                <w:shd w:val="clear" w:color="auto" w:fill="FFFFFF"/>
              </w:rPr>
              <w:t>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jc w:val="center"/>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pPr>
            <w:r>
              <w:rPr>
                <w:rFonts w:hint="eastAsia" w:ascii="宋体" w:hAnsi="宋体" w:cs="宋体"/>
                <w:kern w:val="0"/>
                <w:sz w:val="24"/>
              </w:rPr>
              <w:t>财政拨款收入</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eastAsia" w:eastAsia="宋体"/>
                <w:lang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eastAsia="zh-CN"/>
              </w:rPr>
              <w:t xml:space="preserve">263155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rPr>
                <w:rFonts w:ascii="宋体" w:hAnsi="宋体" w:cs="宋体"/>
                <w:b/>
                <w:bCs/>
                <w:kern w:val="0"/>
                <w:sz w:val="24"/>
              </w:rPr>
            </w:pPr>
          </w:p>
        </w:tc>
        <w:tc>
          <w:tcPr>
            <w:tcW w:w="1545" w:type="dxa"/>
            <w:vAlign w:val="center"/>
          </w:tcPr>
          <w:p>
            <w:pPr>
              <w:widowControl/>
              <w:jc w:val="center"/>
              <w:rPr>
                <w:rFonts w:ascii="宋体" w:hAnsi="宋体" w:cs="宋体"/>
                <w:b/>
                <w:bCs/>
                <w:kern w:val="0"/>
                <w:sz w:val="24"/>
              </w:rPr>
            </w:pPr>
          </w:p>
        </w:tc>
        <w:tc>
          <w:tcPr>
            <w:tcW w:w="2955" w:type="dxa"/>
            <w:vAlign w:val="center"/>
          </w:tcPr>
          <w:p>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黄石港区残联</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 xml:space="preserve">263155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eastAsia="zh-CN"/>
              </w:rPr>
              <w:t xml:space="preserve">263155 </w:t>
            </w: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eastAsia="zh-CN"/>
              </w:rPr>
              <w:t xml:space="preserve">263155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 xml:space="preserve">263155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黄石港区残联</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84"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pPr>
              <w:widowControl/>
              <w:jc w:val="left"/>
            </w:pPr>
            <w:r>
              <w:rPr>
                <w:rFonts w:hint="eastAsia" w:ascii="宋体" w:hAnsi="宋体" w:cs="宋体"/>
                <w:kern w:val="0"/>
                <w:sz w:val="24"/>
              </w:rPr>
              <w:t>　　　</w:t>
            </w:r>
          </w:p>
        </w:tc>
        <w:tc>
          <w:tcPr>
            <w:tcW w:w="1710" w:type="dxa"/>
            <w:vAlign w:val="center"/>
          </w:tcPr>
          <w:p>
            <w:pPr>
              <w:widowControl/>
              <w:jc w:val="left"/>
            </w:pPr>
            <w:r>
              <w:rPr>
                <w:rFonts w:hint="eastAsia" w:ascii="宋体" w:hAnsi="宋体" w:cs="宋体"/>
                <w:kern w:val="0"/>
                <w:sz w:val="24"/>
              </w:rPr>
              <w:t>　　合计</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c>
          <w:tcPr>
            <w:tcW w:w="1035"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c>
          <w:tcPr>
            <w:tcW w:w="1005" w:type="dxa"/>
            <w:vAlign w:val="center"/>
          </w:tcPr>
          <w:p>
            <w:pPr>
              <w:widowControl/>
              <w:jc w:val="center"/>
            </w:pPr>
            <w:r>
              <w:rPr>
                <w:rFonts w:hint="eastAsia" w:ascii="宋体" w:hAnsi="宋体" w:cs="宋体"/>
                <w:kern w:val="0"/>
                <w:sz w:val="24"/>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pPr>
              <w:widowControl/>
              <w:jc w:val="center"/>
            </w:pPr>
            <w:r>
              <w:rPr>
                <w:rFonts w:ascii="宋体" w:hAnsi="宋体" w:cs="宋体"/>
                <w:kern w:val="0"/>
                <w:sz w:val="24"/>
              </w:rPr>
              <w:t>2</w:t>
            </w:r>
            <w:r>
              <w:rPr>
                <w:rFonts w:hint="eastAsia" w:ascii="宋体" w:hAnsi="宋体" w:cs="宋体"/>
                <w:kern w:val="0"/>
                <w:sz w:val="24"/>
              </w:rPr>
              <w:t>08</w:t>
            </w:r>
          </w:p>
        </w:tc>
        <w:tc>
          <w:tcPr>
            <w:tcW w:w="1710" w:type="dxa"/>
            <w:vAlign w:val="center"/>
          </w:tcPr>
          <w:p>
            <w:pPr>
              <w:widowControl/>
              <w:jc w:val="left"/>
            </w:pPr>
            <w:r>
              <w:rPr>
                <w:rFonts w:hint="eastAsia"/>
              </w:rPr>
              <w:t>社会保障和就业支出</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c>
          <w:tcPr>
            <w:tcW w:w="1035"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c>
          <w:tcPr>
            <w:tcW w:w="1005" w:type="dxa"/>
            <w:vAlign w:val="center"/>
          </w:tcPr>
          <w:p>
            <w:pPr>
              <w:widowControl/>
              <w:jc w:val="center"/>
              <w:rPr>
                <w:rFonts w:ascii="宋体" w:cs="宋体"/>
                <w:kern w:val="0"/>
                <w:sz w:val="24"/>
              </w:rPr>
            </w:pPr>
            <w:r>
              <w:rPr>
                <w:rFonts w:hint="eastAsia" w:ascii="宋体" w:hAnsi="宋体" w:cs="宋体"/>
                <w:kern w:val="0"/>
                <w:sz w:val="24"/>
              </w:rPr>
              <w:t>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pPr>
              <w:widowControl/>
              <w:jc w:val="center"/>
            </w:pPr>
            <w:r>
              <w:rPr>
                <w:rFonts w:hint="eastAsia" w:ascii="宋体" w:hAnsi="宋体" w:cs="宋体"/>
                <w:kern w:val="0"/>
                <w:sz w:val="24"/>
              </w:rPr>
              <w:t>20811</w:t>
            </w:r>
          </w:p>
        </w:tc>
        <w:tc>
          <w:tcPr>
            <w:tcW w:w="1710" w:type="dxa"/>
            <w:vAlign w:val="center"/>
          </w:tcPr>
          <w:p>
            <w:pPr>
              <w:widowControl/>
              <w:ind w:firstLine="120" w:firstLineChars="50"/>
              <w:jc w:val="left"/>
            </w:pPr>
            <w:r>
              <w:rPr>
                <w:rFonts w:hint="eastAsia" w:ascii="宋体" w:hAnsi="宋体" w:cs="宋体"/>
                <w:kern w:val="0"/>
                <w:sz w:val="24"/>
              </w:rPr>
              <w:t>残疾人事业</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c>
          <w:tcPr>
            <w:tcW w:w="1035"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c>
          <w:tcPr>
            <w:tcW w:w="1005" w:type="dxa"/>
            <w:vAlign w:val="center"/>
          </w:tcPr>
          <w:p>
            <w:pPr>
              <w:widowControl/>
              <w:jc w:val="center"/>
            </w:pPr>
            <w:r>
              <w:rPr>
                <w:rFonts w:hint="eastAsia" w:ascii="宋体" w:hAnsi="宋体" w:cs="宋体"/>
                <w:kern w:val="0"/>
                <w:sz w:val="24"/>
              </w:rPr>
              <w:t>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pPr>
              <w:widowControl/>
              <w:jc w:val="center"/>
            </w:pPr>
            <w:r>
              <w:rPr>
                <w:rFonts w:ascii="宋体" w:hAnsi="宋体" w:cs="宋体"/>
                <w:kern w:val="0"/>
                <w:sz w:val="24"/>
              </w:rPr>
              <w:t>2</w:t>
            </w:r>
            <w:r>
              <w:rPr>
                <w:rFonts w:hint="eastAsia" w:ascii="宋体" w:hAnsi="宋体" w:cs="宋体"/>
                <w:kern w:val="0"/>
                <w:sz w:val="24"/>
              </w:rPr>
              <w:t>081101</w:t>
            </w:r>
          </w:p>
        </w:tc>
        <w:tc>
          <w:tcPr>
            <w:tcW w:w="1710" w:type="dxa"/>
            <w:vAlign w:val="center"/>
          </w:tcPr>
          <w:p>
            <w:pPr>
              <w:widowControl/>
              <w:jc w:val="left"/>
            </w:pPr>
            <w:r>
              <w:rPr>
                <w:rFonts w:hint="eastAsia" w:ascii="宋体" w:hAnsi="宋体" w:cs="宋体"/>
                <w:kern w:val="0"/>
                <w:sz w:val="24"/>
              </w:rPr>
              <w:t>　行政运行</w:t>
            </w:r>
          </w:p>
        </w:tc>
        <w:tc>
          <w:tcPr>
            <w:tcW w:w="1172"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 xml:space="preserve">263155 </w:t>
            </w:r>
          </w:p>
        </w:tc>
        <w:tc>
          <w:tcPr>
            <w:tcW w:w="1035"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 xml:space="preserve">263155 </w:t>
            </w:r>
          </w:p>
        </w:tc>
        <w:tc>
          <w:tcPr>
            <w:tcW w:w="1005" w:type="dxa"/>
            <w:vAlign w:val="center"/>
          </w:tcPr>
          <w:p>
            <w:pPr>
              <w:widowControl/>
              <w:jc w:val="center"/>
              <w:rPr>
                <w:rFonts w:ascii="宋体" w:cs="宋体"/>
                <w:kern w:val="0"/>
                <w:sz w:val="24"/>
              </w:rPr>
            </w:pPr>
            <w:r>
              <w:rPr>
                <w:rFonts w:hint="eastAsia" w:ascii="宋体" w:hAnsi="宋体" w:cs="宋体"/>
                <w:kern w:val="0"/>
                <w:sz w:val="24"/>
              </w:rPr>
              <w:t>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黄石港区残联</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c>
          <w:tcPr>
            <w:tcW w:w="2903" w:type="dxa"/>
            <w:shd w:val="clear" w:color="auto" w:fill="auto"/>
            <w:vAlign w:val="center"/>
          </w:tcPr>
          <w:p>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黄石港区残联</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c>
          <w:tcPr>
            <w:tcW w:w="1815"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ascii="宋体" w:hAnsi="宋体" w:cs="宋体"/>
                <w:kern w:val="0"/>
                <w:sz w:val="24"/>
              </w:rPr>
              <w:t>2</w:t>
            </w:r>
            <w:r>
              <w:rPr>
                <w:rFonts w:hint="eastAsia" w:ascii="宋体" w:hAnsi="宋体" w:cs="宋体"/>
                <w:kern w:val="0"/>
                <w:sz w:val="24"/>
              </w:rPr>
              <w:t>08</w:t>
            </w:r>
          </w:p>
        </w:tc>
        <w:tc>
          <w:tcPr>
            <w:tcW w:w="2100" w:type="dxa"/>
            <w:vAlign w:val="center"/>
          </w:tcPr>
          <w:p>
            <w:pPr>
              <w:widowControl/>
              <w:jc w:val="left"/>
            </w:pPr>
            <w:r>
              <w:rPr>
                <w:rFonts w:hint="eastAsia"/>
              </w:rPr>
              <w:t>社会保障和就业支出</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c>
          <w:tcPr>
            <w:tcW w:w="1815"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c>
          <w:tcPr>
            <w:tcW w:w="1702" w:type="dxa"/>
            <w:vAlign w:val="center"/>
          </w:tcPr>
          <w:p>
            <w:pPr>
              <w:widowControl/>
              <w:jc w:val="center"/>
              <w:rPr>
                <w:rFonts w:ascii="宋体" w:cs="宋体"/>
                <w:kern w:val="0"/>
                <w:sz w:val="24"/>
              </w:rP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rPr>
              <w:t>20811</w:t>
            </w:r>
          </w:p>
        </w:tc>
        <w:tc>
          <w:tcPr>
            <w:tcW w:w="2100" w:type="dxa"/>
            <w:vAlign w:val="center"/>
          </w:tcPr>
          <w:p>
            <w:pPr>
              <w:widowControl/>
              <w:ind w:firstLine="120" w:firstLineChars="50"/>
              <w:jc w:val="left"/>
            </w:pPr>
            <w:r>
              <w:rPr>
                <w:rFonts w:hint="eastAsia" w:ascii="宋体" w:hAnsi="宋体" w:cs="宋体"/>
                <w:kern w:val="0"/>
                <w:sz w:val="24"/>
              </w:rPr>
              <w:t>残疾人事业</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c>
          <w:tcPr>
            <w:tcW w:w="1815" w:type="dxa"/>
            <w:vAlign w:val="center"/>
          </w:tcPr>
          <w:p>
            <w:pPr>
              <w:widowControl/>
              <w:jc w:val="center"/>
              <w:rPr>
                <w:rFonts w:hint="eastAsia" w:eastAsia="宋体"/>
                <w:lang w:eastAsia="zh-CN"/>
              </w:rPr>
            </w:pPr>
            <w:r>
              <w:rPr>
                <w:rFonts w:hint="eastAsia" w:ascii="宋体" w:hAnsi="宋体" w:cs="宋体"/>
                <w:kern w:val="0"/>
                <w:sz w:val="24"/>
                <w:lang w:eastAsia="zh-CN"/>
              </w:rPr>
              <w:t xml:space="preserve">263155 </w:t>
            </w:r>
          </w:p>
        </w:tc>
        <w:tc>
          <w:tcPr>
            <w:tcW w:w="170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pPr>
            <w:r>
              <w:rPr>
                <w:rFonts w:ascii="宋体" w:hAnsi="宋体" w:cs="宋体"/>
                <w:kern w:val="0"/>
                <w:sz w:val="24"/>
              </w:rPr>
              <w:t>2</w:t>
            </w:r>
            <w:r>
              <w:rPr>
                <w:rFonts w:hint="eastAsia" w:ascii="宋体" w:hAnsi="宋体" w:cs="宋体"/>
                <w:kern w:val="0"/>
                <w:sz w:val="24"/>
              </w:rPr>
              <w:t>081101</w:t>
            </w:r>
          </w:p>
        </w:tc>
        <w:tc>
          <w:tcPr>
            <w:tcW w:w="2100" w:type="dxa"/>
            <w:vAlign w:val="center"/>
          </w:tcPr>
          <w:p>
            <w:pPr>
              <w:widowControl/>
              <w:jc w:val="left"/>
            </w:pPr>
            <w:r>
              <w:rPr>
                <w:rFonts w:hint="eastAsia" w:ascii="宋体" w:hAnsi="宋体" w:cs="宋体"/>
                <w:kern w:val="0"/>
                <w:sz w:val="24"/>
              </w:rPr>
              <w:t>　行政运行</w:t>
            </w:r>
          </w:p>
        </w:tc>
        <w:tc>
          <w:tcPr>
            <w:tcW w:w="183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 xml:space="preserve">263155 </w:t>
            </w:r>
          </w:p>
        </w:tc>
        <w:tc>
          <w:tcPr>
            <w:tcW w:w="1815"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 xml:space="preserve">263155 </w:t>
            </w:r>
          </w:p>
        </w:tc>
        <w:tc>
          <w:tcPr>
            <w:tcW w:w="1702" w:type="dxa"/>
            <w:vAlign w:val="center"/>
          </w:tcPr>
          <w:p>
            <w:pPr>
              <w:widowControl/>
              <w:jc w:val="center"/>
              <w:rPr>
                <w:rFonts w:ascii="宋体" w:cs="宋体"/>
                <w:kern w:val="0"/>
                <w:sz w:val="24"/>
              </w:rPr>
            </w:pPr>
            <w:r>
              <w:rPr>
                <w:rFonts w:hint="eastAsia" w:ascii="宋体" w:hAnsi="宋体" w:cs="宋体"/>
                <w:kern w:val="0"/>
                <w:sz w:val="24"/>
              </w:rPr>
              <w:t>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1800"/>
        <w:gridCol w:w="1800"/>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Style w:val="15"/>
                <w:lang w:val="en-US" w:eastAsia="zh-CN" w:bidi="ar"/>
              </w:rPr>
              <w:t>黄石港区残联</w:t>
            </w:r>
            <w:r>
              <w:rPr>
                <w:rStyle w:val="15"/>
                <w:rFonts w:hint="eastAsia"/>
                <w:lang w:val="en-US" w:eastAsia="zh-CN" w:bidi="ar"/>
              </w:rPr>
              <w:t>2022年</w:t>
            </w:r>
            <w:r>
              <w:rPr>
                <w:rStyle w:val="15"/>
                <w:lang w:val="en-US" w:eastAsia="zh-CN" w:bidi="ar"/>
              </w:rPr>
              <w:t>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800"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800" w:type="dxa"/>
            <w:vMerge w:val="continue"/>
            <w:shd w:val="clear" w:color="auto" w:fill="D7D7D7" w:themeFill="background1" w:themeFillShade="D8"/>
            <w:vAlign w:val="center"/>
          </w:tcPr>
          <w:p>
            <w:pPr>
              <w:jc w:val="center"/>
              <w:rPr>
                <w:rFonts w:ascii="宋体"/>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D7D7D7" w:themeFill="background1" w:themeFillShade="D8"/>
            <w:vAlign w:val="center"/>
          </w:tcPr>
          <w:p>
            <w:pPr>
              <w:jc w:val="center"/>
              <w:rPr>
                <w:rFonts w:ascii="宋体" w:cs="宋体"/>
                <w:kern w:val="0"/>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 xml:space="preserve">263155 </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249923</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28148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 xml:space="preserve">240023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 xml:space="preserve">240023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48948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48948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112652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112652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4023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4023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23265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23265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30110</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12662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12662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11632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11632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38474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38474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800" w:type="dxa"/>
            <w:vAlign w:val="center"/>
          </w:tcPr>
          <w:p>
            <w:pPr>
              <w:keepNext w:val="0"/>
              <w:keepLines w:val="0"/>
              <w:widowControl/>
              <w:suppressLineNumbers w:val="0"/>
              <w:jc w:val="center"/>
              <w:textAlignment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11500</w:t>
            </w:r>
          </w:p>
        </w:tc>
        <w:tc>
          <w:tcPr>
            <w:tcW w:w="1800" w:type="dxa"/>
            <w:vAlign w:val="center"/>
          </w:tcPr>
          <w:p>
            <w:pPr>
              <w:keepNext w:val="0"/>
              <w:keepLines w:val="0"/>
              <w:widowControl/>
              <w:suppressLineNumbers w:val="0"/>
              <w:jc w:val="center"/>
              <w:textAlignment w:val="center"/>
              <w:rPr>
                <w:rFonts w:hint="default" w:cs="宋体" w:asciiTheme="minorEastAsia" w:hAnsiTheme="minorEastAsia" w:eastAsiaTheme="minorEastAsia"/>
                <w:b/>
                <w:bCs/>
                <w:color w:val="000000"/>
                <w:kern w:val="2"/>
                <w:sz w:val="24"/>
                <w:szCs w:val="24"/>
                <w:lang w:val="en-US" w:eastAsia="zh-CN" w:bidi="ar-SA"/>
              </w:rPr>
            </w:pPr>
          </w:p>
        </w:tc>
        <w:tc>
          <w:tcPr>
            <w:tcW w:w="1800" w:type="dxa"/>
            <w:vAlign w:val="center"/>
          </w:tcPr>
          <w:p>
            <w:pPr>
              <w:keepNext w:val="0"/>
              <w:keepLines w:val="0"/>
              <w:widowControl/>
              <w:suppressLineNumbers w:val="0"/>
              <w:jc w:val="center"/>
              <w:textAlignment w:val="center"/>
              <w:rPr>
                <w:rFonts w:hint="default" w:cs="宋体" w:asciiTheme="minorEastAsia" w:hAnsiTheme="minorEastAsia" w:eastAsiaTheme="minorEastAsia"/>
                <w:b/>
                <w:bCs/>
                <w:color w:val="000000"/>
                <w:kern w:val="2"/>
                <w:sz w:val="24"/>
                <w:szCs w:val="24"/>
                <w:lang w:val="en-US" w:eastAsia="zh-CN" w:bidi="ar-SA"/>
              </w:rPr>
            </w:pPr>
            <w:r>
              <w:rPr>
                <w:rFonts w:hint="eastAsia" w:cs="宋体" w:asciiTheme="minorEastAsia" w:hAnsiTheme="minorEastAsia" w:eastAsiaTheme="minorEastAsia"/>
                <w:b/>
                <w:bCs/>
                <w:color w:val="000000"/>
                <w:sz w:val="24"/>
                <w:lang w:val="en-US" w:eastAsia="zh-CN"/>
              </w:rPr>
              <w:t>11500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500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800"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700</w:t>
            </w:r>
          </w:p>
        </w:tc>
        <w:tc>
          <w:tcPr>
            <w:tcW w:w="1800"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p>
        </w:tc>
        <w:tc>
          <w:tcPr>
            <w:tcW w:w="1800"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700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800"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50</w:t>
            </w:r>
          </w:p>
        </w:tc>
        <w:tc>
          <w:tcPr>
            <w:tcW w:w="1800"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p>
        </w:tc>
        <w:tc>
          <w:tcPr>
            <w:tcW w:w="1800"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800"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1020</w:t>
            </w:r>
          </w:p>
        </w:tc>
        <w:tc>
          <w:tcPr>
            <w:tcW w:w="1800"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p>
        </w:tc>
        <w:tc>
          <w:tcPr>
            <w:tcW w:w="1800"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1020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1920</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1920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800"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1000</w:t>
            </w:r>
          </w:p>
        </w:tc>
        <w:tc>
          <w:tcPr>
            <w:tcW w:w="1800"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p>
        </w:tc>
        <w:tc>
          <w:tcPr>
            <w:tcW w:w="1800"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1000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800"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100</w:t>
            </w:r>
          </w:p>
        </w:tc>
        <w:tc>
          <w:tcPr>
            <w:tcW w:w="1800"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p>
        </w:tc>
        <w:tc>
          <w:tcPr>
            <w:tcW w:w="1800"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1454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1454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cs="宋体"/>
                <w:i w:val="0"/>
                <w:color w:val="000000"/>
                <w:kern w:val="0"/>
                <w:sz w:val="24"/>
                <w:szCs w:val="24"/>
                <w:u w:val="none"/>
                <w:lang w:val="en-US" w:eastAsia="zh-CN" w:bidi="ar"/>
              </w:rPr>
              <w:t>工会</w:t>
            </w:r>
            <w:r>
              <w:rPr>
                <w:rFonts w:hint="eastAsia" w:ascii="宋体" w:hAnsi="宋体" w:eastAsia="宋体" w:cs="宋体"/>
                <w:i w:val="0"/>
                <w:color w:val="000000"/>
                <w:kern w:val="0"/>
                <w:sz w:val="24"/>
                <w:szCs w:val="24"/>
                <w:u w:val="none"/>
                <w:lang w:val="en-US" w:eastAsia="zh-CN" w:bidi="ar"/>
              </w:rPr>
              <w:t>经费</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3312 </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3312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2423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2423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0</w:t>
            </w:r>
          </w:p>
        </w:tc>
        <w:tc>
          <w:tcPr>
            <w:tcW w:w="1800" w:type="dxa"/>
            <w:vAlign w:val="center"/>
          </w:tcPr>
          <w:p>
            <w:pPr>
              <w:keepNext w:val="0"/>
              <w:keepLines w:val="0"/>
              <w:widowControl/>
              <w:suppressLineNumbers w:val="0"/>
              <w:jc w:val="center"/>
              <w:textAlignment w:val="center"/>
              <w:rPr>
                <w:rFonts w:hint="default" w:cs="宋体" w:asciiTheme="minorEastAsia" w:hAnsiTheme="minorEastAsia" w:eastAsiaTheme="minorEastAsia"/>
                <w:b/>
                <w:bCs/>
                <w:color w:val="000000"/>
                <w:kern w:val="2"/>
                <w:sz w:val="24"/>
                <w:szCs w:val="24"/>
                <w:lang w:val="en-US" w:eastAsia="zh-CN" w:bidi="ar-SA"/>
              </w:rPr>
            </w:pPr>
            <w:r>
              <w:rPr>
                <w:rFonts w:hint="eastAsia" w:cs="宋体" w:asciiTheme="minorEastAsia" w:hAnsiTheme="minorEastAsia" w:eastAsiaTheme="minorEastAsia"/>
                <w:b/>
                <w:bCs/>
                <w:color w:val="000000"/>
                <w:kern w:val="2"/>
                <w:sz w:val="24"/>
                <w:szCs w:val="24"/>
                <w:lang w:val="en-US" w:eastAsia="zh-CN" w:bidi="ar-SA"/>
              </w:rPr>
              <w:t>0</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30304</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抚恤金</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30399</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其他对个人和家庭的补助</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黄石港区残联</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1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
        <w:gridCol w:w="1305"/>
        <w:gridCol w:w="75"/>
        <w:gridCol w:w="1740"/>
        <w:gridCol w:w="630"/>
        <w:gridCol w:w="360"/>
        <w:gridCol w:w="960"/>
        <w:gridCol w:w="210"/>
        <w:gridCol w:w="285"/>
        <w:gridCol w:w="495"/>
        <w:gridCol w:w="495"/>
        <w:gridCol w:w="420"/>
        <w:gridCol w:w="75"/>
        <w:gridCol w:w="495"/>
        <w:gridCol w:w="495"/>
        <w:gridCol w:w="495"/>
        <w:gridCol w:w="4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gridBefore w:val="1"/>
          <w:wBefore w:w="15" w:type="dxa"/>
          <w:jc w:val="center"/>
        </w:trPr>
        <w:tc>
          <w:tcPr>
            <w:tcW w:w="9000" w:type="dxa"/>
            <w:gridSpan w:val="16"/>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黄石港区残联</w:t>
            </w:r>
            <w:r>
              <w:rPr>
                <w:rFonts w:hint="eastAsia" w:ascii="微软雅黑" w:hAnsi="微软雅黑" w:eastAsia="微软雅黑" w:cs="微软雅黑"/>
                <w:b/>
                <w:bCs/>
                <w:color w:val="333333"/>
                <w:kern w:val="0"/>
                <w:sz w:val="32"/>
                <w:szCs w:val="32"/>
                <w:shd w:val="clear" w:color="auto" w:fill="FFFFFF"/>
                <w:lang w:eastAsia="zh-CN"/>
              </w:rPr>
              <w:t>2022年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trHeight w:val="432" w:hRule="atLeast"/>
          <w:jc w:val="center"/>
        </w:trPr>
        <w:tc>
          <w:tcPr>
            <w:tcW w:w="9000" w:type="dxa"/>
            <w:gridSpan w:val="16"/>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jc w:val="center"/>
        </w:trPr>
        <w:tc>
          <w:tcPr>
            <w:tcW w:w="3750" w:type="dxa"/>
            <w:gridSpan w:val="4"/>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gridSpan w:val="3"/>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9"/>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gridBefore w:val="1"/>
          <w:wBefore w:w="15" w:type="dxa"/>
          <w:jc w:val="center"/>
        </w:trPr>
        <w:tc>
          <w:tcPr>
            <w:tcW w:w="1380" w:type="dxa"/>
            <w:gridSpan w:val="2"/>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gridSpan w:val="2"/>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gridSpan w:val="3"/>
            <w:vMerge w:val="continue"/>
            <w:shd w:val="clear" w:color="auto" w:fill="D7D7D7" w:themeFill="background1" w:themeFillShade="D8"/>
            <w:vAlign w:val="center"/>
          </w:tcPr>
          <w:p>
            <w:pPr>
              <w:jc w:val="center"/>
              <w:rPr>
                <w:rFonts w:ascii="宋体"/>
                <w:sz w:val="24"/>
              </w:rPr>
            </w:pPr>
          </w:p>
        </w:tc>
        <w:tc>
          <w:tcPr>
            <w:tcW w:w="1695" w:type="dxa"/>
            <w:gridSpan w:val="4"/>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gridSpan w:val="5"/>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gridBefore w:val="1"/>
          <w:wBefore w:w="15" w:type="dxa"/>
          <w:jc w:val="center"/>
        </w:trPr>
        <w:tc>
          <w:tcPr>
            <w:tcW w:w="1380" w:type="dxa"/>
            <w:gridSpan w:val="2"/>
            <w:vAlign w:val="center"/>
          </w:tcPr>
          <w:p>
            <w:pPr>
              <w:widowControl/>
              <w:jc w:val="left"/>
            </w:pPr>
            <w:r>
              <w:rPr>
                <w:rFonts w:hint="eastAsia" w:ascii="宋体" w:hAnsi="宋体" w:cs="宋体"/>
                <w:kern w:val="0"/>
                <w:sz w:val="24"/>
              </w:rPr>
              <w:t>　　　</w:t>
            </w:r>
          </w:p>
        </w:tc>
        <w:tc>
          <w:tcPr>
            <w:tcW w:w="2370" w:type="dxa"/>
            <w:gridSpan w:val="2"/>
            <w:vAlign w:val="center"/>
          </w:tcPr>
          <w:p>
            <w:pPr>
              <w:widowControl/>
              <w:jc w:val="left"/>
            </w:pPr>
            <w:r>
              <w:rPr>
                <w:rFonts w:hint="eastAsia" w:ascii="宋体" w:hAnsi="宋体" w:cs="宋体"/>
                <w:kern w:val="0"/>
                <w:sz w:val="24"/>
              </w:rPr>
              <w:t>　　　</w:t>
            </w:r>
          </w:p>
        </w:tc>
        <w:tc>
          <w:tcPr>
            <w:tcW w:w="1530" w:type="dxa"/>
            <w:gridSpan w:val="3"/>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gridSpan w:val="4"/>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gridSpan w:val="5"/>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trHeight w:val="531" w:hRule="atLeast"/>
          <w:jc w:val="center"/>
        </w:trPr>
        <w:tc>
          <w:tcPr>
            <w:tcW w:w="9000" w:type="dxa"/>
            <w:gridSpan w:val="16"/>
            <w:tcBorders/>
            <w:vAlign w:val="center"/>
          </w:tcPr>
          <w:p>
            <w:pPr>
              <w:widowControl/>
              <w:jc w:val="left"/>
            </w:pPr>
            <w:r>
              <w:rPr>
                <w:rFonts w:hint="eastAsia" w:ascii="宋体" w:hAnsi="宋体" w:cs="宋体"/>
                <w:kern w:val="0"/>
                <w:sz w:val="24"/>
                <w:highlight w:val="none"/>
                <w:lang w:eastAsia="zh-CN"/>
              </w:rPr>
              <w:t>说明：本单位无政府性基金预算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380" w:hRule="atLeast"/>
        </w:trPr>
        <w:tc>
          <w:tcPr>
            <w:tcW w:w="1320"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表九</w:t>
            </w:r>
          </w:p>
        </w:tc>
        <w:tc>
          <w:tcPr>
            <w:tcW w:w="1815"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5"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5"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400" w:hRule="atLeast"/>
        </w:trPr>
        <w:tc>
          <w:tcPr>
            <w:tcW w:w="8550" w:type="dxa"/>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180" w:hRule="atLeast"/>
        </w:trPr>
        <w:tc>
          <w:tcPr>
            <w:tcW w:w="1320"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1815" w:type="dxa"/>
            <w:gridSpan w:val="2"/>
            <w:tcBorders>
              <w:top w:val="nil"/>
              <w:left w:val="nil"/>
              <w:bottom w:val="nil"/>
              <w:right w:val="nil"/>
            </w:tcBorders>
            <w:shd w:val="clear" w:color="auto" w:fill="auto"/>
            <w:noWrap/>
            <w:vAlign w:val="bottom"/>
          </w:tcPr>
          <w:p>
            <w:pPr>
              <w:rPr>
                <w:rFonts w:hint="eastAsia" w:ascii="Calibri" w:hAnsi="Calibri" w:cs="Calibri"/>
                <w:i w:val="0"/>
                <w:iCs w:val="0"/>
                <w:color w:val="000000"/>
                <w:sz w:val="16"/>
                <w:szCs w:val="16"/>
                <w:u w:val="none"/>
              </w:rPr>
            </w:pPr>
          </w:p>
        </w:tc>
        <w:tc>
          <w:tcPr>
            <w:tcW w:w="990"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95"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980" w:type="dxa"/>
            <w:gridSpan w:val="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420" w:hRule="atLeast"/>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项目分类</w:t>
            </w:r>
          </w:p>
        </w:tc>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990" w:type="dxa"/>
            <w:gridSpan w:val="2"/>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本年拨款</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财政拨款结转结余</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840" w:hRule="atLeast"/>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990" w:type="dxa"/>
            <w:gridSpan w:val="2"/>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615" w:hRule="atLeast"/>
        </w:trPr>
        <w:tc>
          <w:tcPr>
            <w:tcW w:w="1320" w:type="dxa"/>
            <w:gridSpan w:val="2"/>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18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990"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 </w:t>
            </w:r>
          </w:p>
        </w:tc>
        <w:tc>
          <w:tcPr>
            <w:tcW w:w="96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 </w:t>
            </w:r>
          </w:p>
        </w:tc>
        <w:tc>
          <w:tcPr>
            <w:tcW w:w="495" w:type="dxa"/>
            <w:gridSpan w:val="2"/>
            <w:tcBorders>
              <w:top w:val="nil"/>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95" w:type="dxa"/>
            <w:tcBorders>
              <w:top w:val="nil"/>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95" w:type="dxa"/>
            <w:tcBorders>
              <w:top w:val="nil"/>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95" w:type="dxa"/>
            <w:gridSpan w:val="2"/>
            <w:tcBorders>
              <w:top w:val="nil"/>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95" w:type="dxa"/>
            <w:tcBorders>
              <w:top w:val="nil"/>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95" w:type="dxa"/>
            <w:tcBorders>
              <w:top w:val="nil"/>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95" w:type="dxa"/>
            <w:tcBorders>
              <w:top w:val="nil"/>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400" w:hRule="atLeast"/>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本级支出项目</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b w:val="0"/>
          <w:bCs/>
          <w:color w:val="333333"/>
          <w:highlight w:val="none"/>
          <w:shd w:val="clear" w:color="auto" w:fill="FFFFFF"/>
          <w:lang w:eastAsia="zh-CN"/>
        </w:rPr>
        <w:t>说明：本单位无项目支出</w:t>
      </w:r>
    </w:p>
    <w:p>
      <w:pPr>
        <w:pStyle w:val="5"/>
        <w:widowControl/>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highlight w:val="none"/>
        </w:rPr>
      </w:pPr>
      <w:r>
        <w:rPr>
          <w:rFonts w:hint="eastAsia" w:asciiTheme="minorEastAsia" w:hAnsiTheme="minorEastAsia" w:eastAsiaTheme="minorEastAsia" w:cstheme="minorEastAsia"/>
          <w:b/>
          <w:bCs w:val="0"/>
          <w:sz w:val="28"/>
          <w:szCs w:val="28"/>
          <w:highlight w:val="none"/>
          <w:lang w:eastAsia="zh-CN"/>
        </w:rPr>
        <w:t>一、</w:t>
      </w:r>
      <w:r>
        <w:rPr>
          <w:rFonts w:hint="eastAsia" w:asciiTheme="minorEastAsia" w:hAnsiTheme="minorEastAsia" w:eastAsiaTheme="minorEastAsia" w:cstheme="minorEastAsia"/>
          <w:b/>
          <w:bCs w:val="0"/>
          <w:sz w:val="28"/>
          <w:szCs w:val="28"/>
          <w:highlight w:val="none"/>
          <w:lang w:val="en-US" w:eastAsia="zh-CN"/>
        </w:rPr>
        <w:t>2022年</w:t>
      </w:r>
      <w:r>
        <w:rPr>
          <w:rFonts w:hint="eastAsia" w:asciiTheme="minorEastAsia" w:hAnsiTheme="minorEastAsia" w:eastAsiaTheme="minorEastAsia" w:cstheme="minorEastAsia"/>
          <w:b/>
          <w:bCs w:val="0"/>
          <w:sz w:val="28"/>
          <w:szCs w:val="28"/>
          <w:highlight w:val="none"/>
        </w:rPr>
        <w:t>财政拨款收入支出情况说明</w:t>
      </w:r>
    </w:p>
    <w:p>
      <w:pPr>
        <w:pStyle w:val="5"/>
        <w:widowControl/>
        <w:spacing w:before="0" w:beforeAutospacing="0" w:after="0" w:afterAutospacing="0" w:line="585" w:lineRule="atLeast"/>
        <w:ind w:firstLine="560" w:firstLineChars="200"/>
        <w:rPr>
          <w:rFonts w:hint="eastAsia" w:ascii="宋体" w:hAnsi="宋体"/>
          <w:color w:val="000000"/>
          <w:spacing w:val="2"/>
          <w:kern w:val="2"/>
          <w:sz w:val="28"/>
          <w:szCs w:val="28"/>
          <w:highlight w:val="none"/>
        </w:rPr>
      </w:pPr>
      <w:r>
        <w:rPr>
          <w:rFonts w:hint="eastAsia" w:asciiTheme="minorEastAsia" w:hAnsiTheme="minorEastAsia" w:eastAsiaTheme="minorEastAsia" w:cstheme="minorEastAsia"/>
          <w:sz w:val="28"/>
          <w:szCs w:val="28"/>
          <w:highlight w:val="none"/>
          <w:lang w:eastAsia="zh-CN"/>
        </w:rPr>
        <w:t>2022</w:t>
      </w:r>
      <w:r>
        <w:rPr>
          <w:rFonts w:hint="eastAsia"/>
          <w:sz w:val="28"/>
          <w:szCs w:val="28"/>
          <w:highlight w:val="none"/>
          <w:lang w:eastAsia="zh-CN"/>
        </w:rPr>
        <w:t>年</w:t>
      </w:r>
      <w:r>
        <w:rPr>
          <w:rFonts w:hint="eastAsia" w:ascii="宋体" w:hAnsi="宋体"/>
          <w:color w:val="000000"/>
          <w:spacing w:val="2"/>
          <w:kern w:val="2"/>
          <w:sz w:val="28"/>
          <w:szCs w:val="28"/>
          <w:highlight w:val="none"/>
        </w:rPr>
        <w:t>初预算总收入</w:t>
      </w:r>
      <w:r>
        <w:rPr>
          <w:rFonts w:hint="eastAsia" w:ascii="宋体" w:hAnsi="宋体" w:cs="宋体"/>
          <w:sz w:val="28"/>
          <w:szCs w:val="28"/>
          <w:lang w:eastAsia="zh-CN"/>
        </w:rPr>
        <w:t>263155</w:t>
      </w:r>
      <w:r>
        <w:rPr>
          <w:rFonts w:hint="eastAsia" w:ascii="宋体" w:hAnsi="宋体"/>
          <w:color w:val="000000"/>
          <w:spacing w:val="2"/>
          <w:kern w:val="2"/>
          <w:sz w:val="28"/>
          <w:szCs w:val="28"/>
          <w:highlight w:val="none"/>
        </w:rPr>
        <w:t>元，其中财政拨款收入</w:t>
      </w:r>
      <w:r>
        <w:rPr>
          <w:rFonts w:hint="eastAsia" w:ascii="宋体" w:hAnsi="宋体" w:cs="宋体"/>
          <w:sz w:val="28"/>
          <w:szCs w:val="28"/>
          <w:lang w:eastAsia="zh-CN"/>
        </w:rPr>
        <w:t>263155</w:t>
      </w:r>
      <w:r>
        <w:rPr>
          <w:rFonts w:hint="eastAsia" w:ascii="宋体" w:hAnsi="宋体"/>
          <w:color w:val="000000"/>
          <w:spacing w:val="2"/>
          <w:kern w:val="2"/>
          <w:sz w:val="28"/>
          <w:szCs w:val="28"/>
          <w:highlight w:val="none"/>
        </w:rPr>
        <w:t>元，占预算收入100%。</w:t>
      </w:r>
    </w:p>
    <w:p>
      <w:pPr>
        <w:pStyle w:val="5"/>
        <w:widowControl/>
        <w:spacing w:before="0" w:beforeAutospacing="0" w:after="0" w:afterAutospacing="0" w:line="585" w:lineRule="atLeast"/>
        <w:ind w:firstLine="568" w:firstLineChars="200"/>
        <w:rPr>
          <w:rFonts w:hint="default" w:ascii="宋体" w:hAnsi="宋体"/>
          <w:color w:val="000000"/>
          <w:spacing w:val="2"/>
          <w:kern w:val="2"/>
          <w:sz w:val="28"/>
          <w:szCs w:val="28"/>
          <w:highlight w:val="none"/>
          <w:lang w:val="en-US" w:eastAsia="zh-CN"/>
        </w:rPr>
      </w:pPr>
      <w:r>
        <w:rPr>
          <w:rFonts w:hint="eastAsia" w:ascii="宋体" w:hAnsi="宋体"/>
          <w:color w:val="000000"/>
          <w:spacing w:val="2"/>
          <w:kern w:val="2"/>
          <w:sz w:val="28"/>
          <w:szCs w:val="28"/>
          <w:highlight w:val="none"/>
          <w:lang w:val="en-US" w:eastAsia="zh-CN"/>
        </w:rPr>
        <w:t>2022年初预算支出</w:t>
      </w:r>
      <w:r>
        <w:rPr>
          <w:rFonts w:hint="eastAsia" w:ascii="宋体" w:hAnsi="宋体" w:cs="宋体"/>
          <w:sz w:val="28"/>
          <w:szCs w:val="28"/>
          <w:lang w:eastAsia="zh-CN"/>
        </w:rPr>
        <w:t>263155</w:t>
      </w:r>
      <w:r>
        <w:rPr>
          <w:rFonts w:hint="eastAsia" w:ascii="宋体" w:hAnsi="宋体"/>
          <w:color w:val="000000"/>
          <w:spacing w:val="2"/>
          <w:kern w:val="2"/>
          <w:sz w:val="28"/>
          <w:szCs w:val="28"/>
          <w:highlight w:val="none"/>
          <w:lang w:val="en-US" w:eastAsia="zh-CN"/>
        </w:rPr>
        <w:t>元，其中基本支出</w:t>
      </w:r>
      <w:r>
        <w:rPr>
          <w:rFonts w:hint="eastAsia" w:ascii="宋体" w:hAnsi="宋体" w:cs="宋体"/>
          <w:sz w:val="28"/>
          <w:szCs w:val="28"/>
          <w:lang w:eastAsia="zh-CN"/>
        </w:rPr>
        <w:t>263155</w:t>
      </w:r>
      <w:r>
        <w:rPr>
          <w:rFonts w:hint="eastAsia" w:ascii="宋体" w:hAnsi="宋体"/>
          <w:color w:val="000000"/>
          <w:spacing w:val="2"/>
          <w:kern w:val="2"/>
          <w:sz w:val="28"/>
          <w:szCs w:val="28"/>
          <w:highlight w:val="none"/>
          <w:lang w:val="en-US" w:eastAsia="zh-CN"/>
        </w:rPr>
        <w:t>元，占比100%。</w:t>
      </w:r>
    </w:p>
    <w:p>
      <w:pPr>
        <w:numPr>
          <w:ilvl w:val="0"/>
          <w:numId w:val="0"/>
        </w:numPr>
        <w:ind w:leftChars="0"/>
        <w:rPr>
          <w:rFonts w:hint="eastAsia" w:ascii="宋体" w:hAnsi="宋体" w:cs="宋体"/>
          <w:b/>
          <w:kern w:val="0"/>
          <w:sz w:val="28"/>
          <w:szCs w:val="28"/>
          <w:highlight w:val="none"/>
        </w:rPr>
      </w:pPr>
      <w:r>
        <w:rPr>
          <w:rFonts w:hint="eastAsia" w:ascii="宋体" w:hAnsi="宋体" w:cs="宋体"/>
          <w:b/>
          <w:kern w:val="0"/>
          <w:sz w:val="28"/>
          <w:szCs w:val="28"/>
          <w:highlight w:val="none"/>
          <w:lang w:eastAsia="zh-CN"/>
        </w:rPr>
        <w:t>二、</w:t>
      </w:r>
      <w:r>
        <w:rPr>
          <w:rFonts w:hint="eastAsia" w:ascii="宋体" w:hAnsi="宋体" w:cs="宋体"/>
          <w:b/>
          <w:kern w:val="0"/>
          <w:sz w:val="28"/>
          <w:szCs w:val="28"/>
          <w:highlight w:val="none"/>
        </w:rPr>
        <w:t>预算收支增减变化说明</w:t>
      </w:r>
    </w:p>
    <w:p>
      <w:pPr>
        <w:numPr>
          <w:ilvl w:val="0"/>
          <w:numId w:val="0"/>
        </w:numPr>
        <w:ind w:leftChars="0"/>
        <w:rPr>
          <w:rFonts w:hint="eastAsia" w:ascii="宋体" w:hAnsi="宋体" w:eastAsia="宋体" w:cs="宋体"/>
          <w:b w:val="0"/>
          <w:bCs/>
          <w:kern w:val="0"/>
          <w:sz w:val="28"/>
          <w:szCs w:val="28"/>
          <w:highlight w:val="none"/>
          <w:lang w:val="en-US" w:eastAsia="zh-CN"/>
        </w:rPr>
      </w:pPr>
      <w:r>
        <w:rPr>
          <w:rFonts w:hint="eastAsia" w:ascii="宋体" w:hAnsi="宋体" w:cs="宋体"/>
          <w:b/>
          <w:kern w:val="0"/>
          <w:sz w:val="28"/>
          <w:szCs w:val="28"/>
          <w:highlight w:val="none"/>
          <w:lang w:val="en-US" w:eastAsia="zh-CN"/>
        </w:rPr>
        <w:t xml:space="preserve">    </w:t>
      </w:r>
      <w:r>
        <w:rPr>
          <w:rFonts w:hint="eastAsia" w:ascii="宋体" w:hAnsi="宋体" w:cs="宋体"/>
          <w:b w:val="0"/>
          <w:bCs/>
          <w:kern w:val="0"/>
          <w:sz w:val="28"/>
          <w:szCs w:val="28"/>
          <w:highlight w:val="none"/>
          <w:lang w:val="en-US" w:eastAsia="zh-CN"/>
        </w:rPr>
        <w:t>（一）收入预算</w:t>
      </w:r>
    </w:p>
    <w:p>
      <w:pPr>
        <w:pStyle w:val="5"/>
        <w:widowControl/>
        <w:spacing w:before="0" w:beforeAutospacing="0" w:after="0" w:afterAutospacing="0" w:line="585" w:lineRule="atLeast"/>
        <w:ind w:firstLine="560" w:firstLineChars="200"/>
        <w:rPr>
          <w:rFonts w:hint="eastAsia" w:ascii="宋体" w:hAnsi="宋体" w:cs="宋体"/>
          <w:kern w:val="0"/>
          <w:sz w:val="28"/>
          <w:szCs w:val="28"/>
          <w:highlight w:val="none"/>
          <w:lang w:val="en-US" w:eastAsia="zh-CN"/>
        </w:rPr>
      </w:pPr>
      <w:r>
        <w:rPr>
          <w:rFonts w:ascii="宋体" w:hAnsi="宋体" w:cs="宋体"/>
          <w:kern w:val="0"/>
          <w:sz w:val="28"/>
          <w:szCs w:val="28"/>
          <w:highlight w:val="none"/>
        </w:rPr>
        <w:t xml:space="preserve"> </w:t>
      </w:r>
      <w:r>
        <w:rPr>
          <w:rFonts w:hint="eastAsia" w:ascii="宋体" w:hAnsi="宋体" w:cs="宋体"/>
          <w:kern w:val="0"/>
          <w:sz w:val="28"/>
          <w:szCs w:val="28"/>
          <w:highlight w:val="none"/>
        </w:rPr>
        <w:t>本单位</w:t>
      </w:r>
      <w:r>
        <w:rPr>
          <w:rFonts w:hint="eastAsia" w:ascii="宋体" w:hAnsi="宋体" w:cs="宋体"/>
          <w:kern w:val="0"/>
          <w:sz w:val="28"/>
          <w:szCs w:val="28"/>
          <w:highlight w:val="none"/>
          <w:lang w:eastAsia="zh-CN"/>
        </w:rPr>
        <w:t>2022年</w:t>
      </w:r>
      <w:r>
        <w:rPr>
          <w:rFonts w:hint="eastAsia" w:ascii="宋体" w:hAnsi="宋体" w:cs="宋体"/>
          <w:kern w:val="0"/>
          <w:sz w:val="28"/>
          <w:szCs w:val="28"/>
          <w:highlight w:val="none"/>
        </w:rPr>
        <w:t>财政拨款预算收</w:t>
      </w:r>
      <w:r>
        <w:rPr>
          <w:rFonts w:hint="eastAsia" w:ascii="宋体" w:hAnsi="宋体" w:cs="宋体"/>
          <w:kern w:val="0"/>
          <w:sz w:val="28"/>
          <w:szCs w:val="28"/>
          <w:highlight w:val="none"/>
          <w:lang w:eastAsia="zh-CN"/>
        </w:rPr>
        <w:t>入</w:t>
      </w:r>
      <w:r>
        <w:rPr>
          <w:rFonts w:hint="eastAsia" w:ascii="宋体" w:hAnsi="宋体" w:cs="宋体"/>
          <w:sz w:val="28"/>
          <w:szCs w:val="28"/>
          <w:lang w:eastAsia="zh-CN"/>
        </w:rPr>
        <w:t>263155</w:t>
      </w:r>
      <w:r>
        <w:rPr>
          <w:rFonts w:hint="eastAsia" w:ascii="宋体" w:hAnsi="宋体" w:cs="宋体"/>
          <w:kern w:val="0"/>
          <w:sz w:val="28"/>
          <w:szCs w:val="28"/>
          <w:highlight w:val="none"/>
        </w:rPr>
        <w:t>元，</w:t>
      </w:r>
      <w:r>
        <w:rPr>
          <w:rFonts w:hint="eastAsia" w:ascii="宋体" w:hAnsi="宋体" w:cs="宋体"/>
          <w:kern w:val="0"/>
          <w:sz w:val="28"/>
          <w:szCs w:val="28"/>
          <w:highlight w:val="none"/>
          <w:lang w:eastAsia="zh-CN"/>
        </w:rPr>
        <w:t>较</w:t>
      </w:r>
      <w:r>
        <w:rPr>
          <w:rFonts w:hint="eastAsia" w:ascii="宋体" w:hAnsi="宋体" w:cs="宋体"/>
          <w:kern w:val="0"/>
          <w:sz w:val="28"/>
          <w:szCs w:val="28"/>
          <w:highlight w:val="none"/>
          <w:lang w:val="en-US" w:eastAsia="zh-CN"/>
        </w:rPr>
        <w:t>2021年预算收入</w:t>
      </w:r>
      <w:r>
        <w:rPr>
          <w:rFonts w:hint="eastAsia" w:ascii="宋体" w:hAnsi="宋体" w:cs="宋体"/>
          <w:sz w:val="28"/>
          <w:szCs w:val="28"/>
          <w:highlight w:val="none"/>
          <w:lang w:val="en-US" w:eastAsia="zh-CN"/>
        </w:rPr>
        <w:t>271882</w:t>
      </w:r>
      <w:r>
        <w:rPr>
          <w:rFonts w:hint="eastAsia" w:ascii="宋体" w:hAnsi="宋体" w:cs="宋体"/>
          <w:sz w:val="28"/>
          <w:szCs w:val="28"/>
          <w:highlight w:val="none"/>
        </w:rPr>
        <w:t>元</w:t>
      </w:r>
      <w:r>
        <w:rPr>
          <w:rFonts w:hint="eastAsia" w:ascii="宋体" w:hAnsi="宋体" w:cs="宋体"/>
          <w:sz w:val="28"/>
          <w:szCs w:val="28"/>
          <w:highlight w:val="none"/>
          <w:lang w:eastAsia="zh-CN"/>
        </w:rPr>
        <w:t>增加</w:t>
      </w:r>
      <w:r>
        <w:rPr>
          <w:rFonts w:hint="eastAsia" w:ascii="宋体" w:hAnsi="宋体" w:cs="宋体"/>
          <w:kern w:val="0"/>
          <w:sz w:val="28"/>
          <w:szCs w:val="28"/>
          <w:highlight w:val="none"/>
          <w:lang w:val="en-US" w:eastAsia="zh-CN"/>
        </w:rPr>
        <w:t>155790</w:t>
      </w:r>
      <w:r>
        <w:rPr>
          <w:rFonts w:hint="eastAsia" w:ascii="宋体" w:hAnsi="宋体" w:cs="宋体"/>
          <w:kern w:val="0"/>
          <w:sz w:val="28"/>
          <w:szCs w:val="28"/>
          <w:highlight w:val="none"/>
        </w:rPr>
        <w:t>元</w:t>
      </w:r>
      <w:r>
        <w:rPr>
          <w:rFonts w:hint="eastAsia" w:ascii="宋体" w:hAnsi="宋体" w:cs="宋体"/>
          <w:kern w:val="0"/>
          <w:sz w:val="28"/>
          <w:szCs w:val="28"/>
          <w:highlight w:val="none"/>
          <w:lang w:val="en-US" w:eastAsia="zh-CN"/>
        </w:rPr>
        <w:t>，增加原因：2022年度本单位工资提标，按新标准列入预算发生增加。</w:t>
      </w:r>
    </w:p>
    <w:p>
      <w:pPr>
        <w:pStyle w:val="5"/>
        <w:widowControl/>
        <w:numPr>
          <w:ilvl w:val="0"/>
          <w:numId w:val="3"/>
        </w:numPr>
        <w:spacing w:before="0" w:beforeAutospacing="0" w:after="0" w:afterAutospacing="0" w:line="585" w:lineRule="atLeast"/>
        <w:ind w:firstLine="560" w:firstLineChars="200"/>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支出预算</w:t>
      </w:r>
    </w:p>
    <w:p>
      <w:pPr>
        <w:pStyle w:val="5"/>
        <w:widowControl/>
        <w:spacing w:before="0" w:beforeAutospacing="0" w:after="0" w:afterAutospacing="0" w:line="585" w:lineRule="atLeast"/>
        <w:ind w:firstLine="560" w:firstLineChars="200"/>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 xml:space="preserve"> 本单位2022年预算支出合计</w:t>
      </w:r>
      <w:r>
        <w:rPr>
          <w:rFonts w:hint="eastAsia" w:ascii="宋体" w:hAnsi="宋体" w:cs="宋体"/>
          <w:sz w:val="28"/>
          <w:szCs w:val="28"/>
          <w:highlight w:val="none"/>
          <w:lang w:val="en" w:eastAsia="zh-CN"/>
        </w:rPr>
        <w:t>427672</w:t>
      </w:r>
      <w:r>
        <w:rPr>
          <w:rFonts w:hint="eastAsia" w:ascii="宋体" w:hAnsi="宋体" w:cs="宋体"/>
          <w:kern w:val="0"/>
          <w:sz w:val="28"/>
          <w:szCs w:val="28"/>
          <w:highlight w:val="none"/>
        </w:rPr>
        <w:t>元</w:t>
      </w:r>
      <w:r>
        <w:rPr>
          <w:rFonts w:hint="eastAsia" w:ascii="宋体" w:hAnsi="宋体" w:cs="宋体"/>
          <w:kern w:val="0"/>
          <w:sz w:val="28"/>
          <w:szCs w:val="28"/>
          <w:highlight w:val="none"/>
          <w:lang w:eastAsia="zh-CN"/>
        </w:rPr>
        <w:t>，较</w:t>
      </w:r>
      <w:r>
        <w:rPr>
          <w:rFonts w:hint="eastAsia" w:ascii="宋体" w:hAnsi="宋体" w:cs="宋体"/>
          <w:kern w:val="0"/>
          <w:sz w:val="28"/>
          <w:szCs w:val="28"/>
          <w:highlight w:val="none"/>
          <w:lang w:val="en-US" w:eastAsia="zh-CN"/>
        </w:rPr>
        <w:t>2021年预算支出</w:t>
      </w:r>
      <w:r>
        <w:rPr>
          <w:rFonts w:hint="eastAsia" w:ascii="宋体" w:hAnsi="宋体" w:cs="宋体"/>
          <w:sz w:val="28"/>
          <w:szCs w:val="28"/>
          <w:lang w:val="en-US" w:eastAsia="zh-CN"/>
        </w:rPr>
        <w:t>278071减少14916</w:t>
      </w:r>
      <w:r>
        <w:rPr>
          <w:rFonts w:hint="eastAsia" w:ascii="宋体" w:hAnsi="宋体" w:cs="宋体"/>
          <w:kern w:val="0"/>
          <w:sz w:val="28"/>
          <w:szCs w:val="28"/>
        </w:rPr>
        <w:t>元</w:t>
      </w:r>
      <w:r>
        <w:rPr>
          <w:rFonts w:hint="eastAsia" w:ascii="宋体" w:hAnsi="宋体" w:cs="宋体"/>
          <w:kern w:val="0"/>
          <w:sz w:val="28"/>
          <w:szCs w:val="28"/>
          <w:lang w:eastAsia="zh-CN"/>
        </w:rPr>
        <w:t>，</w:t>
      </w:r>
      <w:r>
        <w:rPr>
          <w:rFonts w:hint="eastAsia" w:ascii="宋体" w:hAnsi="宋体" w:cs="宋体"/>
          <w:kern w:val="0"/>
          <w:sz w:val="28"/>
          <w:szCs w:val="28"/>
          <w:highlight w:val="none"/>
          <w:lang w:val="en-US" w:eastAsia="zh-CN"/>
        </w:rPr>
        <w:t>减少原因：</w:t>
      </w:r>
      <w:r>
        <w:rPr>
          <w:rFonts w:hint="eastAsia" w:ascii="宋体" w:hAnsi="宋体"/>
          <w:color w:val="000000"/>
          <w:spacing w:val="2"/>
          <w:kern w:val="2"/>
          <w:sz w:val="28"/>
          <w:szCs w:val="28"/>
        </w:rPr>
        <w:t>工资福利支出</w:t>
      </w:r>
      <w:r>
        <w:rPr>
          <w:rFonts w:hint="eastAsia" w:ascii="宋体" w:hAnsi="宋体" w:cs="宋体"/>
          <w:kern w:val="2"/>
          <w:sz w:val="28"/>
          <w:szCs w:val="28"/>
          <w:lang w:val="en-US" w:eastAsia="zh-CN"/>
        </w:rPr>
        <w:t>249923</w:t>
      </w:r>
      <w:r>
        <w:rPr>
          <w:rFonts w:hint="eastAsia" w:ascii="宋体" w:hAnsi="宋体"/>
          <w:color w:val="000000"/>
          <w:spacing w:val="2"/>
          <w:kern w:val="2"/>
          <w:sz w:val="28"/>
          <w:szCs w:val="28"/>
        </w:rPr>
        <w:t>元，商品服务支出</w:t>
      </w:r>
      <w:r>
        <w:rPr>
          <w:rFonts w:hint="eastAsia" w:ascii="宋体" w:hAnsi="宋体" w:cs="宋体"/>
          <w:kern w:val="2"/>
          <w:sz w:val="28"/>
          <w:szCs w:val="28"/>
          <w:lang w:val="en-US" w:eastAsia="zh-CN"/>
        </w:rPr>
        <w:t>11500</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rPr>
        <w:t>0</w:t>
      </w:r>
      <w:r>
        <w:rPr>
          <w:rFonts w:hint="eastAsia" w:ascii="宋体" w:hAnsi="宋体" w:cs="宋体"/>
          <w:sz w:val="28"/>
          <w:szCs w:val="28"/>
        </w:rPr>
        <w:t>元，专项经费</w:t>
      </w:r>
      <w:r>
        <w:rPr>
          <w:rFonts w:hint="eastAsia" w:ascii="宋体" w:hAnsi="宋体"/>
          <w:color w:val="000000"/>
          <w:spacing w:val="2"/>
          <w:kern w:val="2"/>
          <w:sz w:val="28"/>
          <w:szCs w:val="28"/>
        </w:rPr>
        <w:t>0</w:t>
      </w:r>
      <w:r>
        <w:rPr>
          <w:rFonts w:hint="eastAsia" w:ascii="宋体" w:hAnsi="宋体" w:cs="宋体"/>
          <w:sz w:val="28"/>
          <w:szCs w:val="28"/>
        </w:rPr>
        <w:t>元。</w:t>
      </w:r>
    </w:p>
    <w:p>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highlight w:val="none"/>
        </w:rPr>
        <w:t>三、机关运行经费安排情况明</w:t>
      </w:r>
      <w:r>
        <w:rPr>
          <w:rFonts w:hint="eastAsia" w:ascii="宋体" w:hAnsi="宋体" w:cs="宋体"/>
          <w:b/>
          <w:sz w:val="28"/>
          <w:szCs w:val="28"/>
        </w:rPr>
        <w:t>细说明</w:t>
      </w:r>
      <w:r>
        <w:rPr>
          <w:rFonts w:hint="eastAsia"/>
          <w:b/>
          <w:sz w:val="28"/>
          <w:szCs w:val="28"/>
        </w:rPr>
        <w:t>及编制的具体标准</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、业务招待费按区残联原核定的标准安排。</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计算，残联经费按工资总额的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14074</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28148</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500</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500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200</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300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700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50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1020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940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840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160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1000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1454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1454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残联经费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270350</w:t>
            </w: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3312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136836</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2423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bl>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2022年</w:t>
      </w:r>
      <w:r>
        <w:rPr>
          <w:rFonts w:hint="eastAsia" w:ascii="宋体" w:hAnsi="宋体" w:cs="宋体"/>
          <w:sz w:val="28"/>
          <w:szCs w:val="28"/>
        </w:rPr>
        <w:t>度本单位暂无政府采购预算，由我区政府采购统筹安排。</w:t>
      </w:r>
    </w:p>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2022年</w:t>
      </w:r>
      <w:r>
        <w:rPr>
          <w:rFonts w:hint="eastAsia" w:ascii="宋体" w:hAnsi="宋体" w:cs="宋体"/>
          <w:sz w:val="28"/>
          <w:szCs w:val="28"/>
        </w:rPr>
        <w:t>“三公”经费预算0万元，与</w:t>
      </w:r>
      <w:r>
        <w:rPr>
          <w:rFonts w:hint="eastAsia" w:ascii="宋体" w:hAnsi="宋体" w:cs="宋体"/>
          <w:sz w:val="28"/>
          <w:szCs w:val="28"/>
          <w:lang w:eastAsia="zh-CN"/>
        </w:rPr>
        <w:t>2021年</w:t>
      </w:r>
      <w:r>
        <w:rPr>
          <w:rFonts w:hint="eastAsia" w:ascii="宋体" w:hAnsi="宋体" w:cs="宋体"/>
          <w:sz w:val="28"/>
          <w:szCs w:val="28"/>
        </w:rPr>
        <w:t>预算一致。其中：</w:t>
      </w:r>
    </w:p>
    <w:p>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2021年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highlight w:val="yellow"/>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w:t>
      </w:r>
      <w:r>
        <w:rPr>
          <w:rFonts w:hint="eastAsia" w:ascii="宋体" w:hAnsi="宋体" w:cs="宋体"/>
          <w:sz w:val="28"/>
          <w:szCs w:val="28"/>
          <w:highlight w:val="none"/>
        </w:rPr>
        <w:t>公务用车购置及运行维护费</w:t>
      </w:r>
      <w:r>
        <w:rPr>
          <w:rFonts w:ascii="宋体" w:hAnsi="宋体" w:cs="宋体"/>
          <w:sz w:val="28"/>
          <w:szCs w:val="28"/>
          <w:highlight w:val="none"/>
        </w:rPr>
        <w:t>0</w:t>
      </w:r>
      <w:r>
        <w:rPr>
          <w:rFonts w:hint="eastAsia" w:ascii="宋体" w:hAnsi="宋体" w:cs="宋体"/>
          <w:sz w:val="28"/>
          <w:szCs w:val="28"/>
          <w:highlight w:val="none"/>
        </w:rPr>
        <w:t>万元，</w:t>
      </w:r>
      <w:r>
        <w:rPr>
          <w:rFonts w:hint="eastAsia" w:ascii="宋体" w:hAnsi="宋体" w:cs="宋体"/>
          <w:sz w:val="28"/>
          <w:szCs w:val="28"/>
          <w:highlight w:val="none"/>
          <w:lang w:eastAsia="zh-CN"/>
        </w:rPr>
        <w:t>其中：公务用车购置费</w:t>
      </w:r>
      <w:r>
        <w:rPr>
          <w:rFonts w:hint="eastAsia" w:ascii="宋体" w:hAnsi="宋体" w:cs="宋体"/>
          <w:sz w:val="28"/>
          <w:szCs w:val="28"/>
          <w:highlight w:val="none"/>
          <w:lang w:val="en-US" w:eastAsia="zh-CN"/>
        </w:rPr>
        <w:t>0万元，运行维护费0万元；</w:t>
      </w:r>
      <w:r>
        <w:rPr>
          <w:rFonts w:hint="eastAsia" w:ascii="宋体" w:hAnsi="宋体" w:cs="宋体"/>
          <w:sz w:val="28"/>
          <w:szCs w:val="28"/>
          <w:highlight w:val="none"/>
        </w:rPr>
        <w:t>无车辆，与</w:t>
      </w:r>
      <w:r>
        <w:rPr>
          <w:rFonts w:hint="eastAsia" w:ascii="宋体" w:hAnsi="宋体" w:cs="宋体"/>
          <w:sz w:val="28"/>
          <w:szCs w:val="28"/>
          <w:highlight w:val="none"/>
          <w:lang w:eastAsia="zh-CN"/>
        </w:rPr>
        <w:t>2021年</w:t>
      </w:r>
      <w:r>
        <w:rPr>
          <w:rFonts w:hint="eastAsia" w:ascii="宋体" w:hAnsi="宋体" w:cs="宋体"/>
          <w:sz w:val="28"/>
          <w:szCs w:val="28"/>
          <w:highlight w:val="none"/>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、公务接待费预算0万元，与</w:t>
      </w:r>
      <w:r>
        <w:rPr>
          <w:rFonts w:hint="eastAsia" w:ascii="宋体" w:hAnsi="宋体" w:cs="宋体"/>
          <w:sz w:val="28"/>
          <w:szCs w:val="28"/>
          <w:lang w:eastAsia="zh-CN"/>
        </w:rPr>
        <w:t>2021年</w:t>
      </w:r>
      <w:r>
        <w:rPr>
          <w:rFonts w:hint="eastAsia" w:ascii="宋体" w:hAnsi="宋体" w:cs="宋体"/>
          <w:sz w:val="28"/>
          <w:szCs w:val="28"/>
        </w:rPr>
        <w:t>预算一致。</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本单位将切实贯彻落实《中央八项规定》和《党政机关厉行节约反对浪费条例》等制度，加强内部财务管理制度建设，严格控制压缩“三公”经费的支出，做到厉行节约。</w:t>
      </w:r>
    </w:p>
    <w:p>
      <w:pPr>
        <w:pStyle w:val="5"/>
        <w:widowControl/>
        <w:numPr>
          <w:ilvl w:val="0"/>
          <w:numId w:val="4"/>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2022年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pPr>
        <w:pStyle w:val="5"/>
        <w:widowControl/>
        <w:numPr>
          <w:ilvl w:val="0"/>
          <w:numId w:val="4"/>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default"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（一）绩效工作开展情况</w:t>
      </w:r>
    </w:p>
    <w:p>
      <w:pPr>
        <w:widowControl/>
        <w:shd w:val="clear" w:color="auto" w:fill="FFFFFF"/>
        <w:spacing w:line="560" w:lineRule="exact"/>
        <w:ind w:firstLine="560" w:firstLineChars="200"/>
        <w:jc w:val="left"/>
        <w:rPr>
          <w:rFonts w:hint="default"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default" w:asciiTheme="minorEastAsia" w:hAnsiTheme="minorEastAsia" w:eastAsiaTheme="minorEastAsia" w:cstheme="minorEastAsia"/>
          <w:kern w:val="0"/>
          <w:sz w:val="28"/>
          <w:szCs w:val="28"/>
          <w:highlight w:val="none"/>
          <w:lang w:val="en-US" w:eastAsia="zh-CN" w:bidi="ar-SA"/>
        </w:rPr>
        <w:t>二是在预算执行中，依据绩效目标对项目资金运行状况及绩效目标的预期实现程度开展了一次绩效监控，确保预算绩效目标的实现。</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default" w:asciiTheme="minorEastAsia" w:hAnsiTheme="minorEastAsia" w:eastAsiaTheme="minorEastAsia" w:cstheme="minorEastAsia"/>
          <w:kern w:val="0"/>
          <w:sz w:val="28"/>
          <w:szCs w:val="28"/>
          <w:highlight w:val="none"/>
          <w:lang w:val="en-US" w:eastAsia="zh-CN" w:bidi="ar-SA"/>
        </w:rPr>
        <w:t>三是在预算编制中，认真梳理项目活动，依据项目活动明确项目绩效目标、量化关键绩效指标，将预算绩效评价结果作为预算安排的依据，提高预算绩效目标申报的及时性与规范性。</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default" w:asciiTheme="minorEastAsia" w:hAnsiTheme="minorEastAsia" w:eastAsiaTheme="minorEastAsia" w:cstheme="minorEastAsia"/>
          <w:kern w:val="0"/>
          <w:sz w:val="28"/>
          <w:szCs w:val="28"/>
          <w:highlight w:val="none"/>
          <w:lang w:val="en-US" w:eastAsia="zh-CN" w:bidi="ar-SA"/>
        </w:rPr>
        <w:t>四是完善绩效报告与公开制度，推动绩效信息公开，自觉接受社会监督。</w:t>
      </w:r>
    </w:p>
    <w:p>
      <w:pPr>
        <w:widowControl/>
        <w:numPr>
          <w:ilvl w:val="0"/>
          <w:numId w:val="0"/>
        </w:numPr>
        <w:shd w:val="clear" w:color="auto" w:fill="FFFFFF"/>
        <w:spacing w:line="560" w:lineRule="exact"/>
        <w:ind w:leftChars="200"/>
        <w:jc w:val="left"/>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（二）重点项目预算绩效目标表</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Style w:val="8"/>
          <w:rFonts w:hint="eastAsia" w:ascii="微软雅黑" w:hAnsi="微软雅黑" w:eastAsia="微软雅黑" w:cs="微软雅黑"/>
          <w:color w:val="333333"/>
          <w:kern w:val="0"/>
          <w:sz w:val="24"/>
          <w:shd w:val="clear" w:color="auto" w:fill="FFFFFF"/>
        </w:rPr>
      </w:pPr>
      <w:r>
        <w:rPr>
          <w:rFonts w:hint="eastAsia" w:asciiTheme="minorEastAsia" w:hAnsiTheme="minorEastAsia" w:eastAsiaTheme="minorEastAsia" w:cstheme="minorEastAsia"/>
          <w:sz w:val="28"/>
          <w:szCs w:val="28"/>
          <w:highlight w:val="none"/>
          <w:lang w:val="en-US" w:eastAsia="zh-CN"/>
        </w:rPr>
        <w:t>2022年度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bookmarkStart w:id="0" w:name="_GoBack"/>
      <w:bookmarkEnd w:id="0"/>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abstractNum w:abstractNumId="3">
    <w:nsid w:val="69A9B8C3"/>
    <w:multiLevelType w:val="singleLevel"/>
    <w:tmpl w:val="69A9B8C3"/>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1348C"/>
    <w:rsid w:val="000174D0"/>
    <w:rsid w:val="00036F66"/>
    <w:rsid w:val="00040F87"/>
    <w:rsid w:val="00045B5B"/>
    <w:rsid w:val="0005426C"/>
    <w:rsid w:val="000642D8"/>
    <w:rsid w:val="0006637F"/>
    <w:rsid w:val="000A2EF7"/>
    <w:rsid w:val="000C5BAF"/>
    <w:rsid w:val="000E5D03"/>
    <w:rsid w:val="000F5C47"/>
    <w:rsid w:val="00111F12"/>
    <w:rsid w:val="00142BAF"/>
    <w:rsid w:val="00144D41"/>
    <w:rsid w:val="00160079"/>
    <w:rsid w:val="00177A50"/>
    <w:rsid w:val="00183B02"/>
    <w:rsid w:val="001903D2"/>
    <w:rsid w:val="00195C90"/>
    <w:rsid w:val="001A38C3"/>
    <w:rsid w:val="001B3819"/>
    <w:rsid w:val="001D7AA5"/>
    <w:rsid w:val="001E2D95"/>
    <w:rsid w:val="00220827"/>
    <w:rsid w:val="0022746B"/>
    <w:rsid w:val="0024107E"/>
    <w:rsid w:val="002548C4"/>
    <w:rsid w:val="002577A1"/>
    <w:rsid w:val="0026399A"/>
    <w:rsid w:val="002665E9"/>
    <w:rsid w:val="00281954"/>
    <w:rsid w:val="002865A3"/>
    <w:rsid w:val="00292FC9"/>
    <w:rsid w:val="00293F0E"/>
    <w:rsid w:val="002A0349"/>
    <w:rsid w:val="002A64C5"/>
    <w:rsid w:val="002A6854"/>
    <w:rsid w:val="002B0615"/>
    <w:rsid w:val="002B35A9"/>
    <w:rsid w:val="002B6DCF"/>
    <w:rsid w:val="002C4266"/>
    <w:rsid w:val="002E4195"/>
    <w:rsid w:val="002E769A"/>
    <w:rsid w:val="002F2D80"/>
    <w:rsid w:val="00300C86"/>
    <w:rsid w:val="003145E9"/>
    <w:rsid w:val="00321081"/>
    <w:rsid w:val="00324BDD"/>
    <w:rsid w:val="00330B69"/>
    <w:rsid w:val="00342611"/>
    <w:rsid w:val="0035191A"/>
    <w:rsid w:val="00362247"/>
    <w:rsid w:val="0037390F"/>
    <w:rsid w:val="003A5ACE"/>
    <w:rsid w:val="003C5494"/>
    <w:rsid w:val="003C62AB"/>
    <w:rsid w:val="003E0016"/>
    <w:rsid w:val="004020CE"/>
    <w:rsid w:val="004072E2"/>
    <w:rsid w:val="004126C4"/>
    <w:rsid w:val="004134D9"/>
    <w:rsid w:val="004255FA"/>
    <w:rsid w:val="00434E16"/>
    <w:rsid w:val="0044409E"/>
    <w:rsid w:val="004603AF"/>
    <w:rsid w:val="00475940"/>
    <w:rsid w:val="004919C9"/>
    <w:rsid w:val="00495756"/>
    <w:rsid w:val="004B2042"/>
    <w:rsid w:val="004B394C"/>
    <w:rsid w:val="004C58CF"/>
    <w:rsid w:val="004D7DB5"/>
    <w:rsid w:val="004E60C4"/>
    <w:rsid w:val="004F3EBC"/>
    <w:rsid w:val="00505352"/>
    <w:rsid w:val="00522225"/>
    <w:rsid w:val="00523282"/>
    <w:rsid w:val="0054487B"/>
    <w:rsid w:val="005A282C"/>
    <w:rsid w:val="005A7369"/>
    <w:rsid w:val="006078D0"/>
    <w:rsid w:val="0061012E"/>
    <w:rsid w:val="00621778"/>
    <w:rsid w:val="00656AD5"/>
    <w:rsid w:val="006759D3"/>
    <w:rsid w:val="006A3FBE"/>
    <w:rsid w:val="006C2CA9"/>
    <w:rsid w:val="006D1903"/>
    <w:rsid w:val="006D383D"/>
    <w:rsid w:val="006E26A6"/>
    <w:rsid w:val="006F13E4"/>
    <w:rsid w:val="0071120F"/>
    <w:rsid w:val="00714347"/>
    <w:rsid w:val="007277F3"/>
    <w:rsid w:val="0073227B"/>
    <w:rsid w:val="007474FB"/>
    <w:rsid w:val="00763A8C"/>
    <w:rsid w:val="0076521F"/>
    <w:rsid w:val="007715A3"/>
    <w:rsid w:val="007B3C24"/>
    <w:rsid w:val="007B4BAE"/>
    <w:rsid w:val="007D2B0A"/>
    <w:rsid w:val="007D4739"/>
    <w:rsid w:val="007D5555"/>
    <w:rsid w:val="007D71D1"/>
    <w:rsid w:val="007F6801"/>
    <w:rsid w:val="00835DDB"/>
    <w:rsid w:val="0085298B"/>
    <w:rsid w:val="008549D6"/>
    <w:rsid w:val="00863BD7"/>
    <w:rsid w:val="008651E3"/>
    <w:rsid w:val="008858E2"/>
    <w:rsid w:val="00886357"/>
    <w:rsid w:val="008A260F"/>
    <w:rsid w:val="008A5305"/>
    <w:rsid w:val="008C65D5"/>
    <w:rsid w:val="008D5649"/>
    <w:rsid w:val="008D7FC9"/>
    <w:rsid w:val="00926A8F"/>
    <w:rsid w:val="00933189"/>
    <w:rsid w:val="009363EE"/>
    <w:rsid w:val="00940766"/>
    <w:rsid w:val="0094180A"/>
    <w:rsid w:val="00996000"/>
    <w:rsid w:val="009B4255"/>
    <w:rsid w:val="009B5178"/>
    <w:rsid w:val="009C1767"/>
    <w:rsid w:val="009C2041"/>
    <w:rsid w:val="00A03F05"/>
    <w:rsid w:val="00A05722"/>
    <w:rsid w:val="00A17BFB"/>
    <w:rsid w:val="00A33555"/>
    <w:rsid w:val="00A36A1D"/>
    <w:rsid w:val="00A53C33"/>
    <w:rsid w:val="00A57822"/>
    <w:rsid w:val="00A73AF6"/>
    <w:rsid w:val="00AA6B7D"/>
    <w:rsid w:val="00AB4490"/>
    <w:rsid w:val="00AB6928"/>
    <w:rsid w:val="00AC46E0"/>
    <w:rsid w:val="00B35E06"/>
    <w:rsid w:val="00B44C01"/>
    <w:rsid w:val="00B54B62"/>
    <w:rsid w:val="00B611F2"/>
    <w:rsid w:val="00B91E1C"/>
    <w:rsid w:val="00B92FDF"/>
    <w:rsid w:val="00B931B2"/>
    <w:rsid w:val="00B9498F"/>
    <w:rsid w:val="00B94DFE"/>
    <w:rsid w:val="00B9780B"/>
    <w:rsid w:val="00BA6024"/>
    <w:rsid w:val="00BA7485"/>
    <w:rsid w:val="00BB497A"/>
    <w:rsid w:val="00BC77F3"/>
    <w:rsid w:val="00BE7A20"/>
    <w:rsid w:val="00BF4729"/>
    <w:rsid w:val="00BF697C"/>
    <w:rsid w:val="00C05975"/>
    <w:rsid w:val="00C136F5"/>
    <w:rsid w:val="00C1680C"/>
    <w:rsid w:val="00C17661"/>
    <w:rsid w:val="00C20D94"/>
    <w:rsid w:val="00C33AF8"/>
    <w:rsid w:val="00C3422E"/>
    <w:rsid w:val="00C4557B"/>
    <w:rsid w:val="00C47445"/>
    <w:rsid w:val="00C55A7D"/>
    <w:rsid w:val="00C56B12"/>
    <w:rsid w:val="00C57395"/>
    <w:rsid w:val="00C76EBA"/>
    <w:rsid w:val="00CA07CE"/>
    <w:rsid w:val="00CA67A9"/>
    <w:rsid w:val="00CC3826"/>
    <w:rsid w:val="00CC70FC"/>
    <w:rsid w:val="00CD1D80"/>
    <w:rsid w:val="00CF525C"/>
    <w:rsid w:val="00D04567"/>
    <w:rsid w:val="00D12FAD"/>
    <w:rsid w:val="00D148E8"/>
    <w:rsid w:val="00D157F7"/>
    <w:rsid w:val="00D226FC"/>
    <w:rsid w:val="00D41B19"/>
    <w:rsid w:val="00D44255"/>
    <w:rsid w:val="00D71AAA"/>
    <w:rsid w:val="00D80C5F"/>
    <w:rsid w:val="00DB0BD3"/>
    <w:rsid w:val="00DC6896"/>
    <w:rsid w:val="00DE4741"/>
    <w:rsid w:val="00E30992"/>
    <w:rsid w:val="00E32C4B"/>
    <w:rsid w:val="00E34F36"/>
    <w:rsid w:val="00E564DB"/>
    <w:rsid w:val="00E62E0E"/>
    <w:rsid w:val="00E67D59"/>
    <w:rsid w:val="00E7656A"/>
    <w:rsid w:val="00E97417"/>
    <w:rsid w:val="00E97481"/>
    <w:rsid w:val="00EB4C41"/>
    <w:rsid w:val="00EC0F9A"/>
    <w:rsid w:val="00ED6AFD"/>
    <w:rsid w:val="00EE74D1"/>
    <w:rsid w:val="00EF18EB"/>
    <w:rsid w:val="00EF4BD6"/>
    <w:rsid w:val="00EF76CA"/>
    <w:rsid w:val="00F25ECC"/>
    <w:rsid w:val="00F4064A"/>
    <w:rsid w:val="00F41D23"/>
    <w:rsid w:val="00F70979"/>
    <w:rsid w:val="00F82F03"/>
    <w:rsid w:val="00F95681"/>
    <w:rsid w:val="00FB0164"/>
    <w:rsid w:val="00FB36B7"/>
    <w:rsid w:val="00FB3C99"/>
    <w:rsid w:val="00FD6AA5"/>
    <w:rsid w:val="00FE2E3E"/>
    <w:rsid w:val="02B71721"/>
    <w:rsid w:val="075771A9"/>
    <w:rsid w:val="15E37A96"/>
    <w:rsid w:val="1AFC74FE"/>
    <w:rsid w:val="2F325CC4"/>
    <w:rsid w:val="38AA0644"/>
    <w:rsid w:val="4ADB5746"/>
    <w:rsid w:val="4E5A1BC6"/>
    <w:rsid w:val="53F871A2"/>
    <w:rsid w:val="55403DF7"/>
    <w:rsid w:val="5FAA5B11"/>
    <w:rsid w:val="6A4D5B91"/>
    <w:rsid w:val="6D807C9F"/>
    <w:rsid w:val="76A96D73"/>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3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86706C-E338-4256-BC3D-62E61F2AB4F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3596</Words>
  <Characters>4316</Characters>
  <Lines>42</Lines>
  <Paragraphs>11</Paragraphs>
  <TotalTime>1</TotalTime>
  <ScaleCrop>false</ScaleCrop>
  <LinksUpToDate>false</LinksUpToDate>
  <CharactersWithSpaces>5082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2019-10-28T07:45:00Z</dcterms:created>
  <dc:creator>侒靜啲喧嘩</dc:creator>
  <cp:lastModifiedBy>云中谁寄一只喵</cp:lastModifiedBy>
  <cp:lastPrinted>2019-10-24T08:46:00Z</cp:lastPrinted>
  <dcterms:modified xsi:type="dcterms:W3CDTF">2023-04-28T07:20:36Z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C3EB2C78DA694E0BA67CBE1CF0E7E75D</vt:lpwstr>
  </property>
</Properties>
</file>