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财政局</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黄石港区财政局</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widowControl/>
        <w:shd w:val="clear" w:color="auto" w:fill="FFFFFF"/>
        <w:ind w:firstLine="480"/>
        <w:jc w:val="left"/>
        <w:rPr>
          <w:rFonts w:hint="eastAsia" w:ascii="仿宋_GB2312" w:eastAsia="仿宋_GB2312"/>
          <w:sz w:val="27"/>
          <w:szCs w:val="27"/>
        </w:rPr>
      </w:pPr>
      <w:r>
        <w:rPr>
          <w:rFonts w:hint="eastAsia" w:ascii="宋体" w:hAnsi="宋体" w:cs="宋体"/>
          <w:color w:val="333333"/>
          <w:kern w:val="0"/>
          <w:sz w:val="24"/>
        </w:rPr>
        <w:t>（</w:t>
      </w:r>
      <w:r>
        <w:rPr>
          <w:rFonts w:hint="eastAsia" w:ascii="仿宋_GB2312" w:eastAsia="仿宋_GB2312"/>
          <w:sz w:val="27"/>
          <w:szCs w:val="27"/>
        </w:rPr>
        <w:t>一）主要职责</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黄石港区财政局主要负责编制全区财政预算收入和支出的预决算，以及财政资金的安排、使用、管理和监督。</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负责编制年度区级预算草案并组织执行，汇总全区财政预决算；受区政府委托，向区人民代表大会报告区级和全区预算及执行情况，向区人大常委会报告决算；负责全区税收管理工作；负责政府非税收入管理；管理区及非税收入和财政专户；管理财政票据；指导和监督国库业务，按规定开展国库现金管理工作；负责行政事业单位国有资产综合管理；承担地方政府性债务管理工作；负责管理全区的会计工作，监督和规范会计行为；负责有关政策性补贴和专项资金财政管理工作；负责制定政府采购制度并监督管理；组织区级政府采购工作。</w:t>
      </w:r>
    </w:p>
    <w:p>
      <w:pPr>
        <w:widowControl/>
        <w:shd w:val="clear" w:color="auto" w:fill="FFFFFF"/>
        <w:ind w:firstLine="480"/>
        <w:jc w:val="left"/>
        <w:rPr>
          <w:rFonts w:hint="eastAsia" w:ascii="仿宋_GB2312" w:eastAsia="仿宋_GB2312"/>
          <w:sz w:val="27"/>
          <w:szCs w:val="27"/>
        </w:rPr>
      </w:pPr>
      <w:r>
        <w:rPr>
          <w:rFonts w:hint="eastAsia" w:ascii="宋体" w:hAnsi="宋体" w:cs="宋体"/>
          <w:color w:val="333333"/>
          <w:kern w:val="0"/>
          <w:sz w:val="24"/>
        </w:rPr>
        <w:t>（二</w:t>
      </w:r>
      <w:r>
        <w:rPr>
          <w:rFonts w:hint="eastAsia" w:ascii="仿宋_GB2312" w:eastAsia="仿宋_GB2312"/>
          <w:sz w:val="27"/>
          <w:szCs w:val="27"/>
        </w:rPr>
        <w:t>）单位基本信息(机构设置等</w:t>
      </w:r>
      <w:r>
        <w:rPr>
          <w:rFonts w:hint="eastAsia" w:ascii="宋体" w:hAnsi="宋体" w:cs="宋体"/>
          <w:color w:val="333333"/>
          <w:kern w:val="0"/>
          <w:sz w:val="24"/>
        </w:rPr>
        <w:t>)　</w:t>
      </w:r>
    </w:p>
    <w:p>
      <w:pPr>
        <w:widowControl/>
        <w:shd w:val="clear" w:color="auto" w:fill="FFFFFF"/>
        <w:ind w:firstLine="480"/>
        <w:jc w:val="left"/>
        <w:rPr>
          <w:rFonts w:hint="eastAsia" w:ascii="宋体" w:hAnsi="宋体" w:cs="宋体"/>
          <w:color w:val="333333"/>
          <w:kern w:val="0"/>
          <w:sz w:val="24"/>
        </w:rPr>
      </w:pPr>
      <w:r>
        <w:rPr>
          <w:rFonts w:hint="eastAsia" w:ascii="仿宋_GB2312" w:eastAsia="仿宋_GB2312"/>
          <w:sz w:val="27"/>
          <w:szCs w:val="27"/>
        </w:rPr>
        <w:t>区财政局下设七科室二办一中心，即：党政办公室、国库及预算科、综合经建科、社保企业科、行政政法教科文科、财政监督科、非税收入科、政务公开办、政府采购办、国库集中收付中心。现有机关工作人员34人，其中在编19人（1人改非、2人在兴港公司）、聘用人员15人（文职人员10人、后勤人员5人）。班子成员3人，党员11人。</w:t>
      </w:r>
      <w:r>
        <w:rPr>
          <w:rFonts w:hint="eastAsia" w:ascii="宋体" w:hAnsi="宋体" w:cs="宋体"/>
          <w:color w:val="333333"/>
          <w:kern w:val="0"/>
          <w:sz w:val="24"/>
        </w:rPr>
        <w:t xml:space="preserve"> </w:t>
      </w: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drawing>
          <wp:inline distT="0" distB="0" distL="114300" distR="114300">
            <wp:extent cx="5928360" cy="5272405"/>
            <wp:effectExtent l="0" t="0" r="15240" b="4445"/>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pic:cNvPicPr>
                  </pic:nvPicPr>
                  <pic:blipFill>
                    <a:blip r:embed="rId4"/>
                    <a:stretch>
                      <a:fillRect/>
                    </a:stretch>
                  </pic:blipFill>
                  <pic:spPr>
                    <a:xfrm>
                      <a:off x="0" y="0"/>
                      <a:ext cx="5928360" cy="527240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8858885" cy="2220595"/>
            <wp:effectExtent l="0" t="0" r="18415" b="8255"/>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pic:cNvPicPr>
                  </pic:nvPicPr>
                  <pic:blipFill>
                    <a:blip r:embed="rId5"/>
                    <a:stretch>
                      <a:fillRect/>
                    </a:stretch>
                  </pic:blipFill>
                  <pic:spPr>
                    <a:xfrm>
                      <a:off x="0" y="0"/>
                      <a:ext cx="8858885" cy="2220595"/>
                    </a:xfrm>
                    <a:prstGeom prst="rect">
                      <a:avLst/>
                    </a:prstGeom>
                    <a:noFill/>
                    <a:ln w="9525">
                      <a:noFill/>
                    </a:ln>
                  </pic:spPr>
                </pic:pic>
              </a:graphicData>
            </a:graphic>
          </wp:inline>
        </w:drawing>
      </w:r>
      <w:r>
        <w:drawing>
          <wp:inline distT="0" distB="0" distL="114300" distR="114300">
            <wp:extent cx="8859520" cy="2583815"/>
            <wp:effectExtent l="0" t="0" r="17780" b="698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pic:cNvPicPr>
                  </pic:nvPicPr>
                  <pic:blipFill>
                    <a:blip r:embed="rId6"/>
                    <a:stretch>
                      <a:fillRect/>
                    </a:stretch>
                  </pic:blipFill>
                  <pic:spPr>
                    <a:xfrm>
                      <a:off x="0" y="0"/>
                      <a:ext cx="8859520" cy="2583815"/>
                    </a:xfrm>
                    <a:prstGeom prst="rect">
                      <a:avLst/>
                    </a:prstGeom>
                    <a:noFill/>
                    <a:ln w="9525">
                      <a:noFill/>
                    </a:ln>
                  </pic:spPr>
                </pic:pic>
              </a:graphicData>
            </a:graphic>
          </wp:inline>
        </w:drawing>
      </w:r>
      <w:r>
        <w:drawing>
          <wp:inline distT="0" distB="0" distL="114300" distR="114300">
            <wp:extent cx="6419850" cy="5219700"/>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pic:cNvPicPr>
                  </pic:nvPicPr>
                  <pic:blipFill>
                    <a:blip r:embed="rId7"/>
                    <a:stretch>
                      <a:fillRect/>
                    </a:stretch>
                  </pic:blipFill>
                  <pic:spPr>
                    <a:xfrm>
                      <a:off x="0" y="0"/>
                      <a:ext cx="6419850" cy="5219700"/>
                    </a:xfrm>
                    <a:prstGeom prst="rect">
                      <a:avLst/>
                    </a:prstGeom>
                    <a:noFill/>
                    <a:ln w="9525">
                      <a:noFill/>
                    </a:ln>
                  </pic:spPr>
                </pic:pic>
              </a:graphicData>
            </a:graphic>
          </wp:inline>
        </w:drawing>
      </w:r>
      <w:r>
        <w:drawing>
          <wp:inline distT="0" distB="0" distL="114300" distR="114300">
            <wp:extent cx="5895975" cy="3228975"/>
            <wp:effectExtent l="0" t="0" r="9525" b="9525"/>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pic:cNvPicPr>
                  </pic:nvPicPr>
                  <pic:blipFill>
                    <a:blip r:embed="rId8"/>
                    <a:stretch>
                      <a:fillRect/>
                    </a:stretch>
                  </pic:blipFill>
                  <pic:spPr>
                    <a:xfrm>
                      <a:off x="0" y="0"/>
                      <a:ext cx="5895975" cy="3228975"/>
                    </a:xfrm>
                    <a:prstGeom prst="rect">
                      <a:avLst/>
                    </a:prstGeom>
                    <a:noFill/>
                    <a:ln w="9525">
                      <a:noFill/>
                    </a:ln>
                  </pic:spPr>
                </pic:pic>
              </a:graphicData>
            </a:graphic>
          </wp:inline>
        </w:drawing>
      </w:r>
      <w:r>
        <w:drawing>
          <wp:inline distT="0" distB="0" distL="114300" distR="114300">
            <wp:extent cx="8572500" cy="4857750"/>
            <wp:effectExtent l="0" t="0" r="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pic:cNvPicPr>
                  </pic:nvPicPr>
                  <pic:blipFill>
                    <a:blip r:embed="rId9"/>
                    <a:stretch>
                      <a:fillRect/>
                    </a:stretch>
                  </pic:blipFill>
                  <pic:spPr>
                    <a:xfrm>
                      <a:off x="0" y="0"/>
                      <a:ext cx="8572500" cy="4857750"/>
                    </a:xfrm>
                    <a:prstGeom prst="rect">
                      <a:avLst/>
                    </a:prstGeom>
                    <a:noFill/>
                    <a:ln w="9525">
                      <a:noFill/>
                    </a:ln>
                  </pic:spPr>
                </pic:pic>
              </a:graphicData>
            </a:graphic>
          </wp:inline>
        </w:drawing>
      </w:r>
      <w:r>
        <w:drawing>
          <wp:inline distT="0" distB="0" distL="114300" distR="114300">
            <wp:extent cx="8856980" cy="1780540"/>
            <wp:effectExtent l="0" t="0" r="1270" b="1016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pic:cNvPicPr>
                  </pic:nvPicPr>
                  <pic:blipFill>
                    <a:blip r:embed="rId10"/>
                    <a:stretch>
                      <a:fillRect/>
                    </a:stretch>
                  </pic:blipFill>
                  <pic:spPr>
                    <a:xfrm>
                      <a:off x="0" y="0"/>
                      <a:ext cx="8856980" cy="1780540"/>
                    </a:xfrm>
                    <a:prstGeom prst="rect">
                      <a:avLst/>
                    </a:prstGeom>
                    <a:noFill/>
                    <a:ln w="9525">
                      <a:noFill/>
                    </a:ln>
                  </pic:spPr>
                </pic:pic>
              </a:graphicData>
            </a:graphic>
          </wp:inline>
        </w:drawing>
      </w:r>
      <w:r>
        <w:drawing>
          <wp:inline distT="0" distB="0" distL="114300" distR="114300">
            <wp:extent cx="8856345" cy="2295525"/>
            <wp:effectExtent l="0" t="0" r="1905" b="952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pic:cNvPicPr>
                  </pic:nvPicPr>
                  <pic:blipFill>
                    <a:blip r:embed="rId11"/>
                    <a:stretch>
                      <a:fillRect/>
                    </a:stretch>
                  </pic:blipFill>
                  <pic:spPr>
                    <a:xfrm>
                      <a:off x="0" y="0"/>
                      <a:ext cx="8856345" cy="22955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（一）预算执行情况分析</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当年收入支出预算执行492.53万元，与上年度333.38万元，对比增159.1</w:t>
      </w:r>
      <w:r>
        <w:rPr>
          <w:rFonts w:ascii="仿宋_GB2312" w:eastAsia="仿宋_GB2312"/>
          <w:sz w:val="27"/>
          <w:szCs w:val="27"/>
        </w:rPr>
        <w:t>5</w:t>
      </w:r>
      <w:r>
        <w:rPr>
          <w:rFonts w:hint="eastAsia" w:ascii="仿宋_GB2312" w:eastAsia="仿宋_GB2312"/>
          <w:sz w:val="27"/>
          <w:szCs w:val="27"/>
        </w:rPr>
        <w:t>万元，增加幅度47.73%，增减变动主要原因：1、2016年财政结余65.33万元。2、工资调标及补付2014年-2017年养老保险和职业年金36.33万元。3、国库3.0运营费及支行电子化采购项目42.12万元。</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1．收入支出与预算对比分析。</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（1）预、决算差异情况，本年度收入收入预算211.53万元，上年度收入预算170.25万元。本年度支出预算211.53万元，上年度支出预算170.25万元。</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（2）本年度比上年度增加41.28万元，差异原因分析。工资调标及补付2014年-2017年养老保险和职业年金36.33万元。</w:t>
      </w:r>
    </w:p>
    <w:p>
      <w:pPr>
        <w:widowControl/>
        <w:shd w:val="clear" w:color="auto" w:fill="FFFFFF"/>
        <w:ind w:firstLine="480"/>
        <w:jc w:val="left"/>
        <w:rPr>
          <w:rFonts w:hint="eastAsia" w:ascii="仿宋_GB2312" w:eastAsia="仿宋_GB2312"/>
          <w:sz w:val="27"/>
          <w:szCs w:val="27"/>
        </w:rPr>
      </w:pPr>
      <w:r>
        <w:rPr>
          <w:rFonts w:hint="eastAsia" w:ascii="仿宋_GB2312" w:eastAsia="仿宋_GB2312"/>
          <w:sz w:val="27"/>
          <w:szCs w:val="27"/>
        </w:rPr>
        <w:t>（二）关于“三公”经费支出说明</w:t>
      </w:r>
    </w:p>
    <w:p>
      <w:pPr>
        <w:pStyle w:val="9"/>
        <w:rPr>
          <w:rFonts w:hint="eastAsia" w:ascii="仿宋_GB2312" w:hAnsi="Times New Roman" w:eastAsia="仿宋_GB2312" w:cs="Times New Roman"/>
          <w:sz w:val="27"/>
          <w:szCs w:val="27"/>
        </w:rPr>
      </w:pPr>
      <w:r>
        <w:rPr>
          <w:rFonts w:hint="eastAsia" w:ascii="仿宋_GB2312" w:hAnsi="Times New Roman" w:eastAsia="仿宋_GB2312" w:cs="Times New Roman"/>
          <w:sz w:val="27"/>
          <w:szCs w:val="27"/>
        </w:rPr>
        <w:t>（1）“三公”经费支出情况：本年度“三公”经费支出为零，上年度为4136元。下降100%。</w:t>
      </w:r>
    </w:p>
    <w:p>
      <w:pPr>
        <w:pStyle w:val="9"/>
        <w:rPr>
          <w:rFonts w:hint="eastAsia" w:ascii="仿宋_GB2312" w:hAnsi="Times New Roman" w:eastAsia="仿宋_GB2312" w:cs="Times New Roman"/>
          <w:sz w:val="27"/>
          <w:szCs w:val="27"/>
        </w:rPr>
      </w:pPr>
      <w:r>
        <w:rPr>
          <w:rFonts w:hint="eastAsia" w:ascii="仿宋_GB2312" w:hAnsi="Times New Roman" w:eastAsia="仿宋_GB2312" w:cs="Times New Roman"/>
          <w:sz w:val="27"/>
          <w:szCs w:val="27"/>
        </w:rPr>
        <w:t>（2）会议费支出情况：本年度和上年度会议费支出为零。</w:t>
      </w:r>
    </w:p>
    <w:p>
      <w:pPr>
        <w:pStyle w:val="9"/>
        <w:rPr>
          <w:rFonts w:hint="eastAsia" w:ascii="仿宋_GB2312" w:eastAsia="仿宋_GB2312"/>
          <w:sz w:val="27"/>
          <w:szCs w:val="27"/>
        </w:rPr>
      </w:pPr>
      <w:r>
        <w:rPr>
          <w:rFonts w:hint="eastAsia" w:ascii="仿宋_GB2312" w:hAnsi="Times New Roman" w:eastAsia="仿宋_GB2312" w:cs="Times New Roman"/>
          <w:sz w:val="27"/>
          <w:szCs w:val="27"/>
        </w:rPr>
        <w:t>（3）培训费支出情况：本年度为6308元，上年度为5767元，增加541元，增幅9.38%。</w:t>
      </w:r>
    </w:p>
    <w:p>
      <w:pPr>
        <w:widowControl/>
        <w:shd w:val="clear" w:color="auto" w:fill="FFFFFF"/>
        <w:jc w:val="left"/>
        <w:rPr>
          <w:rFonts w:hint="eastAsia" w:ascii="仿宋_GB2312" w:eastAsia="仿宋_GB2312"/>
          <w:sz w:val="27"/>
          <w:szCs w:val="27"/>
        </w:rPr>
      </w:pPr>
      <w:r>
        <w:rPr>
          <w:rFonts w:hint="eastAsia" w:ascii="仿宋_GB2312" w:eastAsia="仿宋_GB2312"/>
          <w:sz w:val="27"/>
          <w:szCs w:val="27"/>
        </w:rPr>
        <w:t>　　（三）关于机关运行经费支出说明</w:t>
      </w:r>
    </w:p>
    <w:p>
      <w:pPr>
        <w:pStyle w:val="9"/>
        <w:rPr>
          <w:rFonts w:hint="eastAsia" w:ascii="仿宋_GB2312" w:hAnsi="Times New Roman" w:eastAsia="仿宋_GB2312" w:cs="Times New Roman"/>
          <w:sz w:val="27"/>
          <w:szCs w:val="27"/>
        </w:rPr>
      </w:pPr>
      <w:r>
        <w:rPr>
          <w:rFonts w:hint="eastAsia" w:ascii="仿宋_GB2312" w:hAnsi="Times New Roman" w:eastAsia="仿宋_GB2312" w:cs="Times New Roman"/>
          <w:sz w:val="27"/>
          <w:szCs w:val="27"/>
        </w:rPr>
        <w:t>本部门2017年度机关运行经费支出492.53万元，比2016年增加159.15万元，增长47.73%。主要原因是：1、2016年财政结余65.33万元。2、工资调标及补付2014年-2017年养老保险和职业年金36.33万元。3、国库3.0运营费及支行电子化采购项目42.12万元。</w:t>
      </w:r>
    </w:p>
    <w:p>
      <w:pPr>
        <w:widowControl/>
        <w:shd w:val="clear" w:color="auto" w:fill="FFFFFF"/>
        <w:jc w:val="left"/>
        <w:rPr>
          <w:rFonts w:hint="eastAsia" w:ascii="仿宋_GB2312" w:eastAsia="仿宋_GB2312"/>
          <w:sz w:val="27"/>
          <w:szCs w:val="27"/>
        </w:rPr>
      </w:pPr>
      <w:r>
        <w:rPr>
          <w:rFonts w:hint="eastAsia" w:ascii="仿宋_GB2312" w:eastAsia="仿宋_GB2312"/>
          <w:sz w:val="27"/>
          <w:szCs w:val="27"/>
        </w:rPr>
        <w:t>　　（四）关于政府采购支出说明</w:t>
      </w:r>
    </w:p>
    <w:p>
      <w:pPr>
        <w:pStyle w:val="9"/>
        <w:ind w:firstLine="540" w:firstLineChars="200"/>
        <w:rPr>
          <w:rFonts w:hint="eastAsia" w:ascii="仿宋_GB2312" w:eastAsia="仿宋_GB2312"/>
          <w:sz w:val="27"/>
          <w:szCs w:val="27"/>
        </w:rPr>
      </w:pPr>
      <w:r>
        <w:rPr>
          <w:rFonts w:hint="eastAsia" w:ascii="仿宋_GB2312" w:hAnsi="Times New Roman" w:eastAsia="仿宋_GB2312" w:cs="Times New Roman"/>
          <w:sz w:val="27"/>
          <w:szCs w:val="27"/>
        </w:rPr>
        <w:t>本部门2017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widowControl/>
        <w:shd w:val="clear" w:color="auto" w:fill="FFFFFF"/>
        <w:jc w:val="left"/>
        <w:rPr>
          <w:rFonts w:hint="eastAsia" w:ascii="仿宋_GB2312" w:eastAsia="仿宋_GB2312"/>
          <w:sz w:val="27"/>
          <w:szCs w:val="27"/>
        </w:rPr>
      </w:pPr>
      <w:r>
        <w:rPr>
          <w:rFonts w:hint="eastAsia" w:ascii="仿宋_GB2312" w:eastAsia="仿宋_GB2312"/>
          <w:sz w:val="27"/>
          <w:szCs w:val="27"/>
        </w:rPr>
        <w:t>　　（五）关于国有资产占用情况说明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hAnsi="Times New Roman" w:eastAsia="仿宋_GB2312" w:cs="Times New Roman"/>
          <w:sz w:val="27"/>
          <w:szCs w:val="27"/>
        </w:rPr>
        <w:t>截至2017年12月31日，本部门共有车辆0辆；单位价值50万元以上通用设备0台（套），单价100万元以上专用设备0台（套）。</w:t>
      </w:r>
      <w:r>
        <w:rPr>
          <w:rFonts w:hint="eastAsia" w:ascii="仿宋_GB2312" w:eastAsia="仿宋_GB2312"/>
          <w:sz w:val="27"/>
          <w:szCs w:val="27"/>
        </w:rPr>
        <w:t xml:space="preserve">  </w:t>
      </w:r>
      <w:bookmarkStart w:id="0" w:name="_GoBack"/>
      <w:bookmarkEnd w:id="0"/>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黄石港区财政局</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黄石港区财政局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黄石港区财政局</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黄石港区财政局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黄石港区财政局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黄石港区财政局</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09FF39B4"/>
    <w:rsid w:val="10157CA5"/>
    <w:rsid w:val="11411182"/>
    <w:rsid w:val="219E41B4"/>
    <w:rsid w:val="255E033E"/>
    <w:rsid w:val="27390172"/>
    <w:rsid w:val="2CCE2491"/>
    <w:rsid w:val="2F081AB6"/>
    <w:rsid w:val="401A2F36"/>
    <w:rsid w:val="457D21A1"/>
    <w:rsid w:val="507C1CF5"/>
    <w:rsid w:val="621B3808"/>
    <w:rsid w:val="67E4782B"/>
    <w:rsid w:val="746766E2"/>
    <w:rsid w:val="74EA7B66"/>
    <w:rsid w:val="78186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2019-02-27T09:51:53Z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