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375" w:afterAutospacing="0" w:line="450" w:lineRule="atLeast"/>
        <w:ind w:left="0" w:right="0" w:firstLine="0"/>
        <w:jc w:val="center"/>
        <w:rPr>
          <w:rFonts w:ascii="微软雅黑" w:hAnsi="微软雅黑" w:eastAsia="微软雅黑" w:cs="微软雅黑"/>
          <w:b/>
          <w:i w:val="0"/>
          <w:caps w:val="0"/>
          <w:color w:val="BC1010"/>
          <w:spacing w:val="0"/>
          <w:sz w:val="40"/>
          <w:szCs w:val="40"/>
        </w:rPr>
      </w:pPr>
      <w:r>
        <w:rPr>
          <w:rFonts w:hint="eastAsia" w:ascii="微软雅黑" w:hAnsi="微软雅黑" w:eastAsia="微软雅黑" w:cs="微软雅黑"/>
          <w:b/>
          <w:i w:val="0"/>
          <w:caps w:val="0"/>
          <w:color w:val="BC1010"/>
          <w:spacing w:val="0"/>
          <w:sz w:val="40"/>
          <w:szCs w:val="40"/>
          <w:shd w:val="clear" w:fill="FFFFFF"/>
          <w:lang w:eastAsia="zh-CN"/>
        </w:rPr>
        <w:t>财政局</w:t>
      </w:r>
      <w:r>
        <w:rPr>
          <w:rFonts w:hint="eastAsia" w:ascii="微软雅黑" w:hAnsi="微软雅黑" w:eastAsia="微软雅黑" w:cs="微软雅黑"/>
          <w:b/>
          <w:i w:val="0"/>
          <w:caps w:val="0"/>
          <w:color w:val="BC1010"/>
          <w:spacing w:val="0"/>
          <w:sz w:val="40"/>
          <w:szCs w:val="40"/>
          <w:shd w:val="clear" w:fill="FFFFFF"/>
        </w:rPr>
        <w:t>201</w:t>
      </w:r>
      <w:r>
        <w:rPr>
          <w:rFonts w:hint="eastAsia" w:ascii="微软雅黑" w:hAnsi="微软雅黑" w:eastAsia="微软雅黑" w:cs="微软雅黑"/>
          <w:b/>
          <w:i w:val="0"/>
          <w:caps w:val="0"/>
          <w:color w:val="BC1010"/>
          <w:spacing w:val="0"/>
          <w:sz w:val="40"/>
          <w:szCs w:val="40"/>
          <w:shd w:val="clear" w:fill="FFFFFF"/>
          <w:lang w:val="en-US" w:eastAsia="zh-CN"/>
        </w:rPr>
        <w:t>8</w:t>
      </w:r>
      <w:r>
        <w:rPr>
          <w:rFonts w:hint="eastAsia" w:ascii="微软雅黑" w:hAnsi="微软雅黑" w:eastAsia="微软雅黑" w:cs="微软雅黑"/>
          <w:b/>
          <w:i w:val="0"/>
          <w:caps w:val="0"/>
          <w:color w:val="BC1010"/>
          <w:spacing w:val="0"/>
          <w:sz w:val="40"/>
          <w:szCs w:val="40"/>
          <w:shd w:val="clear" w:fill="FFFFFF"/>
        </w:rPr>
        <w:t>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黄石港区财政局</w:t>
      </w:r>
      <w:r>
        <w:rPr>
          <w:rStyle w:val="7"/>
          <w:rFonts w:hint="eastAsia" w:ascii="微软雅黑" w:hAnsi="微软雅黑" w:eastAsia="微软雅黑" w:cs="微软雅黑"/>
          <w:i w:val="0"/>
          <w:caps w:val="0"/>
          <w:color w:val="333333"/>
          <w:spacing w:val="0"/>
          <w:sz w:val="24"/>
          <w:szCs w:val="24"/>
          <w:shd w:val="clear" w:fill="FFFFFF"/>
        </w:rPr>
        <w:t>201</w:t>
      </w:r>
      <w:r>
        <w:rPr>
          <w:rStyle w:val="7"/>
          <w:rFonts w:hint="eastAsia" w:ascii="微软雅黑" w:hAnsi="微软雅黑" w:eastAsia="微软雅黑" w:cs="微软雅黑"/>
          <w:i w:val="0"/>
          <w:caps w:val="0"/>
          <w:color w:val="333333"/>
          <w:spacing w:val="0"/>
          <w:sz w:val="24"/>
          <w:szCs w:val="24"/>
          <w:shd w:val="clear" w:fill="FFFFFF"/>
          <w:lang w:val="en-US" w:eastAsia="zh-CN"/>
        </w:rPr>
        <w:t>8</w:t>
      </w:r>
      <w:r>
        <w:rPr>
          <w:rStyle w:val="7"/>
          <w:rFonts w:hint="eastAsia" w:ascii="微软雅黑" w:hAnsi="微软雅黑" w:eastAsia="微软雅黑" w:cs="微软雅黑"/>
          <w:i w:val="0"/>
          <w:caps w:val="0"/>
          <w:color w:val="333333"/>
          <w:spacing w:val="0"/>
          <w:sz w:val="24"/>
          <w:szCs w:val="24"/>
          <w:shd w:val="clear" w:fill="FFFFFF"/>
        </w:rPr>
        <w:t>年决算公开</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目  录</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第一部分:部门基本情况</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一、部门主要职责</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二、部门决算单位构成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第二部分: 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一、收入支出决算总表（表1）</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二、收入决算表（表2）</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三、支出决算表（表3）</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四、财政拨款收入支出决算总表（表4）</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五、一般公共预算财政拨款支出决算表（表5）</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六、一般公共预算财政拨款基本支出决算表（表6）</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七、一般公共预算财政拨款“三公”经费支出决算表（表7）</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八、政府性基金预算财政拨款收入支出决算表（8）</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第三部分：部门201</w:t>
      </w:r>
      <w:r>
        <w:rPr>
          <w:rFonts w:hint="eastAsia" w:ascii="微软雅黑" w:hAnsi="微软雅黑" w:eastAsia="微软雅黑" w:cs="微软雅黑"/>
          <w:b w:val="0"/>
          <w:i w:val="0"/>
          <w:caps w:val="0"/>
          <w:color w:val="333333"/>
          <w:spacing w:val="0"/>
          <w:sz w:val="24"/>
          <w:szCs w:val="24"/>
          <w:shd w:val="clear" w:fill="FFFFFF"/>
          <w:lang w:val="en-US" w:eastAsia="zh-CN"/>
        </w:rPr>
        <w:t>8</w:t>
      </w:r>
      <w:r>
        <w:rPr>
          <w:rFonts w:hint="eastAsia" w:ascii="微软雅黑" w:hAnsi="微软雅黑" w:eastAsia="微软雅黑" w:cs="微软雅黑"/>
          <w:b w:val="0"/>
          <w:i w:val="0"/>
          <w:caps w:val="0"/>
          <w:color w:val="333333"/>
          <w:spacing w:val="0"/>
          <w:sz w:val="24"/>
          <w:szCs w:val="24"/>
          <w:shd w:val="clear" w:fill="FFFFFF"/>
        </w:rPr>
        <w:t>年部门决算情况说明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一、</w:t>
      </w:r>
      <w:r>
        <w:rPr>
          <w:rFonts w:hint="eastAsia" w:ascii="微软雅黑" w:hAnsi="微软雅黑" w:eastAsia="微软雅黑" w:cs="微软雅黑"/>
          <w:b w:val="0"/>
          <w:i w:val="0"/>
          <w:caps w:val="0"/>
          <w:color w:val="333333"/>
          <w:spacing w:val="0"/>
          <w:sz w:val="24"/>
          <w:szCs w:val="24"/>
          <w:shd w:val="clear" w:fill="FFFFFF"/>
        </w:rPr>
        <w:t>预算执行情况分析</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二、</w:t>
      </w:r>
      <w:r>
        <w:rPr>
          <w:rFonts w:hint="eastAsia" w:ascii="微软雅黑" w:hAnsi="微软雅黑" w:eastAsia="微软雅黑" w:cs="微软雅黑"/>
          <w:b w:val="0"/>
          <w:i w:val="0"/>
          <w:caps w:val="0"/>
          <w:color w:val="333333"/>
          <w:spacing w:val="0"/>
          <w:sz w:val="24"/>
          <w:szCs w:val="24"/>
          <w:shd w:val="clear" w:fill="FFFFFF"/>
        </w:rPr>
        <w:t>关于“三公”经费支出说明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eastAsia="zh-CN"/>
        </w:rPr>
        <w:t>三、</w:t>
      </w:r>
      <w:r>
        <w:rPr>
          <w:rFonts w:hint="eastAsia" w:ascii="微软雅黑" w:hAnsi="微软雅黑" w:eastAsia="微软雅黑" w:cs="微软雅黑"/>
          <w:b w:val="0"/>
          <w:i w:val="0"/>
          <w:caps w:val="0"/>
          <w:color w:val="333333"/>
          <w:spacing w:val="0"/>
          <w:sz w:val="24"/>
          <w:szCs w:val="24"/>
          <w:shd w:val="clear" w:fill="FFFFFF"/>
        </w:rPr>
        <w:t>关于机关运行经费支出说明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四</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关于政府采购支出说明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rPr>
        <w:t>五</w:t>
      </w:r>
      <w:r>
        <w:rPr>
          <w:rFonts w:hint="eastAsia" w:ascii="微软雅黑" w:hAnsi="微软雅黑" w:eastAsia="微软雅黑" w:cs="微软雅黑"/>
          <w:b w:val="0"/>
          <w:i w:val="0"/>
          <w:caps w:val="0"/>
          <w:color w:val="333333"/>
          <w:spacing w:val="0"/>
          <w:sz w:val="24"/>
          <w:szCs w:val="24"/>
          <w:shd w:val="clear" w:fill="FFFFFF"/>
          <w:lang w:eastAsia="zh-CN"/>
        </w:rPr>
        <w:t>、</w:t>
      </w:r>
      <w:r>
        <w:rPr>
          <w:rFonts w:hint="eastAsia" w:ascii="微软雅黑" w:hAnsi="微软雅黑" w:eastAsia="微软雅黑" w:cs="微软雅黑"/>
          <w:b w:val="0"/>
          <w:i w:val="0"/>
          <w:caps w:val="0"/>
          <w:color w:val="333333"/>
          <w:spacing w:val="0"/>
          <w:sz w:val="24"/>
          <w:szCs w:val="24"/>
          <w:shd w:val="clear" w:fill="FFFFFF"/>
        </w:rPr>
        <w:t>关于国有资产占用情况说明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left"/>
        <w:rPr>
          <w:rFonts w:hint="eastAsia" w:ascii="微软雅黑" w:hAnsi="微软雅黑" w:eastAsia="微软雅黑" w:cs="微软雅黑"/>
          <w:b w:val="0"/>
          <w:i w:val="0"/>
          <w:caps w:val="0"/>
          <w:color w:val="333333"/>
          <w:spacing w:val="0"/>
          <w:sz w:val="24"/>
          <w:szCs w:val="24"/>
          <w:shd w:val="clear" w:fill="FFFFFF"/>
        </w:rPr>
      </w:pPr>
      <w:r>
        <w:rPr>
          <w:rFonts w:hint="eastAsia" w:ascii="微软雅黑" w:hAnsi="微软雅黑" w:eastAsia="微软雅黑" w:cs="微软雅黑"/>
          <w:b w:val="0"/>
          <w:i w:val="0"/>
          <w:caps w:val="0"/>
          <w:color w:val="333333"/>
          <w:spacing w:val="0"/>
          <w:sz w:val="24"/>
          <w:szCs w:val="24"/>
          <w:shd w:val="clear" w:fill="FFFFFF"/>
          <w:lang w:val="en-US" w:eastAsia="zh-CN"/>
        </w:rPr>
        <w:t>六、重点绩效评价结果等预算绩效情况说明</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Fonts w:hint="eastAsia" w:ascii="微软雅黑" w:hAnsi="微软雅黑" w:eastAsia="微软雅黑" w:cs="微软雅黑"/>
          <w:b w:val="0"/>
          <w:i w:val="0"/>
          <w:caps w:val="0"/>
          <w:color w:val="333333"/>
          <w:spacing w:val="0"/>
          <w:sz w:val="24"/>
          <w:szCs w:val="24"/>
          <w:shd w:val="clear" w:fill="FFFFFF"/>
        </w:rPr>
        <w:t>第四部分：名词解释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rStyle w:val="7"/>
          <w:rFonts w:hint="eastAsia" w:ascii="微软雅黑" w:hAnsi="微软雅黑" w:eastAsia="微软雅黑" w:cs="微软雅黑"/>
          <w:i w:val="0"/>
          <w:caps w:val="0"/>
          <w:color w:val="333333"/>
          <w:spacing w:val="0"/>
          <w:sz w:val="24"/>
          <w:szCs w:val="24"/>
          <w:shd w:val="clear" w:fill="FFFFFF"/>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jc w:val="center"/>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rPr>
        <w:t>201</w:t>
      </w:r>
      <w:r>
        <w:rPr>
          <w:rStyle w:val="7"/>
          <w:rFonts w:hint="eastAsia" w:ascii="微软雅黑" w:hAnsi="微软雅黑" w:eastAsia="微软雅黑" w:cs="微软雅黑"/>
          <w:i w:val="0"/>
          <w:caps w:val="0"/>
          <w:color w:val="333333"/>
          <w:spacing w:val="0"/>
          <w:sz w:val="24"/>
          <w:szCs w:val="24"/>
          <w:shd w:val="clear" w:fill="FFFFFF"/>
          <w:lang w:val="en-US" w:eastAsia="zh-CN"/>
        </w:rPr>
        <w:t>8</w:t>
      </w:r>
      <w:r>
        <w:rPr>
          <w:rStyle w:val="7"/>
          <w:rFonts w:hint="eastAsia" w:ascii="微软雅黑" w:hAnsi="微软雅黑" w:eastAsia="微软雅黑" w:cs="微软雅黑"/>
          <w:i w:val="0"/>
          <w:caps w:val="0"/>
          <w:color w:val="333333"/>
          <w:spacing w:val="0"/>
          <w:sz w:val="24"/>
          <w:szCs w:val="24"/>
          <w:shd w:val="clear" w:fill="FFFFFF"/>
        </w:rPr>
        <w:t>年部门决算</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第一部分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部门概况</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w:t>
      </w:r>
      <w:r>
        <w:rPr>
          <w:rFonts w:hint="eastAsia" w:asciiTheme="minorEastAsia" w:hAnsiTheme="minorEastAsia" w:eastAsiaTheme="minorEastAsia" w:cstheme="minorEastAsia"/>
          <w:sz w:val="28"/>
          <w:szCs w:val="28"/>
        </w:rPr>
        <w:t>一）主要职责</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黄石港区财政局主要负责编制全区财政预算收入和支出的预决算，以及财政资金的安排、使用、管理和监督。</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负责编制年度区级预算草案并组织执行，汇总全区财政预决算；受区政府委托，向区人民代表大会报告区级和全区预算及执行情况，向区人大常委会报告决算；负责全区税收管理工作；负责政府非税收入管理；管理区及非税收入和财政专户；管理财政票据；指导和监督国库业务，按规定开展国库现金管理工作；负责行政事业单位国有资产综合管理；承担地方政府性债务管理工作；负责管理全区的会计工作，监督和规范会计行为；负责有关政策性补贴和专项资金财政管理工作；负责制定政府采购制度并监督管理；组织区级政府采购工作。</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color w:val="333333"/>
          <w:kern w:val="0"/>
          <w:sz w:val="28"/>
          <w:szCs w:val="28"/>
        </w:rPr>
        <w:t>（二</w:t>
      </w:r>
      <w:r>
        <w:rPr>
          <w:rFonts w:hint="eastAsia" w:asciiTheme="minorEastAsia" w:hAnsiTheme="minorEastAsia" w:eastAsiaTheme="minorEastAsia" w:cstheme="minorEastAsia"/>
          <w:sz w:val="28"/>
          <w:szCs w:val="28"/>
        </w:rPr>
        <w:t>）单位基本信息(机构设置等</w:t>
      </w:r>
      <w:r>
        <w:rPr>
          <w:rFonts w:hint="eastAsia" w:asciiTheme="minorEastAsia" w:hAnsiTheme="minorEastAsia" w:eastAsiaTheme="minorEastAsia" w:cstheme="minorEastAsia"/>
          <w:color w:val="333333"/>
          <w:kern w:val="0"/>
          <w:sz w:val="28"/>
          <w:szCs w:val="28"/>
        </w:rPr>
        <w:t>)　</w:t>
      </w:r>
    </w:p>
    <w:p>
      <w:pPr>
        <w:widowControl/>
        <w:shd w:val="clear" w:color="auto" w:fill="FFFFFF"/>
        <w:ind w:firstLine="480"/>
        <w:jc w:val="left"/>
        <w:rPr>
          <w:rFonts w:hint="eastAsia" w:ascii="宋体" w:hAnsi="宋体" w:cs="宋体"/>
          <w:color w:val="333333"/>
          <w:kern w:val="0"/>
          <w:sz w:val="30"/>
          <w:szCs w:val="30"/>
        </w:rPr>
      </w:pPr>
      <w:r>
        <w:rPr>
          <w:rFonts w:hint="eastAsia" w:asciiTheme="minorEastAsia" w:hAnsiTheme="minorEastAsia" w:eastAsiaTheme="minorEastAsia" w:cstheme="minorEastAsia"/>
          <w:sz w:val="28"/>
          <w:szCs w:val="28"/>
        </w:rPr>
        <w:t>区财政局下设七科室</w:t>
      </w:r>
      <w:r>
        <w:rPr>
          <w:rFonts w:hint="eastAsia" w:asciiTheme="minorEastAsia" w:hAnsiTheme="minorEastAsia" w:eastAsiaTheme="minorEastAsia" w:cstheme="minorEastAsia"/>
          <w:sz w:val="28"/>
          <w:szCs w:val="28"/>
          <w:lang w:eastAsia="zh-CN"/>
        </w:rPr>
        <w:t>一</w:t>
      </w:r>
      <w:r>
        <w:rPr>
          <w:rFonts w:hint="eastAsia" w:asciiTheme="minorEastAsia" w:hAnsiTheme="minorEastAsia" w:eastAsiaTheme="minorEastAsia" w:cstheme="minorEastAsia"/>
          <w:sz w:val="28"/>
          <w:szCs w:val="28"/>
        </w:rPr>
        <w:t>办一中心，即：党政办公室、国库及预算科、综合经建科、社保企业科、行政政法教科文科、财政监督科、非税收入科、政府采购办、国库集中收付中心。现有机关工作人员3</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人，其中在编1</w:t>
      </w:r>
      <w:r>
        <w:rPr>
          <w:rFonts w:hint="eastAsia" w:asciiTheme="minorEastAsia" w:hAnsiTheme="minorEastAsia" w:eastAsiaTheme="minorEastAsia" w:cstheme="minorEastAsia"/>
          <w:sz w:val="28"/>
          <w:szCs w:val="28"/>
          <w:lang w:val="en-US" w:eastAsia="zh-CN"/>
        </w:rPr>
        <w:t>6</w:t>
      </w:r>
      <w:r>
        <w:rPr>
          <w:rFonts w:hint="eastAsia" w:asciiTheme="minorEastAsia" w:hAnsiTheme="minorEastAsia" w:eastAsiaTheme="minorEastAsia" w:cstheme="minorEastAsia"/>
          <w:sz w:val="28"/>
          <w:szCs w:val="28"/>
        </w:rPr>
        <w:t>人（</w:t>
      </w:r>
      <w:r>
        <w:rPr>
          <w:rFonts w:hint="eastAsia" w:asciiTheme="minorEastAsia" w:hAnsiTheme="minorEastAsia" w:eastAsiaTheme="minorEastAsia" w:cstheme="minorEastAsia"/>
          <w:sz w:val="28"/>
          <w:szCs w:val="28"/>
          <w:lang w:val="en-US" w:eastAsia="zh-CN"/>
        </w:rPr>
        <w:t>1</w:t>
      </w:r>
      <w:r>
        <w:rPr>
          <w:rFonts w:hint="eastAsia" w:asciiTheme="minorEastAsia" w:hAnsiTheme="minorEastAsia" w:eastAsiaTheme="minorEastAsia" w:cstheme="minorEastAsia"/>
          <w:sz w:val="28"/>
          <w:szCs w:val="28"/>
        </w:rPr>
        <w:t>人在兴港公司）、</w:t>
      </w:r>
      <w:r>
        <w:rPr>
          <w:rFonts w:hint="eastAsia" w:asciiTheme="minorEastAsia" w:hAnsiTheme="minorEastAsia" w:eastAsiaTheme="minorEastAsia" w:cstheme="minorEastAsia"/>
          <w:sz w:val="28"/>
          <w:szCs w:val="28"/>
          <w:lang w:eastAsia="zh-CN"/>
        </w:rPr>
        <w:t>三支一扶</w:t>
      </w:r>
      <w:r>
        <w:rPr>
          <w:rFonts w:hint="eastAsia" w:asciiTheme="minorEastAsia" w:hAnsiTheme="minorEastAsia" w:eastAsiaTheme="minorEastAsia" w:cstheme="minorEastAsia"/>
          <w:sz w:val="28"/>
          <w:szCs w:val="28"/>
          <w:lang w:val="en-US" w:eastAsia="zh-CN"/>
        </w:rPr>
        <w:t>1人、</w:t>
      </w:r>
      <w:r>
        <w:rPr>
          <w:rFonts w:hint="eastAsia" w:asciiTheme="minorEastAsia" w:hAnsiTheme="minorEastAsia" w:eastAsiaTheme="minorEastAsia" w:cstheme="minorEastAsia"/>
          <w:sz w:val="28"/>
          <w:szCs w:val="28"/>
        </w:rPr>
        <w:t>聘用人员1</w:t>
      </w: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人（文职人员</w:t>
      </w:r>
      <w:r>
        <w:rPr>
          <w:rFonts w:hint="eastAsia" w:asciiTheme="minorEastAsia" w:hAnsiTheme="minorEastAsia" w:eastAsiaTheme="minorEastAsia" w:cstheme="minorEastAsia"/>
          <w:sz w:val="28"/>
          <w:szCs w:val="28"/>
          <w:lang w:val="en-US" w:eastAsia="zh-CN"/>
        </w:rPr>
        <w:t>9</w:t>
      </w:r>
      <w:r>
        <w:rPr>
          <w:rFonts w:hint="eastAsia" w:asciiTheme="minorEastAsia" w:hAnsiTheme="minorEastAsia" w:eastAsiaTheme="minorEastAsia" w:cstheme="minorEastAsia"/>
          <w:sz w:val="28"/>
          <w:szCs w:val="28"/>
        </w:rPr>
        <w:t>人、后勤人员5人）。班子成员</w:t>
      </w: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人，党员1</w:t>
      </w:r>
      <w:r>
        <w:rPr>
          <w:rFonts w:hint="eastAsia" w:asciiTheme="minorEastAsia" w:hAnsiTheme="minorEastAsia" w:eastAsiaTheme="minorEastAsia" w:cstheme="minorEastAsia"/>
          <w:sz w:val="28"/>
          <w:szCs w:val="28"/>
          <w:lang w:val="en-US" w:eastAsia="zh-CN"/>
        </w:rPr>
        <w:t>4</w:t>
      </w:r>
      <w:r>
        <w:rPr>
          <w:rFonts w:hint="eastAsia" w:asciiTheme="minorEastAsia" w:hAnsiTheme="minorEastAsia" w:eastAsiaTheme="minorEastAsia" w:cstheme="minorEastAsia"/>
          <w:sz w:val="28"/>
          <w:szCs w:val="28"/>
        </w:rPr>
        <w:t>人</w:t>
      </w:r>
      <w:r>
        <w:rPr>
          <w:rFonts w:hint="eastAsia" w:asciiTheme="minorEastAsia" w:hAnsiTheme="minorEastAsia" w:eastAsiaTheme="minorEastAsia" w:cstheme="minorEastAsia"/>
          <w:sz w:val="28"/>
          <w:szCs w:val="28"/>
          <w:lang w:eastAsia="zh-CN"/>
        </w:rPr>
        <w:t>，积极分子</w:t>
      </w:r>
      <w:r>
        <w:rPr>
          <w:rFonts w:hint="eastAsia" w:asciiTheme="minorEastAsia" w:hAnsiTheme="minorEastAsia" w:eastAsiaTheme="minorEastAsia" w:cstheme="minorEastAsia"/>
          <w:sz w:val="28"/>
          <w:szCs w:val="28"/>
          <w:lang w:val="en-US" w:eastAsia="zh-CN"/>
        </w:rPr>
        <w:t>1人</w:t>
      </w:r>
      <w:r>
        <w:rPr>
          <w:rFonts w:hint="eastAsia" w:asciiTheme="minorEastAsia" w:hAnsiTheme="minorEastAsia" w:eastAsiaTheme="minorEastAsia" w:cstheme="minorEastAsia"/>
          <w:sz w:val="28"/>
          <w:szCs w:val="28"/>
        </w:rPr>
        <w:t>。</w:t>
      </w:r>
      <w:r>
        <w:rPr>
          <w:rFonts w:hint="eastAsia" w:ascii="宋体" w:hAnsi="宋体" w:cs="宋体"/>
          <w:color w:val="333333"/>
          <w:kern w:val="0"/>
          <w:sz w:val="24"/>
        </w:rPr>
        <w:t xml:space="preserve"> </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Style w:val="7"/>
          <w:rFonts w:hint="eastAsia" w:ascii="微软雅黑" w:hAnsi="微软雅黑" w:eastAsia="微软雅黑" w:cs="微软雅黑"/>
          <w:i w:val="0"/>
          <w:caps w:val="0"/>
          <w:color w:val="333333"/>
          <w:spacing w:val="0"/>
          <w:sz w:val="24"/>
          <w:szCs w:val="24"/>
          <w:shd w:val="clear" w:fill="FFFFFF"/>
          <w:lang w:eastAsia="zh-CN"/>
        </w:rPr>
      </w:pP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rStyle w:val="7"/>
          <w:rFonts w:hint="eastAsia" w:ascii="微软雅黑" w:hAnsi="微软雅黑" w:eastAsia="微软雅黑" w:cs="微软雅黑"/>
          <w:i w:val="0"/>
          <w:caps w:val="0"/>
          <w:color w:val="333333"/>
          <w:spacing w:val="0"/>
          <w:sz w:val="24"/>
          <w:szCs w:val="24"/>
          <w:shd w:val="clear" w:fill="FFFFFF"/>
        </w:rPr>
      </w:pPr>
      <w:r>
        <w:rPr>
          <w:rStyle w:val="7"/>
          <w:rFonts w:hint="eastAsia" w:ascii="微软雅黑" w:hAnsi="微软雅黑" w:eastAsia="微软雅黑" w:cs="微软雅黑"/>
          <w:i w:val="0"/>
          <w:caps w:val="0"/>
          <w:color w:val="333333"/>
          <w:spacing w:val="0"/>
          <w:sz w:val="24"/>
          <w:szCs w:val="24"/>
          <w:shd w:val="clear" w:fill="FFFFFF"/>
          <w:lang w:eastAsia="zh-CN"/>
        </w:rPr>
        <w:t>第二部分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部门</w:t>
      </w:r>
      <w:r>
        <w:rPr>
          <w:rStyle w:val="7"/>
          <w:rFonts w:hint="eastAsia" w:ascii="微软雅黑" w:hAnsi="微软雅黑" w:eastAsia="微软雅黑" w:cs="微软雅黑"/>
          <w:i w:val="0"/>
          <w:caps w:val="0"/>
          <w:color w:val="333333"/>
          <w:spacing w:val="0"/>
          <w:sz w:val="24"/>
          <w:szCs w:val="24"/>
          <w:shd w:val="clear" w:fill="FFFFFF"/>
        </w:rPr>
        <w:t>201</w:t>
      </w:r>
      <w:r>
        <w:rPr>
          <w:rStyle w:val="7"/>
          <w:rFonts w:hint="eastAsia" w:ascii="微软雅黑" w:hAnsi="微软雅黑" w:eastAsia="微软雅黑" w:cs="微软雅黑"/>
          <w:i w:val="0"/>
          <w:caps w:val="0"/>
          <w:color w:val="333333"/>
          <w:spacing w:val="0"/>
          <w:sz w:val="24"/>
          <w:szCs w:val="24"/>
          <w:shd w:val="clear" w:fill="FFFFFF"/>
          <w:lang w:val="en-US" w:eastAsia="zh-CN"/>
        </w:rPr>
        <w:t>8</w:t>
      </w:r>
      <w:r>
        <w:rPr>
          <w:rStyle w:val="7"/>
          <w:rFonts w:hint="eastAsia" w:ascii="微软雅黑" w:hAnsi="微软雅黑" w:eastAsia="微软雅黑" w:cs="微软雅黑"/>
          <w:i w:val="0"/>
          <w:caps w:val="0"/>
          <w:color w:val="333333"/>
          <w:spacing w:val="0"/>
          <w:sz w:val="24"/>
          <w:szCs w:val="24"/>
          <w:shd w:val="clear" w:fill="FFFFFF"/>
        </w:rPr>
        <w:t>年部门决算表</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rPr>
          <w:color w:val="333333"/>
          <w:sz w:val="24"/>
          <w:szCs w:val="24"/>
        </w:rPr>
      </w:pPr>
      <w:r>
        <w:drawing>
          <wp:inline distT="0" distB="0" distL="114300" distR="114300">
            <wp:extent cx="8686800" cy="4659630"/>
            <wp:effectExtent l="0" t="0" r="0" b="7620"/>
            <wp:docPr id="1"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pic:cNvPicPr>
                      <a:picLocks noChangeAspect="1"/>
                    </pic:cNvPicPr>
                  </pic:nvPicPr>
                  <pic:blipFill>
                    <a:blip r:embed="rId4"/>
                    <a:stretch>
                      <a:fillRect/>
                    </a:stretch>
                  </pic:blipFill>
                  <pic:spPr>
                    <a:xfrm>
                      <a:off x="0" y="0"/>
                      <a:ext cx="8686800" cy="4659630"/>
                    </a:xfrm>
                    <a:prstGeom prst="rect">
                      <a:avLst/>
                    </a:prstGeom>
                    <a:noFill/>
                    <a:ln>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jc w:val="center"/>
        <w:rPr>
          <w:color w:val="333333"/>
          <w:sz w:val="24"/>
          <w:szCs w:val="24"/>
        </w:rPr>
        <w:sectPr>
          <w:pgSz w:w="16838" w:h="11906" w:orient="landscape"/>
          <w:pgMar w:top="1800" w:right="1440" w:bottom="1800" w:left="1440" w:header="851" w:footer="992" w:gutter="0"/>
          <w:cols w:space="425" w:num="1"/>
          <w:docGrid w:type="lines" w:linePitch="312" w:charSpace="0"/>
        </w:sectPr>
      </w:pPr>
      <w:r>
        <w:drawing>
          <wp:inline distT="0" distB="0" distL="114300" distR="114300">
            <wp:extent cx="8542020" cy="2703195"/>
            <wp:effectExtent l="0" t="0" r="11430" b="1905"/>
            <wp:docPr id="2"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pic:cNvPicPr>
                      <a:picLocks noChangeAspect="1"/>
                    </pic:cNvPicPr>
                  </pic:nvPicPr>
                  <pic:blipFill>
                    <a:blip r:embed="rId5"/>
                    <a:stretch>
                      <a:fillRect/>
                    </a:stretch>
                  </pic:blipFill>
                  <pic:spPr>
                    <a:xfrm>
                      <a:off x="0" y="0"/>
                      <a:ext cx="8542020" cy="2703195"/>
                    </a:xfrm>
                    <a:prstGeom prst="rect">
                      <a:avLst/>
                    </a:prstGeom>
                    <a:noFill/>
                    <a:ln>
                      <a:noFill/>
                    </a:ln>
                  </pic:spPr>
                </pic:pic>
              </a:graphicData>
            </a:graphic>
          </wp:inline>
        </w:drawing>
      </w:r>
      <w:r>
        <w:drawing>
          <wp:inline distT="0" distB="0" distL="114300" distR="114300">
            <wp:extent cx="8517890" cy="2418080"/>
            <wp:effectExtent l="0" t="0" r="16510" b="1270"/>
            <wp:docPr id="3" name="图片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pic:cNvPicPr>
                      <a:picLocks noChangeAspect="1"/>
                    </pic:cNvPicPr>
                  </pic:nvPicPr>
                  <pic:blipFill>
                    <a:blip r:embed="rId6"/>
                    <a:srcRect r="1101"/>
                    <a:stretch>
                      <a:fillRect/>
                    </a:stretch>
                  </pic:blipFill>
                  <pic:spPr>
                    <a:xfrm>
                      <a:off x="0" y="0"/>
                      <a:ext cx="8517890" cy="2418080"/>
                    </a:xfrm>
                    <a:prstGeom prst="rect">
                      <a:avLst/>
                    </a:prstGeom>
                    <a:noFill/>
                    <a:ln>
                      <a:noFill/>
                    </a:ln>
                  </pic:spPr>
                </pic:pic>
              </a:graphicData>
            </a:graphic>
          </wp:inline>
        </w:drawing>
      </w:r>
      <w:r>
        <w:drawing>
          <wp:inline distT="0" distB="0" distL="114300" distR="114300">
            <wp:extent cx="8569960" cy="5622290"/>
            <wp:effectExtent l="0" t="0" r="2540" b="1651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pic:cNvPicPr>
                  </pic:nvPicPr>
                  <pic:blipFill>
                    <a:blip r:embed="rId7"/>
                    <a:stretch>
                      <a:fillRect/>
                    </a:stretch>
                  </pic:blipFill>
                  <pic:spPr>
                    <a:xfrm>
                      <a:off x="0" y="0"/>
                      <a:ext cx="8569960" cy="5622290"/>
                    </a:xfrm>
                    <a:prstGeom prst="rect">
                      <a:avLst/>
                    </a:prstGeom>
                    <a:noFill/>
                    <a:ln>
                      <a:noFill/>
                    </a:ln>
                  </pic:spPr>
                </pic:pic>
              </a:graphicData>
            </a:graphic>
          </wp:inline>
        </w:drawing>
      </w:r>
      <w:r>
        <w:drawing>
          <wp:inline distT="0" distB="0" distL="114300" distR="114300">
            <wp:extent cx="8676640" cy="3467100"/>
            <wp:effectExtent l="0" t="0" r="10160" b="0"/>
            <wp:docPr id="5" name="图片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图片 5"/>
                    <pic:cNvPicPr>
                      <a:picLocks noChangeAspect="1"/>
                    </pic:cNvPicPr>
                  </pic:nvPicPr>
                  <pic:blipFill>
                    <a:blip r:embed="rId8"/>
                    <a:stretch>
                      <a:fillRect/>
                    </a:stretch>
                  </pic:blipFill>
                  <pic:spPr>
                    <a:xfrm>
                      <a:off x="0" y="0"/>
                      <a:ext cx="8676640" cy="3467100"/>
                    </a:xfrm>
                    <a:prstGeom prst="rect">
                      <a:avLst/>
                    </a:prstGeom>
                    <a:noFill/>
                    <a:ln>
                      <a:noFill/>
                    </a:ln>
                  </pic:spPr>
                </pic:pic>
              </a:graphicData>
            </a:graphic>
          </wp:inline>
        </w:drawing>
      </w:r>
      <w:r>
        <w:drawing>
          <wp:inline distT="0" distB="0" distL="114300" distR="114300">
            <wp:extent cx="8614410" cy="5400675"/>
            <wp:effectExtent l="0" t="0" r="15240" b="9525"/>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pic:cNvPicPr>
                      <a:picLocks noChangeAspect="1"/>
                    </pic:cNvPicPr>
                  </pic:nvPicPr>
                  <pic:blipFill>
                    <a:blip r:embed="rId9"/>
                    <a:stretch>
                      <a:fillRect/>
                    </a:stretch>
                  </pic:blipFill>
                  <pic:spPr>
                    <a:xfrm>
                      <a:off x="0" y="0"/>
                      <a:ext cx="8614410" cy="5400675"/>
                    </a:xfrm>
                    <a:prstGeom prst="rect">
                      <a:avLst/>
                    </a:prstGeom>
                    <a:noFill/>
                    <a:ln>
                      <a:noFill/>
                    </a:ln>
                  </pic:spPr>
                </pic:pic>
              </a:graphicData>
            </a:graphic>
          </wp:inline>
        </w:drawing>
      </w:r>
      <w:r>
        <w:drawing>
          <wp:inline distT="0" distB="0" distL="114300" distR="114300">
            <wp:extent cx="8729345" cy="2140585"/>
            <wp:effectExtent l="0" t="0" r="14605" b="12065"/>
            <wp:docPr id="7" name="图片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图片 7"/>
                    <pic:cNvPicPr>
                      <a:picLocks noChangeAspect="1"/>
                    </pic:cNvPicPr>
                  </pic:nvPicPr>
                  <pic:blipFill>
                    <a:blip r:embed="rId10"/>
                    <a:stretch>
                      <a:fillRect/>
                    </a:stretch>
                  </pic:blipFill>
                  <pic:spPr>
                    <a:xfrm>
                      <a:off x="0" y="0"/>
                      <a:ext cx="8729345" cy="2140585"/>
                    </a:xfrm>
                    <a:prstGeom prst="rect">
                      <a:avLst/>
                    </a:prstGeom>
                    <a:noFill/>
                    <a:ln>
                      <a:noFill/>
                    </a:ln>
                  </pic:spPr>
                </pic:pic>
              </a:graphicData>
            </a:graphic>
          </wp:inline>
        </w:drawing>
      </w:r>
      <w:r>
        <w:drawing>
          <wp:inline distT="0" distB="0" distL="114300" distR="114300">
            <wp:extent cx="8862695" cy="2881630"/>
            <wp:effectExtent l="0" t="0" r="14605" b="1397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8"/>
                    <pic:cNvPicPr>
                      <a:picLocks noChangeAspect="1"/>
                    </pic:cNvPicPr>
                  </pic:nvPicPr>
                  <pic:blipFill>
                    <a:blip r:embed="rId11"/>
                    <a:stretch>
                      <a:fillRect/>
                    </a:stretch>
                  </pic:blipFill>
                  <pic:spPr>
                    <a:xfrm>
                      <a:off x="0" y="0"/>
                      <a:ext cx="8862695" cy="2881630"/>
                    </a:xfrm>
                    <a:prstGeom prst="rect">
                      <a:avLst/>
                    </a:prstGeom>
                    <a:noFill/>
                    <a:ln>
                      <a:noFill/>
                    </a:ln>
                  </pic:spPr>
                </pic:pic>
              </a:graphicData>
            </a:graphic>
          </wp:inline>
        </w:drawing>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right="0" w:firstLine="240" w:firstLineChars="100"/>
        <w:rPr>
          <w:color w:val="333333"/>
          <w:sz w:val="24"/>
          <w:szCs w:val="24"/>
        </w:rPr>
      </w:pPr>
      <w:r>
        <w:rPr>
          <w:rStyle w:val="7"/>
          <w:rFonts w:hint="eastAsia" w:ascii="微软雅黑" w:hAnsi="微软雅黑" w:eastAsia="微软雅黑" w:cs="微软雅黑"/>
          <w:i w:val="0"/>
          <w:caps w:val="0"/>
          <w:color w:val="333333"/>
          <w:spacing w:val="0"/>
          <w:sz w:val="24"/>
          <w:szCs w:val="24"/>
          <w:shd w:val="clear" w:fill="FFFFFF"/>
          <w:lang w:eastAsia="zh-CN"/>
        </w:rPr>
        <w:t>第三部分</w:t>
      </w:r>
      <w:r>
        <w:rPr>
          <w:rStyle w:val="7"/>
          <w:rFonts w:hint="eastAsia" w:ascii="微软雅黑" w:hAnsi="微软雅黑" w:eastAsia="微软雅黑" w:cs="微软雅黑"/>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i w:val="0"/>
          <w:caps w:val="0"/>
          <w:color w:val="333333"/>
          <w:spacing w:val="0"/>
          <w:sz w:val="24"/>
          <w:szCs w:val="24"/>
          <w:shd w:val="clear" w:fill="FFFFFF"/>
        </w:rPr>
        <w:t>201</w:t>
      </w:r>
      <w:r>
        <w:rPr>
          <w:rStyle w:val="7"/>
          <w:rFonts w:hint="eastAsia" w:ascii="微软雅黑" w:hAnsi="微软雅黑" w:eastAsia="微软雅黑" w:cs="微软雅黑"/>
          <w:i w:val="0"/>
          <w:caps w:val="0"/>
          <w:color w:val="333333"/>
          <w:spacing w:val="0"/>
          <w:sz w:val="24"/>
          <w:szCs w:val="24"/>
          <w:shd w:val="clear" w:fill="FFFFFF"/>
          <w:lang w:val="en-US" w:eastAsia="zh-CN"/>
        </w:rPr>
        <w:t>8</w:t>
      </w:r>
      <w:r>
        <w:rPr>
          <w:rStyle w:val="7"/>
          <w:rFonts w:hint="eastAsia" w:ascii="微软雅黑" w:hAnsi="微软雅黑" w:eastAsia="微软雅黑" w:cs="微软雅黑"/>
          <w:i w:val="0"/>
          <w:caps w:val="0"/>
          <w:color w:val="333333"/>
          <w:spacing w:val="0"/>
          <w:sz w:val="24"/>
          <w:szCs w:val="24"/>
          <w:shd w:val="clear" w:fill="FFFFFF"/>
        </w:rPr>
        <w:t>年部门决算情况说明</w:t>
      </w:r>
    </w:p>
    <w:p>
      <w:pPr>
        <w:widowControl/>
        <w:shd w:val="clear" w:color="auto" w:fill="FFFFFF"/>
        <w:ind w:firstLine="480"/>
        <w:jc w:val="left"/>
        <w:rPr>
          <w:rFonts w:hint="eastAsia" w:asciiTheme="minorEastAsia" w:hAnsiTheme="minorEastAsia" w:eastAsiaTheme="minorEastAsia" w:cstheme="minorEastAsia"/>
          <w:b/>
          <w:bCs/>
          <w:sz w:val="28"/>
          <w:szCs w:val="28"/>
        </w:rPr>
      </w:pPr>
      <w:r>
        <w:rPr>
          <w:rFonts w:hint="eastAsia" w:asciiTheme="minorEastAsia" w:hAnsiTheme="minorEastAsia" w:eastAsiaTheme="minorEastAsia" w:cstheme="minorEastAsia"/>
          <w:b/>
          <w:bCs/>
          <w:sz w:val="28"/>
          <w:szCs w:val="28"/>
        </w:rPr>
        <w:t>（一）预算执行情况分析</w:t>
      </w:r>
    </w:p>
    <w:p>
      <w:pPr>
        <w:widowControl/>
        <w:shd w:val="clear" w:color="auto" w:fill="FFFFFF"/>
        <w:ind w:firstLine="480"/>
        <w:jc w:val="left"/>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eastAsia="zh-CN"/>
        </w:rPr>
        <w:t>单位本年度实际收到的一般公共预算财政拨款收入</w:t>
      </w:r>
      <w:r>
        <w:rPr>
          <w:rFonts w:hint="eastAsia" w:asciiTheme="minorEastAsia" w:hAnsiTheme="minorEastAsia" w:eastAsiaTheme="minorEastAsia" w:cstheme="minorEastAsia"/>
          <w:sz w:val="28"/>
          <w:szCs w:val="28"/>
          <w:lang w:val="en-US" w:eastAsia="zh-CN"/>
        </w:rPr>
        <w:t>563.92万元，比去年492.53万元上涨71.39万元，增长幅度14.5%，全部为财政拨款。</w:t>
      </w:r>
    </w:p>
    <w:p>
      <w:pPr>
        <w:widowControl/>
        <w:shd w:val="clear" w:color="auto" w:fill="FFFFFF"/>
        <w:ind w:firstLine="480"/>
        <w:jc w:val="left"/>
        <w:rPr>
          <w:rFonts w:hint="eastAsia"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t>1</w:t>
      </w:r>
      <w:r>
        <w:rPr>
          <w:rFonts w:hint="eastAsia" w:asciiTheme="minorEastAsia" w:hAnsiTheme="minorEastAsia" w:cstheme="minorEastAsia"/>
          <w:sz w:val="28"/>
          <w:szCs w:val="28"/>
          <w:lang w:eastAsia="zh-CN"/>
        </w:rPr>
        <w:t>、</w:t>
      </w:r>
      <w:r>
        <w:rPr>
          <w:rFonts w:hint="eastAsia" w:asciiTheme="minorEastAsia" w:hAnsiTheme="minorEastAsia" w:eastAsiaTheme="minorEastAsia" w:cstheme="minorEastAsia"/>
          <w:sz w:val="28"/>
          <w:szCs w:val="28"/>
        </w:rPr>
        <w:t>收入支出与预算对比分析。</w:t>
      </w:r>
    </w:p>
    <w:p>
      <w:pPr>
        <w:widowControl/>
        <w:shd w:val="clear" w:color="auto" w:fill="FFFFFF"/>
        <w:ind w:firstLine="480"/>
        <w:jc w:val="left"/>
        <w:rPr>
          <w:rFonts w:hint="eastAsia" w:asciiTheme="minorEastAsia" w:hAnsiTheme="minorEastAsia" w:eastAsiaTheme="minorEastAsia" w:cstheme="minorEastAsia"/>
          <w:sz w:val="28"/>
          <w:szCs w:val="28"/>
          <w:lang w:val="en-US" w:eastAsia="zh-CN"/>
        </w:rPr>
      </w:pPr>
      <w:r>
        <w:rPr>
          <w:rFonts w:hint="eastAsia" w:asciiTheme="minorEastAsia" w:hAnsiTheme="minorEastAsia" w:eastAsiaTheme="minorEastAsia" w:cstheme="minorEastAsia"/>
          <w:sz w:val="28"/>
          <w:szCs w:val="28"/>
          <w:lang w:val="en-US" w:eastAsia="zh-CN"/>
        </w:rPr>
        <w:t>2018年我单位总预算231.04万元，总支出563.92万元，超出预算比例244%。其中：人员经费预算158.98万元（含工资福利支出、对个人及家庭补助支出），2018年人员经费实际支出260.62万元，同比上年187.37万元涨幅25.63%；涨幅原因为本年度信息化建设资金安排。</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560" w:firstLineChars="200"/>
        <w:jc w:val="left"/>
        <w:textAlignment w:val="auto"/>
        <w:rPr>
          <w:rFonts w:hint="eastAsia" w:asciiTheme="minorEastAsia" w:hAnsiTheme="minorEastAsia" w:eastAsiaTheme="minorEastAsia" w:cstheme="minorEastAsia"/>
          <w:sz w:val="28"/>
          <w:szCs w:val="28"/>
          <w:highlight w:val="none"/>
          <w:lang w:eastAsia="zh-CN"/>
        </w:rPr>
      </w:pPr>
      <w:r>
        <w:rPr>
          <w:rFonts w:hint="eastAsia" w:asciiTheme="minorEastAsia" w:hAnsiTheme="minorEastAsia" w:cstheme="minorEastAsia"/>
          <w:sz w:val="28"/>
          <w:szCs w:val="28"/>
          <w:highlight w:val="none"/>
          <w:lang w:val="en-US" w:eastAsia="zh-CN"/>
        </w:rPr>
        <w:t>2、</w:t>
      </w:r>
      <w:r>
        <w:rPr>
          <w:rFonts w:hint="eastAsia" w:asciiTheme="minorEastAsia" w:hAnsiTheme="minorEastAsia" w:eastAsiaTheme="minorEastAsia" w:cstheme="minorEastAsia"/>
          <w:sz w:val="28"/>
          <w:szCs w:val="28"/>
          <w:highlight w:val="none"/>
          <w:lang w:eastAsia="zh-CN"/>
        </w:rPr>
        <w:t>收入支出结构分析</w:t>
      </w:r>
    </w:p>
    <w:p>
      <w:pPr>
        <w:keepNext w:val="0"/>
        <w:keepLines w:val="0"/>
        <w:pageBreakBefore w:val="0"/>
        <w:widowControl/>
        <w:kinsoku/>
        <w:wordWrap/>
        <w:overflowPunct/>
        <w:topLinePunct w:val="0"/>
        <w:autoSpaceDE/>
        <w:autoSpaceDN/>
        <w:bidi w:val="0"/>
        <w:adjustRightInd/>
        <w:snapToGrid/>
        <w:ind w:firstLine="568" w:firstLineChars="200"/>
        <w:textAlignment w:val="auto"/>
        <w:rPr>
          <w:rFonts w:hint="eastAsia" w:ascii="宋体" w:hAnsi="宋体"/>
          <w:color w:val="000000"/>
          <w:spacing w:val="2"/>
          <w:sz w:val="28"/>
          <w:szCs w:val="28"/>
        </w:rPr>
      </w:pPr>
      <w:r>
        <w:rPr>
          <w:rFonts w:hint="eastAsia" w:ascii="宋体" w:hAnsi="宋体"/>
          <w:color w:val="000000"/>
          <w:spacing w:val="2"/>
          <w:sz w:val="28"/>
          <w:szCs w:val="28"/>
        </w:rPr>
        <w:t>2018年全年总收入</w:t>
      </w:r>
      <w:r>
        <w:rPr>
          <w:rFonts w:hint="eastAsia" w:ascii="宋体" w:hAnsi="宋体"/>
          <w:color w:val="000000"/>
          <w:spacing w:val="2"/>
          <w:sz w:val="28"/>
          <w:szCs w:val="28"/>
          <w:lang w:val="en-US" w:eastAsia="zh-CN"/>
        </w:rPr>
        <w:t>563.92万</w:t>
      </w:r>
      <w:r>
        <w:rPr>
          <w:rFonts w:hint="eastAsia" w:ascii="宋体" w:hAnsi="宋体"/>
          <w:color w:val="000000"/>
          <w:spacing w:val="2"/>
          <w:sz w:val="28"/>
          <w:szCs w:val="28"/>
        </w:rPr>
        <w:t>元,其中</w:t>
      </w:r>
      <w:r>
        <w:rPr>
          <w:rFonts w:hint="eastAsia" w:ascii="宋体" w:hAnsi="宋体"/>
          <w:color w:val="000000"/>
          <w:spacing w:val="2"/>
          <w:sz w:val="28"/>
          <w:szCs w:val="28"/>
          <w:lang w:eastAsia="zh-CN"/>
        </w:rPr>
        <w:t>财政拨款</w:t>
      </w:r>
      <w:r>
        <w:rPr>
          <w:rFonts w:hint="eastAsia" w:ascii="宋体" w:hAnsi="宋体"/>
          <w:color w:val="000000"/>
          <w:spacing w:val="2"/>
          <w:sz w:val="28"/>
          <w:szCs w:val="28"/>
        </w:rPr>
        <w:t>收入</w:t>
      </w:r>
      <w:r>
        <w:rPr>
          <w:rFonts w:hint="eastAsia" w:ascii="宋体" w:hAnsi="宋体"/>
          <w:color w:val="000000"/>
          <w:spacing w:val="2"/>
          <w:sz w:val="28"/>
          <w:szCs w:val="28"/>
          <w:lang w:val="en-US" w:eastAsia="zh-CN"/>
        </w:rPr>
        <w:t>495.25万</w:t>
      </w:r>
      <w:r>
        <w:rPr>
          <w:rFonts w:hint="eastAsia" w:ascii="宋体" w:hAnsi="宋体"/>
          <w:color w:val="000000"/>
          <w:spacing w:val="2"/>
          <w:sz w:val="28"/>
          <w:szCs w:val="28"/>
        </w:rPr>
        <w:t>元,其它收入</w:t>
      </w:r>
      <w:r>
        <w:rPr>
          <w:rFonts w:hint="eastAsia" w:ascii="宋体" w:hAnsi="宋体"/>
          <w:color w:val="000000"/>
          <w:spacing w:val="2"/>
          <w:sz w:val="28"/>
          <w:szCs w:val="28"/>
          <w:lang w:val="en-US" w:eastAsia="zh-CN"/>
        </w:rPr>
        <w:t>68.67万</w:t>
      </w:r>
      <w:r>
        <w:rPr>
          <w:rFonts w:hint="eastAsia" w:ascii="宋体" w:hAnsi="宋体"/>
          <w:color w:val="000000"/>
          <w:spacing w:val="2"/>
          <w:sz w:val="28"/>
          <w:szCs w:val="28"/>
        </w:rPr>
        <w:t>元</w:t>
      </w:r>
      <w:r>
        <w:rPr>
          <w:rFonts w:hint="eastAsia" w:ascii="宋体" w:hAnsi="宋体"/>
          <w:color w:val="000000"/>
          <w:spacing w:val="2"/>
          <w:sz w:val="28"/>
          <w:szCs w:val="28"/>
          <w:lang w:eastAsia="zh-CN"/>
        </w:rPr>
        <w:t>；</w:t>
      </w:r>
      <w:r>
        <w:rPr>
          <w:rFonts w:hint="eastAsia" w:ascii="宋体" w:hAnsi="宋体"/>
          <w:color w:val="000000"/>
          <w:spacing w:val="2"/>
          <w:sz w:val="28"/>
          <w:szCs w:val="28"/>
        </w:rPr>
        <w:t>2018年全年决算总支出</w:t>
      </w:r>
      <w:r>
        <w:rPr>
          <w:rFonts w:hint="eastAsia" w:ascii="宋体" w:hAnsi="宋体"/>
          <w:color w:val="000000"/>
          <w:spacing w:val="2"/>
          <w:sz w:val="28"/>
          <w:szCs w:val="28"/>
          <w:lang w:val="en-US" w:eastAsia="zh-CN"/>
        </w:rPr>
        <w:t>563.92万</w:t>
      </w:r>
      <w:r>
        <w:rPr>
          <w:rFonts w:hint="eastAsia" w:ascii="宋体" w:hAnsi="宋体"/>
          <w:color w:val="000000"/>
          <w:spacing w:val="2"/>
          <w:sz w:val="28"/>
          <w:szCs w:val="28"/>
        </w:rPr>
        <w:t>元,支出按以下分类说明：</w:t>
      </w:r>
    </w:p>
    <w:p>
      <w:pPr>
        <w:keepNext w:val="0"/>
        <w:keepLines w:val="0"/>
        <w:pageBreakBefore w:val="0"/>
        <w:widowControl/>
        <w:kinsoku/>
        <w:wordWrap/>
        <w:overflowPunct/>
        <w:topLinePunct w:val="0"/>
        <w:autoSpaceDE/>
        <w:autoSpaceDN/>
        <w:bidi w:val="0"/>
        <w:adjustRightInd/>
        <w:snapToGrid/>
        <w:ind w:firstLine="568" w:firstLineChars="200"/>
        <w:textAlignment w:val="auto"/>
        <w:rPr>
          <w:rFonts w:hint="eastAsia" w:ascii="宋体" w:hAnsi="宋体" w:eastAsiaTheme="minorEastAsia"/>
          <w:color w:val="000000"/>
          <w:spacing w:val="2"/>
          <w:sz w:val="28"/>
          <w:szCs w:val="28"/>
          <w:lang w:eastAsia="zh-CN"/>
        </w:rPr>
      </w:pPr>
      <w:r>
        <w:rPr>
          <w:rFonts w:hint="default" w:ascii="宋体" w:hAnsi="宋体"/>
          <w:color w:val="000000"/>
          <w:spacing w:val="2"/>
          <w:sz w:val="28"/>
          <w:szCs w:val="28"/>
        </w:rPr>
        <w:t>①</w:t>
      </w:r>
      <w:r>
        <w:rPr>
          <w:rFonts w:hint="eastAsia" w:ascii="宋体" w:hAnsi="宋体"/>
          <w:color w:val="000000"/>
          <w:spacing w:val="2"/>
          <w:sz w:val="28"/>
          <w:szCs w:val="28"/>
        </w:rPr>
        <w:t>支出功能分类：</w:t>
      </w:r>
      <w:r>
        <w:rPr>
          <w:rFonts w:hint="eastAsia" w:ascii="宋体" w:hAnsi="宋体"/>
          <w:color w:val="000000"/>
          <w:spacing w:val="2"/>
          <w:sz w:val="28"/>
          <w:szCs w:val="28"/>
          <w:lang w:val="en-US" w:eastAsia="zh-CN"/>
        </w:rPr>
        <w:t>563.92万</w:t>
      </w:r>
      <w:r>
        <w:rPr>
          <w:rFonts w:hint="eastAsia" w:ascii="宋体" w:hAnsi="宋体"/>
          <w:color w:val="000000"/>
          <w:spacing w:val="2"/>
          <w:sz w:val="28"/>
          <w:szCs w:val="28"/>
        </w:rPr>
        <w:t>元</w:t>
      </w:r>
      <w:r>
        <w:rPr>
          <w:rFonts w:hint="eastAsia" w:ascii="宋体" w:hAnsi="宋体"/>
          <w:color w:val="000000"/>
          <w:spacing w:val="2"/>
          <w:sz w:val="28"/>
          <w:szCs w:val="28"/>
          <w:lang w:eastAsia="zh-CN"/>
        </w:rPr>
        <w:t>，其中</w:t>
      </w:r>
      <w:r>
        <w:rPr>
          <w:rFonts w:hint="eastAsia" w:ascii="宋体" w:hAnsi="宋体"/>
          <w:color w:val="000000"/>
          <w:spacing w:val="2"/>
          <w:sz w:val="28"/>
          <w:szCs w:val="28"/>
        </w:rPr>
        <w:t xml:space="preserve"> </w:t>
      </w:r>
      <w:r>
        <w:rPr>
          <w:rFonts w:hint="eastAsia" w:ascii="宋体" w:hAnsi="宋体"/>
          <w:color w:val="000000"/>
          <w:spacing w:val="2"/>
          <w:sz w:val="28"/>
          <w:szCs w:val="28"/>
          <w:lang w:eastAsia="zh-CN"/>
        </w:rPr>
        <w:t>一般公共服务支出</w:t>
      </w:r>
      <w:r>
        <w:rPr>
          <w:rFonts w:hint="eastAsia" w:ascii="宋体" w:hAnsi="宋体"/>
          <w:color w:val="000000"/>
          <w:spacing w:val="2"/>
          <w:sz w:val="28"/>
          <w:szCs w:val="28"/>
          <w:lang w:val="en-US" w:eastAsia="zh-CN"/>
        </w:rPr>
        <w:t>563.92万</w:t>
      </w:r>
      <w:r>
        <w:rPr>
          <w:rFonts w:hint="eastAsia" w:ascii="宋体" w:hAnsi="宋体"/>
          <w:color w:val="000000"/>
          <w:spacing w:val="2"/>
          <w:sz w:val="28"/>
          <w:szCs w:val="28"/>
        </w:rPr>
        <w:t>元</w:t>
      </w:r>
      <w:r>
        <w:rPr>
          <w:rFonts w:hint="eastAsia" w:ascii="宋体" w:hAnsi="宋体"/>
          <w:color w:val="000000"/>
          <w:spacing w:val="2"/>
          <w:sz w:val="28"/>
          <w:szCs w:val="28"/>
          <w:lang w:eastAsia="zh-CN"/>
        </w:rPr>
        <w:t>；</w:t>
      </w:r>
    </w:p>
    <w:p>
      <w:pPr>
        <w:keepNext w:val="0"/>
        <w:keepLines w:val="0"/>
        <w:pageBreakBefore w:val="0"/>
        <w:widowControl/>
        <w:kinsoku/>
        <w:wordWrap/>
        <w:overflowPunct/>
        <w:topLinePunct w:val="0"/>
        <w:autoSpaceDE/>
        <w:autoSpaceDN/>
        <w:bidi w:val="0"/>
        <w:adjustRightInd/>
        <w:snapToGrid/>
        <w:ind w:firstLine="568" w:firstLineChars="200"/>
        <w:textAlignment w:val="auto"/>
        <w:rPr>
          <w:rFonts w:hint="eastAsia" w:ascii="宋体" w:hAnsi="宋体" w:eastAsiaTheme="minorEastAsia"/>
          <w:color w:val="000000"/>
          <w:spacing w:val="2"/>
          <w:sz w:val="28"/>
          <w:szCs w:val="28"/>
          <w:lang w:eastAsia="zh-CN"/>
        </w:rPr>
      </w:pPr>
      <w:r>
        <w:rPr>
          <w:rFonts w:hint="default" w:ascii="宋体" w:hAnsi="宋体"/>
          <w:color w:val="000000"/>
          <w:spacing w:val="2"/>
          <w:sz w:val="28"/>
          <w:szCs w:val="28"/>
        </w:rPr>
        <w:t>②</w:t>
      </w:r>
      <w:r>
        <w:rPr>
          <w:rFonts w:hint="eastAsia" w:ascii="宋体" w:hAnsi="宋体"/>
          <w:color w:val="000000"/>
          <w:spacing w:val="2"/>
          <w:sz w:val="28"/>
          <w:szCs w:val="28"/>
        </w:rPr>
        <w:t>支出性质分类：</w:t>
      </w:r>
      <w:r>
        <w:rPr>
          <w:rFonts w:hint="eastAsia" w:ascii="宋体" w:hAnsi="宋体"/>
          <w:color w:val="000000"/>
          <w:spacing w:val="2"/>
          <w:sz w:val="28"/>
          <w:szCs w:val="28"/>
          <w:lang w:val="en-US" w:eastAsia="zh-CN"/>
        </w:rPr>
        <w:t>563.92万</w:t>
      </w:r>
      <w:r>
        <w:rPr>
          <w:rFonts w:hint="eastAsia" w:ascii="宋体" w:hAnsi="宋体"/>
          <w:color w:val="000000"/>
          <w:spacing w:val="2"/>
          <w:sz w:val="28"/>
          <w:szCs w:val="28"/>
        </w:rPr>
        <w:t>元，其中人员经费</w:t>
      </w:r>
      <w:r>
        <w:rPr>
          <w:rFonts w:hint="eastAsia" w:ascii="宋体" w:hAnsi="宋体"/>
          <w:color w:val="000000"/>
          <w:spacing w:val="2"/>
          <w:sz w:val="28"/>
          <w:szCs w:val="28"/>
          <w:lang w:val="en-US" w:eastAsia="zh-CN"/>
        </w:rPr>
        <w:t>260.62万</w:t>
      </w:r>
      <w:r>
        <w:rPr>
          <w:rFonts w:hint="eastAsia" w:ascii="宋体" w:hAnsi="宋体"/>
          <w:color w:val="000000"/>
          <w:spacing w:val="2"/>
          <w:sz w:val="28"/>
          <w:szCs w:val="28"/>
        </w:rPr>
        <w:t>元，公用经费</w:t>
      </w:r>
      <w:r>
        <w:rPr>
          <w:rFonts w:hint="eastAsia" w:ascii="宋体" w:hAnsi="宋体"/>
          <w:color w:val="000000"/>
          <w:spacing w:val="2"/>
          <w:sz w:val="28"/>
          <w:szCs w:val="28"/>
          <w:lang w:val="en-US" w:eastAsia="zh-CN"/>
        </w:rPr>
        <w:t>303.30万</w:t>
      </w:r>
      <w:r>
        <w:rPr>
          <w:rFonts w:hint="eastAsia" w:ascii="宋体" w:hAnsi="宋体"/>
          <w:color w:val="000000"/>
          <w:spacing w:val="2"/>
          <w:sz w:val="28"/>
          <w:szCs w:val="28"/>
        </w:rPr>
        <w:t>元</w:t>
      </w:r>
      <w:r>
        <w:rPr>
          <w:rFonts w:hint="eastAsia" w:ascii="宋体" w:hAnsi="宋体"/>
          <w:color w:val="000000"/>
          <w:spacing w:val="2"/>
          <w:sz w:val="28"/>
          <w:szCs w:val="28"/>
          <w:lang w:eastAsia="zh-CN"/>
        </w:rPr>
        <w:t>；</w:t>
      </w:r>
    </w:p>
    <w:p>
      <w:pPr>
        <w:keepNext w:val="0"/>
        <w:keepLines w:val="0"/>
        <w:pageBreakBefore w:val="0"/>
        <w:widowControl/>
        <w:numPr>
          <w:ilvl w:val="0"/>
          <w:numId w:val="0"/>
        </w:numPr>
        <w:shd w:val="clear" w:color="auto" w:fill="FFFFFF"/>
        <w:kinsoku/>
        <w:wordWrap/>
        <w:overflowPunct/>
        <w:topLinePunct w:val="0"/>
        <w:autoSpaceDE/>
        <w:autoSpaceDN/>
        <w:bidi w:val="0"/>
        <w:adjustRightInd/>
        <w:snapToGrid/>
        <w:ind w:firstLine="568" w:firstLineChars="200"/>
        <w:jc w:val="left"/>
        <w:textAlignment w:val="auto"/>
        <w:rPr>
          <w:rFonts w:hint="eastAsia" w:asciiTheme="minorEastAsia" w:hAnsiTheme="minorEastAsia" w:eastAsiaTheme="minorEastAsia" w:cstheme="minorEastAsia"/>
          <w:sz w:val="28"/>
          <w:szCs w:val="28"/>
          <w:lang w:val="en-US" w:eastAsia="zh-CN"/>
        </w:rPr>
      </w:pPr>
      <w:r>
        <w:rPr>
          <w:rFonts w:hint="default" w:ascii="宋体" w:hAnsi="宋体"/>
          <w:color w:val="000000"/>
          <w:spacing w:val="2"/>
          <w:sz w:val="28"/>
          <w:szCs w:val="28"/>
        </w:rPr>
        <w:t>③</w:t>
      </w:r>
      <w:r>
        <w:rPr>
          <w:rFonts w:hint="eastAsia" w:ascii="宋体" w:hAnsi="宋体"/>
          <w:color w:val="000000"/>
          <w:spacing w:val="2"/>
          <w:sz w:val="28"/>
          <w:szCs w:val="28"/>
        </w:rPr>
        <w:t>支出经济分类：</w:t>
      </w:r>
      <w:r>
        <w:rPr>
          <w:rFonts w:hint="eastAsia" w:ascii="宋体" w:hAnsi="宋体"/>
          <w:color w:val="000000"/>
          <w:spacing w:val="2"/>
          <w:sz w:val="28"/>
          <w:szCs w:val="28"/>
          <w:lang w:val="en-US" w:eastAsia="zh-CN"/>
        </w:rPr>
        <w:t>563.92万</w:t>
      </w:r>
      <w:r>
        <w:rPr>
          <w:rFonts w:hint="eastAsia" w:ascii="宋体" w:hAnsi="宋体"/>
          <w:color w:val="000000"/>
          <w:spacing w:val="2"/>
          <w:sz w:val="28"/>
          <w:szCs w:val="28"/>
        </w:rPr>
        <w:t>元，其中工资福利支出</w:t>
      </w:r>
      <w:r>
        <w:rPr>
          <w:rFonts w:hint="eastAsia" w:ascii="宋体" w:hAnsi="宋体"/>
          <w:color w:val="000000"/>
          <w:spacing w:val="2"/>
          <w:sz w:val="28"/>
          <w:szCs w:val="28"/>
          <w:lang w:val="en-US" w:eastAsia="zh-CN"/>
        </w:rPr>
        <w:t>257.96万</w:t>
      </w:r>
      <w:r>
        <w:rPr>
          <w:rFonts w:hint="eastAsia" w:ascii="宋体" w:hAnsi="宋体"/>
          <w:color w:val="000000"/>
          <w:spacing w:val="2"/>
          <w:sz w:val="28"/>
          <w:szCs w:val="28"/>
        </w:rPr>
        <w:t>元，商品服务支出</w:t>
      </w:r>
      <w:r>
        <w:rPr>
          <w:rFonts w:hint="eastAsia" w:ascii="宋体" w:hAnsi="宋体"/>
          <w:color w:val="000000"/>
          <w:spacing w:val="2"/>
          <w:sz w:val="28"/>
          <w:szCs w:val="28"/>
          <w:lang w:val="en-US" w:eastAsia="zh-CN"/>
        </w:rPr>
        <w:t>246.39万</w:t>
      </w:r>
      <w:r>
        <w:rPr>
          <w:rFonts w:hint="eastAsia" w:ascii="宋体" w:hAnsi="宋体"/>
          <w:color w:val="000000"/>
          <w:spacing w:val="2"/>
          <w:sz w:val="28"/>
          <w:szCs w:val="28"/>
        </w:rPr>
        <w:t>元，对个人和家庭的补助支出</w:t>
      </w:r>
      <w:r>
        <w:rPr>
          <w:rFonts w:hint="eastAsia" w:ascii="宋体" w:hAnsi="宋体"/>
          <w:color w:val="000000"/>
          <w:spacing w:val="2"/>
          <w:sz w:val="28"/>
          <w:szCs w:val="28"/>
          <w:lang w:val="en-US" w:eastAsia="zh-CN"/>
        </w:rPr>
        <w:t>2.66万</w:t>
      </w:r>
      <w:r>
        <w:rPr>
          <w:rFonts w:hint="eastAsia" w:ascii="宋体" w:hAnsi="宋体"/>
          <w:color w:val="000000"/>
          <w:spacing w:val="2"/>
          <w:sz w:val="28"/>
          <w:szCs w:val="28"/>
        </w:rPr>
        <w:t>元，其它资本性支出</w:t>
      </w:r>
      <w:r>
        <w:rPr>
          <w:rFonts w:hint="eastAsia" w:ascii="宋体" w:hAnsi="宋体"/>
          <w:color w:val="000000"/>
          <w:spacing w:val="2"/>
          <w:sz w:val="28"/>
          <w:szCs w:val="28"/>
          <w:lang w:val="en-US" w:eastAsia="zh-CN"/>
        </w:rPr>
        <w:t>56.91万</w:t>
      </w:r>
      <w:r>
        <w:rPr>
          <w:rFonts w:hint="eastAsia" w:ascii="宋体" w:hAnsi="宋体"/>
          <w:color w:val="000000"/>
          <w:spacing w:val="2"/>
          <w:sz w:val="28"/>
          <w:szCs w:val="28"/>
        </w:rPr>
        <w:t>元。</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rPr>
      </w:pPr>
      <w:r>
        <w:rPr>
          <w:rFonts w:hint="eastAsia" w:asciiTheme="minorEastAsia" w:hAnsiTheme="minorEastAsia" w:eastAsiaTheme="minorEastAsia" w:cstheme="minorEastAsia"/>
          <w:b/>
          <w:bCs/>
          <w:sz w:val="28"/>
          <w:szCs w:val="28"/>
          <w:highlight w:val="none"/>
        </w:rPr>
        <w:t>（二）关于“三公”经费支出说明</w:t>
      </w:r>
    </w:p>
    <w:p>
      <w:pPr>
        <w:pStyle w:val="9"/>
        <w:keepNext w:val="0"/>
        <w:keepLines w:val="0"/>
        <w:pageBreakBefore w:val="0"/>
        <w:kinsoku/>
        <w:wordWrap/>
        <w:overflowPunct/>
        <w:topLinePunct w:val="0"/>
        <w:autoSpaceDE/>
        <w:autoSpaceDN/>
        <w:bidi w:val="0"/>
        <w:adjustRightInd/>
        <w:snapToGrid/>
        <w:ind w:left="0" w:leftChars="0" w:firstLine="560" w:firstLineChars="200"/>
        <w:textAlignment w:val="auto"/>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rPr>
        <w:t>本年度</w:t>
      </w:r>
      <w:r>
        <w:rPr>
          <w:rFonts w:hint="eastAsia" w:asciiTheme="minorEastAsia" w:hAnsiTheme="minorEastAsia" w:eastAsiaTheme="minorEastAsia" w:cstheme="minorEastAsia"/>
          <w:sz w:val="28"/>
          <w:szCs w:val="28"/>
          <w:lang w:eastAsia="zh-CN"/>
        </w:rPr>
        <w:t>无</w:t>
      </w:r>
      <w:r>
        <w:rPr>
          <w:rFonts w:hint="eastAsia" w:asciiTheme="minorEastAsia" w:hAnsiTheme="minorEastAsia" w:eastAsiaTheme="minorEastAsia" w:cstheme="minorEastAsia"/>
          <w:sz w:val="28"/>
          <w:szCs w:val="28"/>
        </w:rPr>
        <w:t>“三公”经费支出</w:t>
      </w:r>
      <w:r>
        <w:rPr>
          <w:rFonts w:hint="eastAsia" w:asciiTheme="minorEastAsia" w:hAnsiTheme="minorEastAsia" w:eastAsiaTheme="minorEastAsia" w:cstheme="minorEastAsia"/>
          <w:sz w:val="28"/>
          <w:szCs w:val="28"/>
          <w:lang w:eastAsia="zh-CN"/>
        </w:rPr>
        <w:t>。</w:t>
      </w:r>
    </w:p>
    <w:p>
      <w:pPr>
        <w:pStyle w:val="9"/>
        <w:keepNext w:val="0"/>
        <w:keepLines w:val="0"/>
        <w:pageBreakBefore w:val="0"/>
        <w:kinsoku/>
        <w:wordWrap/>
        <w:overflowPunct/>
        <w:topLinePunct w:val="0"/>
        <w:autoSpaceDE/>
        <w:autoSpaceDN/>
        <w:bidi w:val="0"/>
        <w:adjustRightInd/>
        <w:snapToGrid/>
        <w:ind w:left="0" w:leftChars="0" w:firstLine="562" w:firstLineChars="200"/>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
          <w:bCs/>
          <w:sz w:val="28"/>
          <w:szCs w:val="28"/>
          <w:highlight w:val="none"/>
        </w:rPr>
        <w:t>（三）关于机关运行经费支出说明</w:t>
      </w:r>
    </w:p>
    <w:p>
      <w:pPr>
        <w:pStyle w:val="9"/>
        <w:keepNext w:val="0"/>
        <w:keepLines w:val="0"/>
        <w:pageBreakBefore w:val="0"/>
        <w:kinsoku/>
        <w:wordWrap/>
        <w:overflowPunct/>
        <w:topLinePunct w:val="0"/>
        <w:autoSpaceDE/>
        <w:autoSpaceDN/>
        <w:bidi w:val="0"/>
        <w:adjustRightInd/>
        <w:snapToGrid/>
        <w:ind w:left="0" w:leftChars="0" w:firstLine="560" w:firstLineChars="200"/>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本部门201</w:t>
      </w:r>
      <w:r>
        <w:rPr>
          <w:rFonts w:hint="eastAsia" w:asciiTheme="minorEastAsia" w:hAnsiTheme="minorEastAsia" w:cstheme="minorEastAsia"/>
          <w:sz w:val="28"/>
          <w:szCs w:val="28"/>
          <w:highlight w:val="none"/>
          <w:lang w:val="en-US" w:eastAsia="zh-CN"/>
        </w:rPr>
        <w:t>8</w:t>
      </w:r>
      <w:r>
        <w:rPr>
          <w:rFonts w:hint="eastAsia" w:asciiTheme="minorEastAsia" w:hAnsiTheme="minorEastAsia" w:eastAsiaTheme="minorEastAsia" w:cstheme="minorEastAsia"/>
          <w:sz w:val="28"/>
          <w:szCs w:val="28"/>
          <w:highlight w:val="none"/>
        </w:rPr>
        <w:t>年度机关运行经费支出</w:t>
      </w:r>
      <w:r>
        <w:rPr>
          <w:rFonts w:hint="eastAsia" w:asciiTheme="minorEastAsia" w:hAnsiTheme="minorEastAsia" w:cstheme="minorEastAsia"/>
          <w:sz w:val="28"/>
          <w:szCs w:val="28"/>
          <w:highlight w:val="none"/>
          <w:lang w:val="en-US" w:eastAsia="zh-CN"/>
        </w:rPr>
        <w:t>563.92</w:t>
      </w:r>
      <w:r>
        <w:rPr>
          <w:rFonts w:hint="eastAsia" w:asciiTheme="minorEastAsia" w:hAnsiTheme="minorEastAsia" w:eastAsiaTheme="minorEastAsia" w:cstheme="minorEastAsia"/>
          <w:sz w:val="28"/>
          <w:szCs w:val="28"/>
          <w:highlight w:val="none"/>
        </w:rPr>
        <w:t>万元，比201</w:t>
      </w:r>
      <w:r>
        <w:rPr>
          <w:rFonts w:hint="eastAsia" w:asciiTheme="minorEastAsia" w:hAnsiTheme="minorEastAsia" w:cstheme="minorEastAsia"/>
          <w:sz w:val="28"/>
          <w:szCs w:val="28"/>
          <w:highlight w:val="none"/>
          <w:lang w:val="en-US" w:eastAsia="zh-CN"/>
        </w:rPr>
        <w:t>7</w:t>
      </w:r>
      <w:r>
        <w:rPr>
          <w:rFonts w:hint="eastAsia" w:asciiTheme="minorEastAsia" w:hAnsiTheme="minorEastAsia" w:eastAsiaTheme="minorEastAsia" w:cstheme="minorEastAsia"/>
          <w:sz w:val="28"/>
          <w:szCs w:val="28"/>
          <w:highlight w:val="none"/>
        </w:rPr>
        <w:t>年增加</w:t>
      </w:r>
      <w:r>
        <w:rPr>
          <w:rFonts w:hint="eastAsia" w:asciiTheme="minorEastAsia" w:hAnsiTheme="minorEastAsia" w:cstheme="minorEastAsia"/>
          <w:sz w:val="28"/>
          <w:szCs w:val="28"/>
          <w:highlight w:val="none"/>
          <w:lang w:val="en-US" w:eastAsia="zh-CN"/>
        </w:rPr>
        <w:t>71.39</w:t>
      </w:r>
      <w:r>
        <w:rPr>
          <w:rFonts w:hint="eastAsia" w:asciiTheme="minorEastAsia" w:hAnsiTheme="minorEastAsia" w:eastAsiaTheme="minorEastAsia" w:cstheme="minorEastAsia"/>
          <w:sz w:val="28"/>
          <w:szCs w:val="28"/>
          <w:highlight w:val="none"/>
        </w:rPr>
        <w:t>万元，增长</w:t>
      </w:r>
      <w:r>
        <w:rPr>
          <w:rFonts w:hint="eastAsia" w:asciiTheme="minorEastAsia" w:hAnsiTheme="minorEastAsia" w:cstheme="minorEastAsia"/>
          <w:sz w:val="28"/>
          <w:szCs w:val="28"/>
          <w:highlight w:val="none"/>
          <w:lang w:val="en-US" w:eastAsia="zh-CN"/>
        </w:rPr>
        <w:t>14.49</w:t>
      </w:r>
      <w:r>
        <w:rPr>
          <w:rFonts w:hint="eastAsia" w:asciiTheme="minorEastAsia" w:hAnsiTheme="minorEastAsia" w:eastAsiaTheme="minorEastAsia" w:cstheme="minorEastAsia"/>
          <w:sz w:val="28"/>
          <w:szCs w:val="28"/>
          <w:highlight w:val="none"/>
        </w:rPr>
        <w:t>%。主要原因是</w:t>
      </w:r>
      <w:r>
        <w:rPr>
          <w:rFonts w:hint="eastAsia" w:asciiTheme="minorEastAsia" w:hAnsiTheme="minorEastAsia" w:cstheme="minorEastAsia"/>
          <w:sz w:val="28"/>
          <w:szCs w:val="28"/>
          <w:highlight w:val="none"/>
          <w:lang w:eastAsia="zh-CN"/>
        </w:rPr>
        <w:t>本年度信息化建设资金安排</w:t>
      </w:r>
      <w:r>
        <w:rPr>
          <w:rFonts w:hint="eastAsia" w:asciiTheme="minorEastAsia" w:hAnsiTheme="minorEastAsia" w:eastAsiaTheme="minorEastAsia" w:cstheme="minorEastAsia"/>
          <w:sz w:val="28"/>
          <w:szCs w:val="28"/>
          <w:highlight w:val="none"/>
        </w:rPr>
        <w:t>。</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b/>
          <w:bCs/>
          <w:sz w:val="28"/>
          <w:szCs w:val="28"/>
          <w:highlight w:val="none"/>
        </w:rPr>
        <w:t>（四）关于政府采购支出说明</w:t>
      </w:r>
    </w:p>
    <w:p>
      <w:pPr>
        <w:pStyle w:val="9"/>
        <w:keepNext w:val="0"/>
        <w:keepLines w:val="0"/>
        <w:pageBreakBefore w:val="0"/>
        <w:kinsoku/>
        <w:wordWrap/>
        <w:overflowPunct/>
        <w:topLinePunct w:val="0"/>
        <w:autoSpaceDE/>
        <w:autoSpaceDN/>
        <w:bidi w:val="0"/>
        <w:adjustRightInd/>
        <w:snapToGrid/>
        <w:ind w:left="0" w:leftChars="0" w:firstLine="560" w:firstLineChars="200"/>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本部门201</w:t>
      </w:r>
      <w:r>
        <w:rPr>
          <w:rFonts w:hint="eastAsia" w:asciiTheme="minorEastAsia" w:hAnsiTheme="minorEastAsia" w:cstheme="minorEastAsia"/>
          <w:sz w:val="28"/>
          <w:szCs w:val="28"/>
          <w:highlight w:val="none"/>
          <w:lang w:val="en-US" w:eastAsia="zh-CN"/>
        </w:rPr>
        <w:t>8</w:t>
      </w:r>
      <w:r>
        <w:rPr>
          <w:rFonts w:hint="eastAsia" w:asciiTheme="minorEastAsia" w:hAnsiTheme="minorEastAsia" w:eastAsiaTheme="minorEastAsia" w:cstheme="minorEastAsia"/>
          <w:sz w:val="28"/>
          <w:szCs w:val="28"/>
          <w:highlight w:val="none"/>
        </w:rPr>
        <w:t>年度政府采购支出总额</w:t>
      </w:r>
      <w:r>
        <w:rPr>
          <w:rFonts w:hint="eastAsia" w:asciiTheme="minorEastAsia" w:hAnsiTheme="minorEastAsia" w:cstheme="minorEastAsia"/>
          <w:sz w:val="28"/>
          <w:szCs w:val="28"/>
          <w:highlight w:val="none"/>
          <w:lang w:val="en-US" w:eastAsia="zh-CN"/>
        </w:rPr>
        <w:t>9.8</w:t>
      </w:r>
      <w:r>
        <w:rPr>
          <w:rFonts w:hint="eastAsia" w:asciiTheme="minorEastAsia" w:hAnsiTheme="minorEastAsia" w:eastAsiaTheme="minorEastAsia" w:cstheme="minorEastAsia"/>
          <w:sz w:val="28"/>
          <w:szCs w:val="28"/>
          <w:highlight w:val="none"/>
        </w:rPr>
        <w:t>万元，其中：政府采购货物支出</w:t>
      </w:r>
      <w:r>
        <w:rPr>
          <w:rFonts w:hint="eastAsia" w:asciiTheme="minorEastAsia" w:hAnsiTheme="minorEastAsia" w:cstheme="minorEastAsia"/>
          <w:sz w:val="28"/>
          <w:szCs w:val="28"/>
          <w:highlight w:val="none"/>
          <w:lang w:val="en-US" w:eastAsia="zh-CN"/>
        </w:rPr>
        <w:t>6.3</w:t>
      </w:r>
      <w:r>
        <w:rPr>
          <w:rFonts w:hint="eastAsia" w:asciiTheme="minorEastAsia" w:hAnsiTheme="minorEastAsia" w:eastAsiaTheme="minorEastAsia" w:cstheme="minorEastAsia"/>
          <w:sz w:val="28"/>
          <w:szCs w:val="28"/>
          <w:highlight w:val="none"/>
        </w:rPr>
        <w:t>万元、政府采购工程支出0万元、政府采购服务支出</w:t>
      </w:r>
      <w:r>
        <w:rPr>
          <w:rFonts w:hint="eastAsia" w:asciiTheme="minorEastAsia" w:hAnsiTheme="minorEastAsia" w:cstheme="minorEastAsia"/>
          <w:sz w:val="28"/>
          <w:szCs w:val="28"/>
          <w:highlight w:val="none"/>
          <w:lang w:val="en-US" w:eastAsia="zh-CN"/>
        </w:rPr>
        <w:t>3.5</w:t>
      </w:r>
      <w:r>
        <w:rPr>
          <w:rFonts w:hint="eastAsia" w:asciiTheme="minorEastAsia" w:hAnsiTheme="minorEastAsia" w:eastAsiaTheme="minorEastAsia" w:cstheme="minorEastAsia"/>
          <w:sz w:val="28"/>
          <w:szCs w:val="28"/>
          <w:highlight w:val="none"/>
        </w:rPr>
        <w:t>万元。授予中小企业合同金额</w:t>
      </w:r>
      <w:r>
        <w:rPr>
          <w:rFonts w:hint="eastAsia" w:asciiTheme="minorEastAsia" w:hAnsiTheme="minorEastAsia" w:cstheme="minorEastAsia"/>
          <w:sz w:val="28"/>
          <w:szCs w:val="28"/>
          <w:highlight w:val="none"/>
          <w:lang w:val="en-US" w:eastAsia="zh-CN"/>
        </w:rPr>
        <w:t>8.28</w:t>
      </w:r>
      <w:r>
        <w:rPr>
          <w:rFonts w:hint="eastAsia" w:asciiTheme="minorEastAsia" w:hAnsiTheme="minorEastAsia" w:eastAsiaTheme="minorEastAsia" w:cstheme="minorEastAsia"/>
          <w:sz w:val="28"/>
          <w:szCs w:val="28"/>
          <w:highlight w:val="none"/>
        </w:rPr>
        <w:t>万元，占政府采购支出总额的</w:t>
      </w:r>
      <w:r>
        <w:rPr>
          <w:rFonts w:hint="eastAsia" w:asciiTheme="minorEastAsia" w:hAnsiTheme="minorEastAsia" w:cstheme="minorEastAsia"/>
          <w:sz w:val="28"/>
          <w:szCs w:val="28"/>
          <w:highlight w:val="none"/>
          <w:lang w:val="en-US" w:eastAsia="zh-CN"/>
        </w:rPr>
        <w:t>85</w:t>
      </w:r>
      <w:r>
        <w:rPr>
          <w:rFonts w:hint="eastAsia" w:asciiTheme="minorEastAsia" w:hAnsiTheme="minorEastAsia" w:eastAsiaTheme="minorEastAsia" w:cstheme="minorEastAsia"/>
          <w:sz w:val="28"/>
          <w:szCs w:val="28"/>
          <w:highlight w:val="none"/>
        </w:rPr>
        <w:t>%，其中：授予小微企业合同金额</w:t>
      </w:r>
      <w:r>
        <w:rPr>
          <w:rFonts w:hint="eastAsia" w:asciiTheme="minorEastAsia" w:hAnsiTheme="minorEastAsia" w:cstheme="minorEastAsia"/>
          <w:sz w:val="28"/>
          <w:szCs w:val="28"/>
          <w:highlight w:val="none"/>
          <w:lang w:val="en-US" w:eastAsia="zh-CN"/>
        </w:rPr>
        <w:t>7.88</w:t>
      </w:r>
      <w:r>
        <w:rPr>
          <w:rFonts w:hint="eastAsia" w:asciiTheme="minorEastAsia" w:hAnsiTheme="minorEastAsia" w:eastAsiaTheme="minorEastAsia" w:cstheme="minorEastAsia"/>
          <w:sz w:val="28"/>
          <w:szCs w:val="28"/>
          <w:highlight w:val="none"/>
        </w:rPr>
        <w:t>万元，占政府采购支出总额的</w:t>
      </w:r>
      <w:r>
        <w:rPr>
          <w:rFonts w:hint="eastAsia" w:asciiTheme="minorEastAsia" w:hAnsiTheme="minorEastAsia" w:cstheme="minorEastAsia"/>
          <w:sz w:val="28"/>
          <w:szCs w:val="28"/>
          <w:highlight w:val="none"/>
          <w:lang w:val="en-US" w:eastAsia="zh-CN"/>
        </w:rPr>
        <w:t>80.4</w:t>
      </w:r>
      <w:r>
        <w:rPr>
          <w:rFonts w:hint="eastAsia" w:asciiTheme="minorEastAsia" w:hAnsiTheme="minorEastAsia" w:eastAsiaTheme="minorEastAsia" w:cstheme="minorEastAsia"/>
          <w:sz w:val="28"/>
          <w:szCs w:val="28"/>
          <w:highlight w:val="none"/>
        </w:rPr>
        <w:t>%。</w:t>
      </w:r>
    </w:p>
    <w:p>
      <w:pPr>
        <w:keepNext w:val="0"/>
        <w:keepLines w:val="0"/>
        <w:pageBreakBefore w:val="0"/>
        <w:widowControl/>
        <w:shd w:val="clear" w:color="auto" w:fill="FFFFFF"/>
        <w:kinsoku/>
        <w:wordWrap/>
        <w:overflowPunct/>
        <w:topLinePunct w:val="0"/>
        <w:autoSpaceDE/>
        <w:autoSpaceDN/>
        <w:bidi w:val="0"/>
        <w:adjustRightInd/>
        <w:snapToGrid/>
        <w:ind w:firstLine="562" w:firstLineChars="200"/>
        <w:jc w:val="left"/>
        <w:textAlignment w:val="auto"/>
        <w:rPr>
          <w:rFonts w:hint="eastAsia" w:asciiTheme="minorEastAsia" w:hAnsiTheme="minorEastAsia" w:eastAsiaTheme="minorEastAsia" w:cstheme="minorEastAsia"/>
          <w:b/>
          <w:bCs/>
          <w:sz w:val="28"/>
          <w:szCs w:val="28"/>
          <w:highlight w:val="none"/>
        </w:rPr>
      </w:pPr>
      <w:r>
        <w:rPr>
          <w:rFonts w:hint="eastAsia" w:asciiTheme="minorEastAsia" w:hAnsiTheme="minorEastAsia" w:eastAsiaTheme="minorEastAsia" w:cstheme="minorEastAsia"/>
          <w:b/>
          <w:bCs/>
          <w:sz w:val="28"/>
          <w:szCs w:val="28"/>
          <w:highlight w:val="none"/>
        </w:rPr>
        <w:t>（五）关于国有资产占用情况说明</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firstLine="560" w:firstLineChars="200"/>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sz w:val="28"/>
          <w:szCs w:val="28"/>
          <w:highlight w:val="none"/>
        </w:rPr>
        <w:t>截至201</w:t>
      </w:r>
      <w:r>
        <w:rPr>
          <w:rFonts w:hint="eastAsia" w:asciiTheme="minorEastAsia" w:hAnsiTheme="minorEastAsia" w:cstheme="minorEastAsia"/>
          <w:sz w:val="28"/>
          <w:szCs w:val="28"/>
          <w:highlight w:val="none"/>
          <w:lang w:val="en-US" w:eastAsia="zh-CN"/>
        </w:rPr>
        <w:t>8</w:t>
      </w:r>
      <w:r>
        <w:rPr>
          <w:rFonts w:hint="eastAsia" w:asciiTheme="minorEastAsia" w:hAnsiTheme="minorEastAsia" w:eastAsiaTheme="minorEastAsia" w:cstheme="minorEastAsia"/>
          <w:sz w:val="28"/>
          <w:szCs w:val="28"/>
          <w:highlight w:val="none"/>
        </w:rPr>
        <w:t xml:space="preserve">年12月31日，本部门共有车辆0辆；单位价值50万元以上通用设备0台（套），单价100万元以上专用设备0台（套）。  </w:t>
      </w:r>
    </w:p>
    <w:p>
      <w:pPr>
        <w:numPr>
          <w:ilvl w:val="0"/>
          <w:numId w:val="1"/>
        </w:numPr>
        <w:spacing w:line="560" w:lineRule="exact"/>
        <w:ind w:firstLine="570" w:firstLineChars="200"/>
        <w:rPr>
          <w:rFonts w:hint="eastAsia" w:asciiTheme="minorEastAsia" w:hAnsiTheme="minorEastAsia" w:eastAsiaTheme="minorEastAsia" w:cstheme="minorEastAsia"/>
          <w:b/>
          <w:bCs/>
          <w:color w:val="000000"/>
          <w:spacing w:val="2"/>
          <w:sz w:val="28"/>
          <w:szCs w:val="28"/>
          <w:lang w:val="en-US" w:eastAsia="zh-CN"/>
        </w:rPr>
      </w:pPr>
      <w:r>
        <w:rPr>
          <w:rFonts w:hint="eastAsia" w:asciiTheme="minorEastAsia" w:hAnsiTheme="minorEastAsia" w:eastAsiaTheme="minorEastAsia" w:cstheme="minorEastAsia"/>
          <w:b/>
          <w:bCs/>
          <w:color w:val="000000"/>
          <w:spacing w:val="2"/>
          <w:sz w:val="28"/>
          <w:szCs w:val="28"/>
          <w:lang w:val="en-US" w:eastAsia="zh-CN"/>
        </w:rPr>
        <w:t>重点绩效评价结果等预算绩效情况说明</w:t>
      </w:r>
    </w:p>
    <w:p>
      <w:pPr>
        <w:pStyle w:val="5"/>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76" w:beforeAutospacing="0" w:after="76" w:afterAutospacing="0" w:line="450" w:lineRule="atLeast"/>
        <w:ind w:right="0" w:firstLine="568" w:firstLineChars="200"/>
        <w:textAlignment w:val="auto"/>
        <w:rPr>
          <w:rFonts w:hint="eastAsia" w:asciiTheme="minorEastAsia" w:hAnsiTheme="minorEastAsia" w:eastAsiaTheme="minorEastAsia" w:cstheme="minorEastAsia"/>
          <w:sz w:val="28"/>
          <w:szCs w:val="28"/>
          <w:highlight w:val="none"/>
        </w:rPr>
      </w:pPr>
      <w:r>
        <w:rPr>
          <w:rFonts w:hint="eastAsia" w:asciiTheme="minorEastAsia" w:hAnsiTheme="minorEastAsia" w:eastAsiaTheme="minorEastAsia" w:cstheme="minorEastAsia"/>
          <w:color w:val="000000"/>
          <w:spacing w:val="2"/>
          <w:sz w:val="28"/>
          <w:szCs w:val="28"/>
          <w:lang w:val="en-US" w:eastAsia="zh-CN"/>
        </w:rPr>
        <w:t>2018年， 根据预算绩效管理要求，我单位组织2018年度一般公共预算项目支出全面开展绩效自评，共涉及项目</w:t>
      </w:r>
      <w:r>
        <w:rPr>
          <w:rFonts w:hint="eastAsia" w:asciiTheme="minorEastAsia" w:hAnsiTheme="minorEastAsia" w:cstheme="minorEastAsia"/>
          <w:color w:val="000000"/>
          <w:spacing w:val="2"/>
          <w:sz w:val="28"/>
          <w:szCs w:val="28"/>
          <w:lang w:val="en-US" w:eastAsia="zh-CN"/>
        </w:rPr>
        <w:t>5</w:t>
      </w:r>
      <w:r>
        <w:rPr>
          <w:rFonts w:hint="eastAsia" w:asciiTheme="minorEastAsia" w:hAnsiTheme="minorEastAsia" w:eastAsiaTheme="minorEastAsia" w:cstheme="minorEastAsia"/>
          <w:color w:val="000000"/>
          <w:spacing w:val="2"/>
          <w:sz w:val="28"/>
          <w:szCs w:val="28"/>
          <w:lang w:val="en-US" w:eastAsia="zh-CN"/>
        </w:rPr>
        <w:t>个，资金</w:t>
      </w:r>
      <w:r>
        <w:rPr>
          <w:rFonts w:hint="eastAsia" w:asciiTheme="minorEastAsia" w:hAnsiTheme="minorEastAsia" w:cstheme="minorEastAsia"/>
          <w:color w:val="000000"/>
          <w:spacing w:val="2"/>
          <w:sz w:val="28"/>
          <w:szCs w:val="28"/>
          <w:lang w:val="en-US" w:eastAsia="zh-CN"/>
        </w:rPr>
        <w:t>38</w:t>
      </w:r>
      <w:r>
        <w:rPr>
          <w:rFonts w:hint="eastAsia" w:asciiTheme="minorEastAsia" w:hAnsiTheme="minorEastAsia" w:eastAsiaTheme="minorEastAsia" w:cstheme="minorEastAsia"/>
          <w:color w:val="000000"/>
          <w:spacing w:val="2"/>
          <w:sz w:val="28"/>
          <w:szCs w:val="28"/>
          <w:lang w:val="en-US" w:eastAsia="zh-CN"/>
        </w:rPr>
        <w:t>万元。 2018年项目资金投入</w:t>
      </w:r>
      <w:r>
        <w:rPr>
          <w:rFonts w:hint="eastAsia" w:asciiTheme="minorEastAsia" w:hAnsiTheme="minorEastAsia" w:cstheme="minorEastAsia"/>
          <w:color w:val="000000"/>
          <w:spacing w:val="2"/>
          <w:sz w:val="28"/>
          <w:szCs w:val="28"/>
          <w:lang w:val="en-US" w:eastAsia="zh-CN"/>
        </w:rPr>
        <w:t>38</w:t>
      </w:r>
      <w:r>
        <w:rPr>
          <w:rFonts w:hint="eastAsia" w:asciiTheme="minorEastAsia" w:hAnsiTheme="minorEastAsia" w:eastAsiaTheme="minorEastAsia" w:cstheme="minorEastAsia"/>
          <w:color w:val="000000"/>
          <w:spacing w:val="2"/>
          <w:sz w:val="28"/>
          <w:szCs w:val="28"/>
          <w:lang w:val="en-US" w:eastAsia="zh-CN"/>
        </w:rPr>
        <w:t>万元，已使用</w:t>
      </w:r>
      <w:r>
        <w:rPr>
          <w:rFonts w:hint="eastAsia" w:asciiTheme="minorEastAsia" w:hAnsiTheme="minorEastAsia" w:cstheme="minorEastAsia"/>
          <w:color w:val="000000"/>
          <w:spacing w:val="2"/>
          <w:sz w:val="28"/>
          <w:szCs w:val="28"/>
          <w:lang w:val="en-US" w:eastAsia="zh-CN"/>
        </w:rPr>
        <w:t>38</w:t>
      </w:r>
      <w:r>
        <w:rPr>
          <w:rFonts w:hint="eastAsia" w:asciiTheme="minorEastAsia" w:hAnsiTheme="minorEastAsia" w:eastAsiaTheme="minorEastAsia" w:cstheme="minorEastAsia"/>
          <w:color w:val="000000"/>
          <w:spacing w:val="2"/>
          <w:sz w:val="28"/>
          <w:szCs w:val="28"/>
          <w:lang w:val="en-US" w:eastAsia="zh-CN"/>
        </w:rPr>
        <w:t>万元，使用率100%。使用从评价结果看，项目立项程序完整、规范，预算执行及时、有效，绩效目标得到较好实现，绩效管理水平不断提高，绩效指标体系建设逐渐丰富和完善。</w:t>
      </w:r>
      <w:bookmarkStart w:id="0" w:name="_GoBack"/>
      <w:bookmarkEnd w:id="0"/>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b/>
          <w:bCs w:val="0"/>
          <w:color w:val="333333"/>
          <w:sz w:val="24"/>
          <w:szCs w:val="24"/>
        </w:rPr>
      </w:pPr>
      <w:r>
        <w:rPr>
          <w:rStyle w:val="7"/>
          <w:rFonts w:hint="eastAsia" w:ascii="微软雅黑" w:hAnsi="微软雅黑" w:eastAsia="微软雅黑" w:cs="微软雅黑"/>
          <w:b/>
          <w:bCs w:val="0"/>
          <w:i w:val="0"/>
          <w:caps w:val="0"/>
          <w:color w:val="333333"/>
          <w:spacing w:val="0"/>
          <w:sz w:val="24"/>
          <w:szCs w:val="24"/>
          <w:shd w:val="clear" w:fill="FFFFFF"/>
        </w:rPr>
        <w:t>第四部分</w:t>
      </w:r>
      <w:r>
        <w:rPr>
          <w:rStyle w:val="7"/>
          <w:rFonts w:hint="eastAsia" w:ascii="微软雅黑" w:hAnsi="微软雅黑" w:eastAsia="微软雅黑" w:cs="微软雅黑"/>
          <w:b/>
          <w:bCs w:val="0"/>
          <w:i w:val="0"/>
          <w:caps w:val="0"/>
          <w:color w:val="333333"/>
          <w:spacing w:val="0"/>
          <w:sz w:val="24"/>
          <w:szCs w:val="24"/>
          <w:shd w:val="clear" w:fill="FFFFFF"/>
          <w:lang w:val="en-US" w:eastAsia="zh-CN"/>
        </w:rPr>
        <w:t xml:space="preserve"> </w:t>
      </w:r>
      <w:r>
        <w:rPr>
          <w:rStyle w:val="7"/>
          <w:rFonts w:hint="eastAsia" w:ascii="微软雅黑" w:hAnsi="微软雅黑" w:eastAsia="微软雅黑" w:cs="微软雅黑"/>
          <w:b/>
          <w:bCs w:val="0"/>
          <w:i w:val="0"/>
          <w:caps w:val="0"/>
          <w:color w:val="333333"/>
          <w:spacing w:val="0"/>
          <w:sz w:val="24"/>
          <w:szCs w:val="24"/>
          <w:shd w:val="clear" w:fill="FFFFFF"/>
        </w:rPr>
        <w:t>名词解释</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一、财政补助收入：指县级财政当年拨付的资金。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二、其他收入：指除“财政拨款收入”、“上级补助收入”、“事业收入”、“经营收入”等以外的收入。主要是存款利息收入等。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三、年初结转和结余：指以前年度尚未完成、结转到本年按有关规定继续使用的资金。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四、一般公共服务（类）行政运行（项）：指县行政单位及参照公务员管理事业单位用于保障机构正常运行、开展日常工作的基本支出。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五、一般公共服务（类）一般行政管理事务（项）：指县行政单位及参照公务员管理事业单位用于开展立法调研、财政信息宣传、非税收入征管等未单独设置项级科目的专门性财政管理工作的项目支出。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六、一般公共服务（类）机关服务（项）：指县</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服务中心为机关提供办公楼日常维修、维护等后勤保障服务的支出。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七、一般公共服务（类）其他一般公共服务支出（款）其他一般公共服务支出（项）：指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用于其他一般公共服务方面的支出。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八、教育（类）普通教育（款）高等教育（项）：指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厅支持地方高校的重点发展和特色办学，组织专家对省属院校申报的建设规划和项目预算进行评审等相关工作的支出。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九、社会保障和就业(类)行政事业单位离退休（款）归口管理的行政单位离退休（项）：指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用于离退休人员的支出、退休人员支出，以及提供管理服务工作的离退休干部处的支出。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十、社会保障和就业(类)行政事业单位离退休（款）其他行政事业单位离退休支出（项）：指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用于离退休方面的其他支出。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十一、医疗卫生与计划生育（类）医疗保障（款）行政单位医疗（项）：指</w:t>
      </w:r>
      <w:r>
        <w:rPr>
          <w:rFonts w:hint="eastAsia" w:asciiTheme="minorEastAsia" w:hAnsiTheme="minorEastAsia" w:eastAsiaTheme="minorEastAsia" w:cstheme="minorEastAsia"/>
          <w:b w:val="0"/>
          <w:i w:val="0"/>
          <w:caps w:val="0"/>
          <w:color w:val="333333"/>
          <w:spacing w:val="0"/>
          <w:sz w:val="28"/>
          <w:szCs w:val="28"/>
          <w:shd w:val="clear" w:fill="FFFFFF"/>
          <w:lang w:eastAsia="zh-CN"/>
        </w:rPr>
        <w:t>黄石港区财政局</w:t>
      </w:r>
      <w:r>
        <w:rPr>
          <w:rFonts w:hint="eastAsia" w:asciiTheme="minorEastAsia" w:hAnsiTheme="minorEastAsia" w:eastAsiaTheme="minorEastAsia" w:cstheme="minorEastAsia"/>
          <w:b w:val="0"/>
          <w:i w:val="0"/>
          <w:caps w:val="0"/>
          <w:color w:val="333333"/>
          <w:spacing w:val="0"/>
          <w:sz w:val="28"/>
          <w:szCs w:val="28"/>
          <w:shd w:val="clear" w:fill="FFFFFF"/>
        </w:rPr>
        <w:t>用于机关干部职工及离退休人员医疗方面的支出。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十二、住房保障（类）住房改革支出（款）购房补贴（项）：指按照相关住房分配货币化改革的政策规定和标准，对无房和住房未达标职工发放的住房分配货币化补贴资金。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十三、年末结转和结余：指本年度或以前年度预算安排、因客观条件发生变化无法按原计划实施，需要延迟到以后年度按有关规定继续使用的资金。</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十四、基本支出：指为保障机构正常运转、完成日常工作任务而发生的人员支出（包括基本工资、津贴补贴等）和公用支出（包括办公费、水电费、邮电费、交通费、差旅费等）。</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十五、项目支出：指在基本支出之外为完成特定行政任务和事业发展目标所发生的支出。</w:t>
      </w:r>
    </w:p>
    <w:p>
      <w:pPr>
        <w:pStyle w:val="5"/>
        <w:keepNext w:val="0"/>
        <w:keepLines w:val="0"/>
        <w:widowControl/>
        <w:suppressLineNumbers w:val="0"/>
        <w:pBdr>
          <w:top w:val="none" w:color="auto" w:sz="0" w:space="0"/>
          <w:left w:val="none" w:color="auto" w:sz="0" w:space="0"/>
          <w:bottom w:val="none" w:color="auto" w:sz="0" w:space="0"/>
          <w:right w:val="none" w:color="auto" w:sz="0" w:space="0"/>
        </w:pBdr>
        <w:spacing w:before="76" w:beforeAutospacing="0" w:after="76" w:afterAutospacing="0" w:line="450" w:lineRule="atLeast"/>
        <w:ind w:left="0" w:right="0" w:firstLine="420"/>
        <w:rPr>
          <w:rFonts w:hint="eastAsia" w:asciiTheme="minorEastAsia" w:hAnsiTheme="minorEastAsia" w:eastAsiaTheme="minorEastAsia" w:cstheme="minorEastAsia"/>
          <w:color w:val="333333"/>
          <w:sz w:val="28"/>
          <w:szCs w:val="28"/>
        </w:rPr>
      </w:pPr>
      <w:r>
        <w:rPr>
          <w:rFonts w:hint="eastAsia" w:asciiTheme="minorEastAsia" w:hAnsiTheme="minorEastAsia" w:eastAsiaTheme="minorEastAsia" w:cstheme="minorEastAsia"/>
          <w:b w:val="0"/>
          <w:i w:val="0"/>
          <w:caps w:val="0"/>
          <w:color w:val="333333"/>
          <w:spacing w:val="0"/>
          <w:sz w:val="28"/>
          <w:szCs w:val="28"/>
          <w:shd w:val="clear" w:fill="FFFFFF"/>
        </w:rPr>
        <w:t>十六、“三公”经费：是指用财政拨款安排的因公出国（境）费、公务用车购置及运行维护费、公务接待费。</w:t>
      </w: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80F3C52" w:usb2="00000016" w:usb3="00000000" w:csb0="0004001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50BF25D2"/>
    <w:multiLevelType w:val="singleLevel"/>
    <w:tmpl w:val="50BF25D2"/>
    <w:lvl w:ilvl="0" w:tentative="0">
      <w:start w:val="6"/>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01F11294"/>
    <w:rsid w:val="038A57D5"/>
    <w:rsid w:val="044B180B"/>
    <w:rsid w:val="056E70BD"/>
    <w:rsid w:val="0664587B"/>
    <w:rsid w:val="09FF39B4"/>
    <w:rsid w:val="10157CA5"/>
    <w:rsid w:val="11411182"/>
    <w:rsid w:val="12EE0768"/>
    <w:rsid w:val="16826C57"/>
    <w:rsid w:val="191D03E7"/>
    <w:rsid w:val="19F24332"/>
    <w:rsid w:val="1A702333"/>
    <w:rsid w:val="1E063A2D"/>
    <w:rsid w:val="219E41B4"/>
    <w:rsid w:val="255E033E"/>
    <w:rsid w:val="27390172"/>
    <w:rsid w:val="293B6902"/>
    <w:rsid w:val="2BED0FE4"/>
    <w:rsid w:val="2CCE2491"/>
    <w:rsid w:val="2E496401"/>
    <w:rsid w:val="2F081AB6"/>
    <w:rsid w:val="3B935A5F"/>
    <w:rsid w:val="3D337955"/>
    <w:rsid w:val="3D366BAE"/>
    <w:rsid w:val="3F5952B8"/>
    <w:rsid w:val="401A2F36"/>
    <w:rsid w:val="418A46BC"/>
    <w:rsid w:val="44D54FC8"/>
    <w:rsid w:val="457D21A1"/>
    <w:rsid w:val="507C1CF5"/>
    <w:rsid w:val="550C1FA0"/>
    <w:rsid w:val="582340D0"/>
    <w:rsid w:val="59FB0758"/>
    <w:rsid w:val="5D0D1345"/>
    <w:rsid w:val="60A347AD"/>
    <w:rsid w:val="621B3808"/>
    <w:rsid w:val="67E4782B"/>
    <w:rsid w:val="689B036E"/>
    <w:rsid w:val="6AF23989"/>
    <w:rsid w:val="6F83175C"/>
    <w:rsid w:val="73A866D0"/>
    <w:rsid w:val="74030035"/>
    <w:rsid w:val="746766E2"/>
    <w:rsid w:val="74EA7B66"/>
    <w:rsid w:val="765C7B2C"/>
    <w:rsid w:val="76D46587"/>
    <w:rsid w:val="78186405"/>
    <w:rsid w:val="7ADF3EDB"/>
    <w:rsid w:val="7E4F53BE"/>
    <w:rsid w:val="7FEA13A1"/>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5"/>
    <w:basedOn w:val="1"/>
    <w:next w:val="1"/>
    <w:semiHidden/>
    <w:unhideWhenUsed/>
    <w:qFormat/>
    <w:uiPriority w:val="0"/>
    <w:pPr>
      <w:spacing w:before="0" w:beforeAutospacing="1" w:after="0" w:afterAutospacing="1"/>
      <w:jc w:val="left"/>
    </w:pPr>
    <w:rPr>
      <w:rFonts w:hint="eastAsia" w:ascii="宋体" w:hAnsi="宋体" w:eastAsia="宋体" w:cs="宋体"/>
      <w:b/>
      <w:kern w:val="0"/>
      <w:sz w:val="20"/>
      <w:szCs w:val="20"/>
      <w:lang w:val="en-US" w:eastAsia="zh-CN" w:bidi="ar"/>
    </w:rPr>
  </w:style>
  <w:style w:type="character" w:default="1" w:styleId="6">
    <w:name w:val="Default Paragraph Font"/>
    <w:semiHidden/>
    <w:qFormat/>
    <w:uiPriority w:val="0"/>
  </w:style>
  <w:style w:type="table" w:default="1" w:styleId="8">
    <w:name w:val="Normal Table"/>
    <w:semiHidden/>
    <w:qFormat/>
    <w:uiPriority w:val="0"/>
    <w:tblPr>
      <w:tblLayout w:type="fixed"/>
      <w:tblCellMar>
        <w:top w:w="0" w:type="dxa"/>
        <w:left w:w="108" w:type="dxa"/>
        <w:bottom w:w="0" w:type="dxa"/>
        <w:right w:w="108" w:type="dxa"/>
      </w:tblCellMar>
    </w:tblPr>
  </w:style>
  <w:style w:type="paragraph" w:styleId="3">
    <w:name w:val="Body Text Indent"/>
    <w:basedOn w:val="1"/>
    <w:qFormat/>
    <w:uiPriority w:val="0"/>
    <w:pPr>
      <w:spacing w:line="500" w:lineRule="exact"/>
      <w:ind w:firstLine="640" w:firstLineChars="200"/>
    </w:pPr>
    <w:rPr>
      <w:rFonts w:ascii="宋体"/>
      <w:sz w:val="32"/>
    </w:rPr>
  </w:style>
  <w:style w:type="paragraph" w:styleId="4">
    <w:name w:val="Plain Text"/>
    <w:basedOn w:val="1"/>
    <w:qFormat/>
    <w:uiPriority w:val="0"/>
    <w:rPr>
      <w:rFonts w:ascii="宋体" w:hAnsi="Courier New" w:cs="Courier New"/>
      <w:szCs w:val="21"/>
    </w:rPr>
  </w:style>
  <w:style w:type="paragraph" w:styleId="5">
    <w:name w:val="Normal (Web)"/>
    <w:basedOn w:val="1"/>
    <w:qFormat/>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 w:type="paragraph" w:customStyle="1" w:styleId="9">
    <w:name w:val="正文缩进 + 首行缩进:  2 字符"/>
    <w:basedOn w:val="1"/>
    <w:qFormat/>
    <w:uiPriority w:val="0"/>
    <w:pPr>
      <w:spacing w:line="560" w:lineRule="exact"/>
      <w:ind w:firstLine="640"/>
    </w:pPr>
    <w:rPr>
      <w:rFonts w:ascii="仿宋" w:hAnsi="仿宋" w:cs="宋体"/>
      <w:sz w:val="32"/>
      <w:szCs w:val="32"/>
    </w:rPr>
  </w:style>
  <w:style w:type="character" w:customStyle="1" w:styleId="10">
    <w:name w:val="ca-2"/>
    <w:basedOn w:val="6"/>
    <w:qFormat/>
    <w:uiPriority w:val="0"/>
  </w:style>
  <w:style w:type="paragraph" w:customStyle="1" w:styleId="11">
    <w:name w:val="Normal (Web)"/>
    <w:basedOn w:val="1"/>
    <w:qFormat/>
    <w:uiPriority w:val="0"/>
    <w:pPr>
      <w:widowControl/>
      <w:spacing w:before="100" w:beforeAutospacing="1" w:after="100" w:afterAutospacing="1"/>
      <w:jc w:val="left"/>
    </w:pPr>
    <w:rPr>
      <w:rFonts w:ascii="宋体" w:hAnsi="宋体" w:cs="宋体"/>
      <w:kern w:val="0"/>
      <w:sz w:val="24"/>
    </w:rPr>
  </w:style>
  <w:style w:type="character" w:customStyle="1" w:styleId="12">
    <w:name w:val="ca-3"/>
    <w:basedOn w:val="6"/>
    <w:qFormat/>
    <w:uiPriority w:val="0"/>
  </w:style>
</w:styles>
</file>

<file path=word/_rels/document.xml.rels><?xml version="1.0" encoding="UTF-8" standalone="yes"?>
<Relationships xmlns="http://schemas.openxmlformats.org/package/2006/relationships"><Relationship Id="rId9" Type="http://schemas.openxmlformats.org/officeDocument/2006/relationships/image" Target="media/image6.png"/><Relationship Id="rId8" Type="http://schemas.openxmlformats.org/officeDocument/2006/relationships/image" Target="media/image5.png"/><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8.png"/><Relationship Id="rId10" Type="http://schemas.openxmlformats.org/officeDocument/2006/relationships/image" Target="media/image7.png"/><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Office_11.8.2.8053_F1E327BC-269C-435d-A152-05C5408002CA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gg</dc:creator>
  <cp:lastModifiedBy>Administrator</cp:lastModifiedBy>
  <dcterms:modified xsi:type="dcterms:W3CDTF">2021-05-26T02:18:32Z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2052-11.8.2.8053</vt:lpwstr>
  </property>
</Properties>
</file>