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财政局</w:t>
      </w:r>
      <w:r>
        <w:rPr>
          <w:rFonts w:hint="eastAsia" w:ascii="微软雅黑" w:hAnsi="微软雅黑" w:eastAsia="微软雅黑" w:cs="微软雅黑"/>
          <w:b/>
          <w:i w:val="0"/>
          <w:caps w:val="0"/>
          <w:color w:val="BC1010"/>
          <w:spacing w:val="0"/>
          <w:sz w:val="40"/>
          <w:szCs w:val="40"/>
          <w:shd w:val="clear" w:fill="FFFFFF"/>
          <w:lang w:val="en-US" w:eastAsia="zh-CN"/>
        </w:rPr>
        <w:t>2021</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黄石港区财政局</w:t>
      </w:r>
      <w:r>
        <w:rPr>
          <w:rStyle w:val="8"/>
          <w:rFonts w:hint="eastAsia" w:ascii="微软雅黑" w:hAnsi="微软雅黑" w:eastAsia="微软雅黑" w:cs="微软雅黑"/>
          <w:i w:val="0"/>
          <w:caps w:val="0"/>
          <w:color w:val="333333"/>
          <w:spacing w:val="0"/>
          <w:sz w:val="24"/>
          <w:szCs w:val="24"/>
          <w:shd w:val="clear" w:fill="FFFFFF"/>
          <w:lang w:val="en-US" w:eastAsia="zh-CN"/>
        </w:rPr>
        <w:t>2021</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val="en-US" w:eastAsia="zh-CN"/>
        </w:rPr>
        <w:t>2021</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val="en-US" w:eastAsia="zh-CN"/>
        </w:rPr>
        <w:t>2021</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val="en-US" w:eastAsia="zh-CN"/>
        </w:rPr>
        <w:t>2021</w:t>
      </w:r>
      <w:r>
        <w:rPr>
          <w:rStyle w:val="8"/>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rPr>
        <w:t>黄石港区财政局主要负责</w:t>
      </w:r>
      <w:r>
        <w:rPr>
          <w:rFonts w:hint="eastAsia" w:asciiTheme="minorEastAsia" w:hAnsiTheme="minorEastAsia" w:eastAsiaTheme="minorEastAsia" w:cstheme="minorEastAsia"/>
          <w:color w:val="333333"/>
          <w:kern w:val="0"/>
          <w:sz w:val="28"/>
          <w:szCs w:val="28"/>
          <w:lang w:eastAsia="zh-CN"/>
        </w:rPr>
        <w:t>改革完善预算和税政管理；围绕推进基本公共服务均等化和主体功能区建设，完善公共财政体系；受政府委托加强政府投资融资平台的监督管理；拟定和执行全区财政、税收的发展战略、中长期规划及改革方案；拟定和执行全区财政、财务、会计管理制度并指导监督执行；承担区级各项财政收支管理的责任；负责政府非税收入管理，负责政府性基金管理；组织制定国库管理制度、国库集中收付制度，按规定开展国库现金管理工作；按规定管理区属行政企事业单位国有资产；负责管理和监督区级财政的各项支出；负责区级社会保障资金财政专户的管理；负责管理全区的会计工作；监督检查财税法律法规、政策的执行情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（二</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highlight w:val="none"/>
        </w:rPr>
        <w:t>单位基本信息(机构设置等</w:t>
      </w:r>
      <w:r>
        <w:rPr>
          <w:rFonts w:hint="eastAsia" w:asciiTheme="minorEastAsia" w:hAnsiTheme="minorEastAsia" w:eastAsiaTheme="minorEastAsia" w:cstheme="minorEastAsia"/>
          <w:color w:val="333333"/>
          <w:kern w:val="0"/>
          <w:sz w:val="28"/>
          <w:szCs w:val="28"/>
          <w:highlight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我局下设一局八科室一办一中心，即：国资局、综合科、国库预算科、行政教科文科、社会保障科、非税征管科、财政监督科、农业经建科、企业商贸科、政府采购办、国库集中收付中心。目前，全局共</w:t>
      </w:r>
      <w:r>
        <w:rPr>
          <w:rFonts w:hint="eastAsia" w:asciiTheme="minorEastAsia" w:hAnsiTheme="minorEastAsia" w:eastAsiaTheme="minorEastAsia" w:cstheme="minorEastAsia"/>
          <w:color w:val="333333"/>
          <w:kern w:val="0"/>
          <w:sz w:val="28"/>
          <w:szCs w:val="28"/>
          <w:highlight w:val="none"/>
          <w:lang w:val="en-US" w:eastAsia="zh-CN" w:bidi="ar-SA"/>
        </w:rPr>
        <w:t>计2</w:t>
      </w:r>
      <w:r>
        <w:rPr>
          <w:rFonts w:hint="eastAsia" w:asciiTheme="minorEastAsia" w:hAnsiTheme="minorEastAsia" w:cstheme="minorEastAsia"/>
          <w:color w:val="333333"/>
          <w:kern w:val="0"/>
          <w:sz w:val="28"/>
          <w:szCs w:val="28"/>
          <w:highlight w:val="none"/>
          <w:lang w:val="en-US" w:eastAsia="zh-CN" w:bidi="ar-SA"/>
        </w:rPr>
        <w:t>4</w:t>
      </w:r>
      <w:r>
        <w:rPr>
          <w:rFonts w:hint="eastAsia" w:asciiTheme="minorEastAsia" w:hAnsiTheme="minorEastAsia" w:eastAsiaTheme="minorEastAsia" w:cstheme="minorEastAsia"/>
          <w:color w:val="333333"/>
          <w:kern w:val="0"/>
          <w:sz w:val="28"/>
          <w:szCs w:val="28"/>
          <w:highlight w:val="none"/>
          <w:lang w:val="en-US" w:eastAsia="zh-CN" w:bidi="ar-SA"/>
        </w:rPr>
        <w:t>人。</w:t>
      </w:r>
      <w:r>
        <w:rPr>
          <w:rFonts w:hint="eastAsia" w:asciiTheme="minorEastAsia" w:hAnsiTheme="minorEastAsia" w:eastAsiaTheme="minorEastAsia" w:cstheme="minorEastAsia"/>
          <w:color w:val="333333"/>
          <w:kern w:val="0"/>
          <w:sz w:val="28"/>
          <w:szCs w:val="28"/>
          <w:lang w:val="en-US" w:eastAsia="zh-CN" w:bidi="ar-SA"/>
        </w:rPr>
        <w:t>其中，在职在编1</w:t>
      </w:r>
      <w:r>
        <w:rPr>
          <w:rFonts w:hint="eastAsia" w:asciiTheme="minorEastAsia" w:hAnsiTheme="minorEastAsia" w:cstheme="minorEastAsia"/>
          <w:color w:val="333333"/>
          <w:kern w:val="0"/>
          <w:sz w:val="28"/>
          <w:szCs w:val="28"/>
          <w:lang w:val="en-US" w:eastAsia="zh-CN" w:bidi="ar-SA"/>
        </w:rPr>
        <w:t>3</w:t>
      </w:r>
      <w:r>
        <w:rPr>
          <w:rFonts w:hint="eastAsia" w:asciiTheme="minorEastAsia" w:hAnsiTheme="minorEastAsia" w:eastAsiaTheme="minorEastAsia" w:cstheme="minorEastAsia"/>
          <w:color w:val="333333"/>
          <w:kern w:val="0"/>
          <w:sz w:val="28"/>
          <w:szCs w:val="28"/>
          <w:lang w:val="en-US" w:eastAsia="zh-CN" w:bidi="ar-SA"/>
        </w:rPr>
        <w:t>人(含区内编2人)</w:t>
      </w:r>
      <w:r>
        <w:rPr>
          <w:rFonts w:hint="eastAsia" w:asciiTheme="minorEastAsia" w:hAnsiTheme="minorEastAsia" w:cstheme="minorEastAsia"/>
          <w:color w:val="333333"/>
          <w:kern w:val="0"/>
          <w:sz w:val="28"/>
          <w:szCs w:val="28"/>
          <w:lang w:val="en-US" w:eastAsia="zh-CN" w:bidi="ar-SA"/>
        </w:rPr>
        <w:t>；</w:t>
      </w:r>
      <w:r>
        <w:rPr>
          <w:rFonts w:hint="eastAsia" w:asciiTheme="minorEastAsia" w:hAnsiTheme="minorEastAsia" w:eastAsiaTheme="minorEastAsia" w:cstheme="minorEastAsia"/>
          <w:color w:val="333333"/>
          <w:kern w:val="0"/>
          <w:sz w:val="28"/>
          <w:szCs w:val="28"/>
          <w:lang w:val="en-US" w:eastAsia="zh-CN" w:bidi="ar-SA"/>
        </w:rPr>
        <w:t>其他工作人员11人(其中政府雇员2人、外聘9人)。在职人员中，硕士及研究生</w:t>
      </w:r>
      <w:r>
        <w:rPr>
          <w:rFonts w:hint="eastAsia" w:asciiTheme="minorEastAsia" w:hAnsiTheme="minorEastAsia" w:cstheme="minorEastAsia"/>
          <w:color w:val="333333"/>
          <w:kern w:val="0"/>
          <w:sz w:val="28"/>
          <w:szCs w:val="28"/>
          <w:lang w:val="en-US" w:eastAsia="zh-CN" w:bidi="ar-SA"/>
        </w:rPr>
        <w:t>1</w:t>
      </w:r>
      <w:r>
        <w:rPr>
          <w:rFonts w:hint="eastAsia" w:asciiTheme="minorEastAsia" w:hAnsiTheme="minorEastAsia" w:eastAsiaTheme="minorEastAsia" w:cstheme="minorEastAsia"/>
          <w:color w:val="333333"/>
          <w:kern w:val="0"/>
          <w:sz w:val="28"/>
          <w:szCs w:val="28"/>
          <w:lang w:val="en-US" w:eastAsia="zh-CN" w:bidi="ar-SA"/>
        </w:rPr>
        <w:t>人、大学本科及专科12人。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第二部分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部门2021</w:t>
      </w:r>
      <w:r>
        <w:rPr>
          <w:rStyle w:val="8"/>
          <w:rFonts w:hint="eastAsia" w:ascii="微软雅黑" w:hAnsi="微软雅黑" w:eastAsia="微软雅黑" w:cs="微软雅黑"/>
          <w:i w:val="0"/>
          <w:caps w:val="0"/>
          <w:color w:val="333333"/>
          <w:spacing w:val="0"/>
          <w:sz w:val="24"/>
          <w:szCs w:val="24"/>
          <w:shd w:val="clear" w:fill="FFFFFF"/>
        </w:rPr>
        <w:t>年部门决算表</w:t>
      </w:r>
    </w:p>
    <w:tbl>
      <w:tblPr>
        <w:tblStyle w:val="6"/>
        <w:tblW w:w="14044" w:type="dxa"/>
        <w:tblInd w:w="0" w:type="dxa"/>
        <w:shd w:val="clear" w:color="auto" w:fill="auto"/>
        <w:tblLayout w:type="fixed"/>
        <w:tblCellMar>
          <w:top w:w="0" w:type="dxa"/>
          <w:left w:w="0" w:type="dxa"/>
          <w:bottom w:w="0" w:type="dxa"/>
          <w:right w:w="0" w:type="dxa"/>
        </w:tblCellMar>
      </w:tblPr>
      <w:tblGrid>
        <w:gridCol w:w="4657"/>
        <w:gridCol w:w="620"/>
        <w:gridCol w:w="1514"/>
        <w:gridCol w:w="4369"/>
        <w:gridCol w:w="620"/>
        <w:gridCol w:w="2264"/>
      </w:tblGrid>
      <w:tr>
        <w:tblPrEx>
          <w:shd w:val="clear" w:color="auto" w:fill="auto"/>
          <w:tblCellMar>
            <w:top w:w="0" w:type="dxa"/>
            <w:left w:w="0" w:type="dxa"/>
            <w:bottom w:w="0" w:type="dxa"/>
            <w:right w:w="0" w:type="dxa"/>
          </w:tblCellMar>
        </w:tblPrEx>
        <w:trPr>
          <w:trHeight w:val="375"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6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2021年度</w:t>
            </w:r>
          </w:p>
        </w:tc>
        <w:tc>
          <w:tcPr>
            <w:tcW w:w="43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90" w:hRule="atLeast"/>
        </w:trPr>
        <w:tc>
          <w:tcPr>
            <w:tcW w:w="679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253"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608.55</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609.97</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609.97</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609.97</w:t>
            </w:r>
          </w:p>
        </w:tc>
      </w:tr>
      <w:tr>
        <w:tblPrEx>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20"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609.97</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609.97</w:t>
            </w:r>
          </w:p>
        </w:tc>
      </w:tr>
      <w:tr>
        <w:tblPrEx>
          <w:shd w:val="clear" w:color="auto" w:fill="auto"/>
          <w:tblCellMar>
            <w:top w:w="0" w:type="dxa"/>
            <w:left w:w="0" w:type="dxa"/>
            <w:bottom w:w="0" w:type="dxa"/>
            <w:right w:w="0" w:type="dxa"/>
          </w:tblCellMar>
        </w:tblPrEx>
        <w:trPr>
          <w:trHeight w:val="300"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注：1.本表反映部门本年度的总收支和年末结转结余情况。</w:t>
            </w:r>
          </w:p>
        </w:tc>
      </w:tr>
      <w:tr>
        <w:tblPrEx>
          <w:shd w:val="clear" w:color="auto" w:fill="auto"/>
          <w:tblCellMar>
            <w:top w:w="0" w:type="dxa"/>
            <w:left w:w="0" w:type="dxa"/>
            <w:bottom w:w="0" w:type="dxa"/>
            <w:right w:w="0" w:type="dxa"/>
          </w:tblCellMar>
        </w:tblPrEx>
        <w:trPr>
          <w:trHeight w:val="300"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 xml:space="preserve">  </w:t>
            </w:r>
            <w:r>
              <w:rPr>
                <w:rFonts w:hint="eastAsia" w:ascii="宋体" w:hAnsi="宋体" w:eastAsia="宋体" w:cs="宋体"/>
                <w:i w:val="0"/>
                <w:color w:val="000000"/>
                <w:kern w:val="0"/>
                <w:sz w:val="20"/>
                <w:szCs w:val="20"/>
                <w:u w:val="none"/>
                <w:lang w:val="en-US" w:eastAsia="zh-CN" w:bidi="ar"/>
              </w:rPr>
              <w:t xml:space="preserve">  2.本套报表金额单位转换时可能存在尾数误差。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6"/>
        <w:tblW w:w="12784" w:type="dxa"/>
        <w:tblInd w:w="0" w:type="dxa"/>
        <w:shd w:val="clear" w:color="auto" w:fill="auto"/>
        <w:tblLayout w:type="fixed"/>
        <w:tblCellMar>
          <w:top w:w="0" w:type="dxa"/>
          <w:left w:w="0" w:type="dxa"/>
          <w:bottom w:w="0" w:type="dxa"/>
          <w:right w:w="0" w:type="dxa"/>
        </w:tblCellMar>
      </w:tblPr>
      <w:tblGrid>
        <w:gridCol w:w="1205"/>
        <w:gridCol w:w="2297"/>
        <w:gridCol w:w="1235"/>
        <w:gridCol w:w="1466"/>
        <w:gridCol w:w="1094"/>
        <w:gridCol w:w="1094"/>
        <w:gridCol w:w="1094"/>
        <w:gridCol w:w="1094"/>
        <w:gridCol w:w="2205"/>
      </w:tblGrid>
      <w:tr>
        <w:tblPrEx>
          <w:tblCellMar>
            <w:top w:w="0" w:type="dxa"/>
            <w:left w:w="0" w:type="dxa"/>
            <w:bottom w:w="0" w:type="dxa"/>
            <w:right w:w="0" w:type="dxa"/>
          </w:tblCellMar>
        </w:tblPrEx>
        <w:trPr>
          <w:trHeight w:val="375" w:hRule="atLeast"/>
        </w:trPr>
        <w:tc>
          <w:tcPr>
            <w:tcW w:w="1278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shd w:val="clear" w:color="auto" w:fill="auto"/>
        </w:tblPrEx>
        <w:trPr>
          <w:trHeight w:val="300" w:hRule="atLeast"/>
        </w:trPr>
        <w:tc>
          <w:tcPr>
            <w:tcW w:w="3502" w:type="dxa"/>
            <w:gridSpan w:val="2"/>
            <w:vMerge w:val="restart"/>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2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shd w:val="clear" w:color="auto" w:fill="auto"/>
          <w:tblCellMar>
            <w:top w:w="0" w:type="dxa"/>
            <w:left w:w="0" w:type="dxa"/>
            <w:bottom w:w="0" w:type="dxa"/>
            <w:right w:w="0" w:type="dxa"/>
          </w:tblCellMar>
        </w:tblPrEx>
        <w:trPr>
          <w:trHeight w:val="300" w:hRule="atLeast"/>
        </w:trPr>
        <w:tc>
          <w:tcPr>
            <w:tcW w:w="3502" w:type="dxa"/>
            <w:gridSpan w:val="2"/>
            <w:vMerge w:val="continue"/>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350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6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2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shd w:val="clear" w:color="auto" w:fill="auto"/>
          <w:tblCellMar>
            <w:top w:w="0" w:type="dxa"/>
            <w:left w:w="0" w:type="dxa"/>
            <w:bottom w:w="0" w:type="dxa"/>
            <w:right w:w="0" w:type="dxa"/>
          </w:tblCellMar>
        </w:tblPrEx>
        <w:trPr>
          <w:trHeight w:val="300" w:hRule="atLeast"/>
        </w:trPr>
        <w:tc>
          <w:tcPr>
            <w:tcW w:w="120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29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20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20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rPr>
          <w:trHeight w:val="300" w:hRule="atLeast"/>
        </w:trPr>
        <w:tc>
          <w:tcPr>
            <w:tcW w:w="350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00" w:hRule="atLeast"/>
        </w:trPr>
        <w:tc>
          <w:tcPr>
            <w:tcW w:w="350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609.97</w:t>
            </w:r>
          </w:p>
        </w:tc>
        <w:tc>
          <w:tcPr>
            <w:tcW w:w="14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w:t>
            </w:r>
          </w:p>
        </w:tc>
      </w:tr>
      <w:tr>
        <w:tblPrEx>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2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609.97</w:t>
            </w:r>
          </w:p>
        </w:tc>
        <w:tc>
          <w:tcPr>
            <w:tcW w:w="14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rPr>
              <w:t>1.42</w:t>
            </w:r>
          </w:p>
        </w:tc>
      </w:tr>
      <w:tr>
        <w:tblPrEx>
          <w:shd w:val="clear" w:color="auto" w:fill="auto"/>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22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12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609.97</w:t>
            </w:r>
          </w:p>
        </w:tc>
        <w:tc>
          <w:tcPr>
            <w:tcW w:w="14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rPr>
              <w:t>1.42</w:t>
            </w:r>
          </w:p>
        </w:tc>
      </w:tr>
      <w:tr>
        <w:tblPrEx>
          <w:shd w:val="clear" w:color="auto" w:fill="auto"/>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29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604.97</w:t>
            </w:r>
          </w:p>
        </w:tc>
        <w:tc>
          <w:tcPr>
            <w:tcW w:w="14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603.55</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1.42</w:t>
            </w:r>
          </w:p>
        </w:tc>
      </w:tr>
      <w:tr>
        <w:tblPrEx>
          <w:shd w:val="clear" w:color="auto" w:fill="auto"/>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2010605</w:t>
            </w:r>
          </w:p>
        </w:tc>
        <w:tc>
          <w:tcPr>
            <w:tcW w:w="229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财政国库业务</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4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278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6"/>
        <w:tblW w:w="13928" w:type="dxa"/>
        <w:tblInd w:w="0" w:type="dxa"/>
        <w:shd w:val="clear" w:color="auto" w:fill="auto"/>
        <w:tblLayout w:type="fixed"/>
        <w:tblCellMar>
          <w:top w:w="0" w:type="dxa"/>
          <w:left w:w="0" w:type="dxa"/>
          <w:bottom w:w="0" w:type="dxa"/>
          <w:right w:w="0" w:type="dxa"/>
        </w:tblCellMar>
      </w:tblPr>
      <w:tblGrid>
        <w:gridCol w:w="1298"/>
        <w:gridCol w:w="1342"/>
        <w:gridCol w:w="569"/>
        <w:gridCol w:w="439"/>
        <w:gridCol w:w="266"/>
        <w:gridCol w:w="1461"/>
        <w:gridCol w:w="1490"/>
        <w:gridCol w:w="199"/>
        <w:gridCol w:w="1349"/>
        <w:gridCol w:w="1230"/>
        <w:gridCol w:w="492"/>
        <w:gridCol w:w="813"/>
        <w:gridCol w:w="1380"/>
        <w:gridCol w:w="1405"/>
        <w:gridCol w:w="195"/>
      </w:tblGrid>
      <w:tr>
        <w:tblPrEx>
          <w:shd w:val="clear" w:color="auto" w:fill="auto"/>
          <w:tblCellMar>
            <w:top w:w="0" w:type="dxa"/>
            <w:left w:w="0" w:type="dxa"/>
            <w:bottom w:w="0" w:type="dxa"/>
            <w:right w:w="0" w:type="dxa"/>
          </w:tblCellMar>
        </w:tblPrEx>
        <w:trPr>
          <w:gridAfter w:val="1"/>
          <w:wAfter w:w="195" w:type="dxa"/>
          <w:trHeight w:val="375" w:hRule="atLeast"/>
        </w:trPr>
        <w:tc>
          <w:tcPr>
            <w:tcW w:w="13733" w:type="dxa"/>
            <w:gridSpan w:val="1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shd w:val="clear" w:color="auto" w:fill="auto"/>
          <w:tblCellMar>
            <w:top w:w="0" w:type="dxa"/>
            <w:left w:w="0" w:type="dxa"/>
            <w:bottom w:w="0" w:type="dxa"/>
            <w:right w:w="0" w:type="dxa"/>
          </w:tblCellMar>
        </w:tblPrEx>
        <w:trPr>
          <w:gridAfter w:val="1"/>
          <w:wAfter w:w="195" w:type="dxa"/>
          <w:trHeight w:val="300" w:hRule="atLeast"/>
        </w:trPr>
        <w:tc>
          <w:tcPr>
            <w:tcW w:w="3648" w:type="dxa"/>
            <w:gridSpan w:val="4"/>
            <w:vMerge w:val="restart"/>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72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8"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93"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shd w:val="clear" w:color="auto" w:fill="auto"/>
          <w:tblCellMar>
            <w:top w:w="0" w:type="dxa"/>
            <w:left w:w="0" w:type="dxa"/>
            <w:bottom w:w="0" w:type="dxa"/>
            <w:right w:w="0" w:type="dxa"/>
          </w:tblCellMar>
        </w:tblPrEx>
        <w:trPr>
          <w:gridAfter w:val="1"/>
          <w:wAfter w:w="195" w:type="dxa"/>
          <w:trHeight w:val="300" w:hRule="atLeast"/>
        </w:trPr>
        <w:tc>
          <w:tcPr>
            <w:tcW w:w="3648" w:type="dxa"/>
            <w:gridSpan w:val="4"/>
            <w:vMerge w:val="continue"/>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c>
          <w:tcPr>
            <w:tcW w:w="149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8"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9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gridAfter w:val="1"/>
          <w:wAfter w:w="195" w:type="dxa"/>
          <w:trHeight w:val="300" w:hRule="atLeast"/>
        </w:trPr>
        <w:tc>
          <w:tcPr>
            <w:tcW w:w="364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27"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778"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4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2193"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4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350" w:type="dxa"/>
            <w:gridSpan w:val="3"/>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2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8"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0" w:type="dxa"/>
            <w:gridSpan w:val="3"/>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8"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0" w:type="dxa"/>
            <w:gridSpan w:val="3"/>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8"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364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27"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78"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9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93"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gridAfter w:val="1"/>
          <w:wAfter w:w="195" w:type="dxa"/>
          <w:trHeight w:val="300" w:hRule="atLeast"/>
        </w:trPr>
        <w:tc>
          <w:tcPr>
            <w:tcW w:w="364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609.97</w:t>
            </w:r>
          </w:p>
        </w:tc>
        <w:tc>
          <w:tcPr>
            <w:tcW w:w="14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609.97</w:t>
            </w:r>
          </w:p>
        </w:tc>
        <w:tc>
          <w:tcPr>
            <w:tcW w:w="2778"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3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2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609.97</w:t>
            </w:r>
          </w:p>
        </w:tc>
        <w:tc>
          <w:tcPr>
            <w:tcW w:w="14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609.97</w:t>
            </w:r>
          </w:p>
        </w:tc>
        <w:tc>
          <w:tcPr>
            <w:tcW w:w="2778"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23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172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609.97</w:t>
            </w:r>
          </w:p>
        </w:tc>
        <w:tc>
          <w:tcPr>
            <w:tcW w:w="14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609.97</w:t>
            </w:r>
          </w:p>
        </w:tc>
        <w:tc>
          <w:tcPr>
            <w:tcW w:w="2778"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350" w:type="dxa"/>
            <w:gridSpan w:val="3"/>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2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604.97</w:t>
            </w:r>
          </w:p>
        </w:tc>
        <w:tc>
          <w:tcPr>
            <w:tcW w:w="14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604.97</w:t>
            </w:r>
          </w:p>
        </w:tc>
        <w:tc>
          <w:tcPr>
            <w:tcW w:w="2778"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2010605</w:t>
            </w:r>
          </w:p>
        </w:tc>
        <w:tc>
          <w:tcPr>
            <w:tcW w:w="2350" w:type="dxa"/>
            <w:gridSpan w:val="3"/>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财政国库业务</w:t>
            </w:r>
          </w:p>
        </w:tc>
        <w:tc>
          <w:tcPr>
            <w:tcW w:w="172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14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2778"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13733" w:type="dxa"/>
            <w:gridSpan w:val="14"/>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注：本表反映部门本年度各项支出情况。</w:t>
            </w:r>
          </w:p>
          <w:p>
            <w:pPr>
              <w:keepNext w:val="0"/>
              <w:keepLines w:val="0"/>
              <w:widowControl/>
              <w:suppressLineNumbers w:val="0"/>
              <w:jc w:val="left"/>
              <w:textAlignment w:val="center"/>
              <w:rPr>
                <w:rFonts w:hint="eastAsia" w:ascii="黑体" w:hAnsi="黑体" w:eastAsia="黑体" w:cs="黑体"/>
                <w:i w:val="0"/>
                <w:color w:val="000000"/>
                <w:kern w:val="0"/>
                <w:sz w:val="30"/>
                <w:szCs w:val="3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黑体" w:hAnsi="黑体" w:eastAsia="黑体" w:cs="黑体"/>
                <w:i w:val="0"/>
                <w:color w:val="000000"/>
                <w:kern w:val="0"/>
                <w:sz w:val="30"/>
                <w:szCs w:val="30"/>
                <w:u w:val="none"/>
                <w:lang w:val="en-US" w:eastAsia="zh-CN" w:bidi="ar"/>
              </w:rPr>
              <w:t xml:space="preserve">  财政拨款收入支出决算总表</w:t>
            </w:r>
          </w:p>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公开04表</w:t>
            </w:r>
          </w:p>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2"/>
                <w:szCs w:val="22"/>
                <w:u w:val="none"/>
                <w:lang w:val="en-US" w:eastAsia="zh-CN" w:bidi="ar"/>
              </w:rPr>
              <w:t>部门：黄石市黄石港区财政局</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2021年度</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gridAfter w:val="1"/>
          <w:wAfter w:w="195" w:type="dxa"/>
          <w:trHeight w:val="300" w:hRule="atLeast"/>
        </w:trPr>
        <w:tc>
          <w:tcPr>
            <w:tcW w:w="3914" w:type="dxa"/>
            <w:gridSpan w:val="5"/>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819" w:type="dxa"/>
            <w:gridSpan w:val="9"/>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gridAfter w:val="1"/>
          <w:wAfter w:w="195" w:type="dxa"/>
          <w:trHeight w:val="285" w:hRule="atLeast"/>
        </w:trPr>
        <w:tc>
          <w:tcPr>
            <w:tcW w:w="2640" w:type="dxa"/>
            <w:gridSpan w:val="2"/>
            <w:vMerge w:val="restart"/>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05" w:type="dxa"/>
            <w:gridSpan w:val="2"/>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50" w:type="dxa"/>
            <w:gridSpan w:val="3"/>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bottom"/>
          </w:tcPr>
          <w:p>
            <w:pPr>
              <w:keepNext w:val="0"/>
              <w:keepLines w:val="0"/>
              <w:widowControl/>
              <w:numPr>
                <w:ilvl w:val="0"/>
                <w:numId w:val="0"/>
              </w:numPr>
              <w:suppressLineNumbers w:val="0"/>
              <w:ind w:left="0" w:leftChars="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49"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30" w:type="dxa"/>
            <w:vMerge w:val="restart"/>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05" w:type="dxa"/>
            <w:gridSpan w:val="2"/>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8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40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shd w:val="clear" w:color="auto" w:fill="auto"/>
          <w:tblCellMar>
            <w:top w:w="0" w:type="dxa"/>
            <w:left w:w="0" w:type="dxa"/>
            <w:bottom w:w="0" w:type="dxa"/>
            <w:right w:w="0" w:type="dxa"/>
          </w:tblCellMar>
        </w:tblPrEx>
        <w:trPr>
          <w:gridAfter w:val="1"/>
          <w:wAfter w:w="195" w:type="dxa"/>
          <w:trHeight w:val="312" w:hRule="atLeast"/>
        </w:trPr>
        <w:tc>
          <w:tcPr>
            <w:tcW w:w="2640" w:type="dxa"/>
            <w:gridSpan w:val="2"/>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349"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gridSpan w:val="2"/>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50" w:type="dxa"/>
            <w:gridSpan w:val="3"/>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49"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05" w:type="dxa"/>
            <w:gridSpan w:val="2"/>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8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5"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608.55</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95" w:type="dxa"/>
          <w:trHeight w:val="300" w:hRule="atLeast"/>
        </w:trPr>
        <w:tc>
          <w:tcPr>
            <w:tcW w:w="12328" w:type="dxa"/>
            <w:gridSpan w:val="1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405" w:type="dxa"/>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3928" w:type="dxa"/>
            <w:gridSpan w:val="1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right"/>
        <w:rPr>
          <w:rFonts w:hint="default" w:eastAsiaTheme="minorEastAsia"/>
          <w:color w:val="333333"/>
          <w:sz w:val="24"/>
          <w:szCs w:val="24"/>
          <w:lang w:val="en-US" w:eastAsia="zh-CN"/>
        </w:rPr>
      </w:pPr>
      <w:r>
        <w:rPr>
          <w:rFonts w:hint="eastAsia"/>
          <w:color w:val="333333"/>
          <w:sz w:val="24"/>
          <w:szCs w:val="24"/>
          <w:lang w:val="en-US" w:eastAsia="zh-CN"/>
        </w:rPr>
        <w:t xml:space="preserve">                                                                     </w:t>
      </w:r>
      <w:r>
        <w:rPr>
          <w:rFonts w:hint="eastAsia" w:ascii="宋体" w:hAnsi="宋体" w:eastAsia="宋体" w:cs="宋体"/>
          <w:color w:val="333333"/>
          <w:sz w:val="22"/>
          <w:szCs w:val="22"/>
          <w:lang w:val="en-US" w:eastAsia="zh-CN"/>
        </w:rPr>
        <w:t xml:space="preserve"> 公开05表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rightChars="0"/>
        <w:jc w:val="right"/>
        <w:rPr>
          <w:rFonts w:hint="default" w:eastAsiaTheme="minorEastAsia"/>
          <w:color w:val="333333"/>
          <w:sz w:val="24"/>
          <w:szCs w:val="24"/>
          <w:lang w:val="en-US" w:eastAsia="zh-CN"/>
        </w:rPr>
      </w:pPr>
      <w:r>
        <w:rPr>
          <w:rStyle w:val="13"/>
          <w:rFonts w:hint="eastAsia" w:ascii="宋体" w:hAnsi="宋体" w:eastAsia="宋体" w:cs="宋体"/>
          <w:sz w:val="22"/>
          <w:szCs w:val="22"/>
          <w:lang w:val="en-US" w:eastAsia="zh-CN"/>
        </w:rPr>
        <w:t xml:space="preserve"> 部门：黄石市黄石港区财政局                  2021年度                                                 金额单位：万元  </w:t>
      </w:r>
      <w:r>
        <w:rPr>
          <w:rFonts w:hint="eastAsia"/>
          <w:color w:val="333333"/>
          <w:sz w:val="24"/>
          <w:szCs w:val="24"/>
          <w:lang w:val="en-US" w:eastAsia="zh-CN"/>
        </w:rPr>
        <w:t xml:space="preserve">              </w:t>
      </w:r>
    </w:p>
    <w:tbl>
      <w:tblPr>
        <w:tblStyle w:val="6"/>
        <w:tblW w:w="13920" w:type="dxa"/>
        <w:tblInd w:w="0" w:type="dxa"/>
        <w:shd w:val="clear" w:color="auto" w:fill="auto"/>
        <w:tblLayout w:type="fixed"/>
        <w:tblCellMar>
          <w:top w:w="0" w:type="dxa"/>
          <w:left w:w="0" w:type="dxa"/>
          <w:bottom w:w="0" w:type="dxa"/>
          <w:right w:w="0" w:type="dxa"/>
        </w:tblCellMar>
      </w:tblPr>
      <w:tblGrid>
        <w:gridCol w:w="3268"/>
        <w:gridCol w:w="3922"/>
        <w:gridCol w:w="2243"/>
        <w:gridCol w:w="2243"/>
        <w:gridCol w:w="1904"/>
        <w:gridCol w:w="340"/>
      </w:tblGrid>
      <w:tr>
        <w:tblPrEx>
          <w:shd w:val="clear" w:color="auto" w:fill="auto"/>
          <w:tblCellMar>
            <w:top w:w="0" w:type="dxa"/>
            <w:left w:w="0" w:type="dxa"/>
            <w:bottom w:w="0" w:type="dxa"/>
            <w:right w:w="0" w:type="dxa"/>
          </w:tblCellMar>
        </w:tblPrEx>
        <w:trPr>
          <w:trHeight w:val="300" w:hRule="atLeast"/>
        </w:trPr>
        <w:tc>
          <w:tcPr>
            <w:tcW w:w="7190" w:type="dxa"/>
            <w:gridSpan w:val="2"/>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730" w:type="dxa"/>
            <w:gridSpan w:val="4"/>
            <w:tcBorders>
              <w:top w:val="single" w:color="auto" w:sz="4" w:space="0"/>
              <w:left w:val="single" w:color="auto" w:sz="4" w:space="0"/>
              <w:bottom w:val="single" w:color="auto" w:sz="4" w:space="0"/>
              <w:right w:val="single" w:color="auto"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trHeight w:val="300" w:hRule="atLeast"/>
        </w:trPr>
        <w:tc>
          <w:tcPr>
            <w:tcW w:w="3268" w:type="dxa"/>
            <w:vMerge w:val="restart"/>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922" w:type="dxa"/>
            <w:vMerge w:val="restart"/>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43"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43"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44" w:type="dxa"/>
            <w:gridSpan w:val="2"/>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270" w:hRule="atLeast"/>
        </w:trPr>
        <w:tc>
          <w:tcPr>
            <w:tcW w:w="3268" w:type="dxa"/>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22" w:type="dxa"/>
            <w:vMerge w:val="continue"/>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4"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268" w:type="dxa"/>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22" w:type="dxa"/>
            <w:vMerge w:val="continue"/>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4"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7190" w:type="dxa"/>
            <w:gridSpan w:val="2"/>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43"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43"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44" w:type="dxa"/>
            <w:gridSpan w:val="2"/>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300" w:hRule="atLeast"/>
        </w:trPr>
        <w:tc>
          <w:tcPr>
            <w:tcW w:w="719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224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92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224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392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608.55</w:t>
            </w:r>
          </w:p>
        </w:tc>
        <w:tc>
          <w:tcPr>
            <w:tcW w:w="224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392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603.55</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603.55</w:t>
            </w:r>
          </w:p>
        </w:tc>
        <w:tc>
          <w:tcPr>
            <w:tcW w:w="224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2010605</w:t>
            </w:r>
          </w:p>
        </w:tc>
        <w:tc>
          <w:tcPr>
            <w:tcW w:w="392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财政国库业务</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224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20"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r>
        <w:tblPrEx>
          <w:tblCellMar>
            <w:top w:w="0" w:type="dxa"/>
            <w:left w:w="0" w:type="dxa"/>
            <w:bottom w:w="0" w:type="dxa"/>
            <w:right w:w="0" w:type="dxa"/>
          </w:tblCellMar>
        </w:tblPrEx>
        <w:trPr>
          <w:gridAfter w:val="1"/>
          <w:wAfter w:w="340" w:type="dxa"/>
          <w:trHeight w:val="375" w:hRule="atLeast"/>
        </w:trPr>
        <w:tc>
          <w:tcPr>
            <w:tcW w:w="13580"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right"/>
        <w:rPr>
          <w:rFonts w:hint="eastAsia" w:ascii="宋体" w:hAnsi="宋体" w:eastAsia="宋体" w:cs="宋体"/>
          <w:color w:val="333333"/>
          <w:sz w:val="18"/>
          <w:szCs w:val="18"/>
          <w:lang w:val="en-US" w:eastAsia="zh-CN"/>
        </w:rPr>
      </w:pPr>
      <w:r>
        <w:rPr>
          <w:rFonts w:hint="eastAsia"/>
          <w:color w:val="333333"/>
          <w:sz w:val="24"/>
          <w:szCs w:val="24"/>
          <w:lang w:val="en-US" w:eastAsia="zh-CN"/>
        </w:rPr>
        <w:t xml:space="preserve">  </w:t>
      </w:r>
      <w:r>
        <w:rPr>
          <w:rFonts w:hint="eastAsia" w:ascii="宋体" w:hAnsi="宋体" w:eastAsia="宋体" w:cs="宋体"/>
          <w:color w:val="333333"/>
          <w:sz w:val="18"/>
          <w:szCs w:val="18"/>
          <w:lang w:val="en-US" w:eastAsia="zh-CN"/>
        </w:rPr>
        <w:t>公开06表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right"/>
        <w:rPr>
          <w:rFonts w:hint="default" w:ascii="宋体" w:hAnsi="宋体" w:eastAsia="宋体" w:cs="宋体"/>
          <w:color w:val="333333"/>
          <w:sz w:val="18"/>
          <w:szCs w:val="18"/>
          <w:lang w:val="en-US" w:eastAsia="zh-CN"/>
        </w:rPr>
      </w:pPr>
      <w:r>
        <w:rPr>
          <w:rFonts w:hint="eastAsia" w:ascii="宋体" w:hAnsi="宋体" w:eastAsia="宋体" w:cs="宋体"/>
          <w:color w:val="333333"/>
          <w:sz w:val="20"/>
          <w:szCs w:val="20"/>
          <w:lang w:val="en-US" w:eastAsia="zh-CN"/>
        </w:rPr>
        <w:t>部门</w:t>
      </w:r>
      <w:r>
        <w:rPr>
          <w:rFonts w:hint="eastAsia" w:ascii="宋体" w:hAnsi="宋体" w:eastAsia="宋体" w:cs="宋体"/>
          <w:color w:val="333333"/>
          <w:sz w:val="18"/>
          <w:szCs w:val="18"/>
          <w:lang w:val="en-US" w:eastAsia="zh-CN"/>
        </w:rPr>
        <w:t>：黄石市黄石港区财政局                                                                                                                 金额单位：万元</w:t>
      </w:r>
    </w:p>
    <w:tbl>
      <w:tblPr>
        <w:tblStyle w:val="6"/>
        <w:tblW w:w="14083" w:type="dxa"/>
        <w:tblInd w:w="0" w:type="dxa"/>
        <w:shd w:val="clear" w:color="auto" w:fill="auto"/>
        <w:tblLayout w:type="fixed"/>
        <w:tblCellMar>
          <w:top w:w="0" w:type="dxa"/>
          <w:left w:w="0" w:type="dxa"/>
          <w:bottom w:w="0" w:type="dxa"/>
          <w:right w:w="0" w:type="dxa"/>
        </w:tblCellMar>
      </w:tblPr>
      <w:tblGrid>
        <w:gridCol w:w="733"/>
        <w:gridCol w:w="3030"/>
        <w:gridCol w:w="915"/>
        <w:gridCol w:w="655"/>
        <w:gridCol w:w="2100"/>
        <w:gridCol w:w="791"/>
        <w:gridCol w:w="655"/>
        <w:gridCol w:w="3830"/>
        <w:gridCol w:w="1374"/>
      </w:tblGrid>
      <w:tr>
        <w:tblPrEx>
          <w:shd w:val="clear" w:color="auto" w:fill="auto"/>
          <w:tblCellMar>
            <w:top w:w="0" w:type="dxa"/>
            <w:left w:w="0" w:type="dxa"/>
            <w:bottom w:w="0" w:type="dxa"/>
            <w:right w:w="0" w:type="dxa"/>
          </w:tblCellMar>
        </w:tblPrEx>
        <w:trPr>
          <w:trHeight w:val="300" w:hRule="atLeast"/>
        </w:trPr>
        <w:tc>
          <w:tcPr>
            <w:tcW w:w="4678" w:type="dxa"/>
            <w:gridSpan w:val="3"/>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405" w:type="dxa"/>
            <w:gridSpan w:val="6"/>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shd w:val="clear" w:color="auto" w:fill="auto"/>
          <w:tblCellMar>
            <w:top w:w="0" w:type="dxa"/>
            <w:left w:w="0" w:type="dxa"/>
            <w:bottom w:w="0" w:type="dxa"/>
            <w:right w:w="0" w:type="dxa"/>
          </w:tblCellMar>
        </w:tblPrEx>
        <w:trPr>
          <w:trHeight w:val="300" w:hRule="atLeast"/>
        </w:trPr>
        <w:tc>
          <w:tcPr>
            <w:tcW w:w="733" w:type="dxa"/>
            <w:vMerge w:val="restart"/>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3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1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0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91"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3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74"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00" w:hRule="atLeast"/>
        </w:trPr>
        <w:tc>
          <w:tcPr>
            <w:tcW w:w="733" w:type="dxa"/>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4"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733" w:type="dxa"/>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03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915" w:type="dxa"/>
            <w:tcBorders>
              <w:top w:val="single" w:color="auto"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263.69</w:t>
            </w:r>
          </w:p>
        </w:tc>
        <w:tc>
          <w:tcPr>
            <w:tcW w:w="655"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10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791" w:type="dxa"/>
            <w:tcBorders>
              <w:top w:val="single" w:color="auto"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341.92</w:t>
            </w:r>
          </w:p>
        </w:tc>
        <w:tc>
          <w:tcPr>
            <w:tcW w:w="655"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83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374" w:type="dxa"/>
            <w:tcBorders>
              <w:top w:val="single" w:color="auto"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46.30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17.29</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25.77</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84.87</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22.26</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27.29</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0.73</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21.10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90.12</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15.39</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76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263.69</w:t>
            </w:r>
          </w:p>
        </w:tc>
        <w:tc>
          <w:tcPr>
            <w:tcW w:w="8031"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344.86</w:t>
            </w:r>
          </w:p>
        </w:tc>
      </w:tr>
      <w:tr>
        <w:tblPrEx>
          <w:shd w:val="clear" w:color="auto" w:fill="auto"/>
          <w:tblCellMar>
            <w:top w:w="0" w:type="dxa"/>
            <w:left w:w="0" w:type="dxa"/>
            <w:bottom w:w="0" w:type="dxa"/>
            <w:right w:w="0" w:type="dxa"/>
          </w:tblCellMar>
        </w:tblPrEx>
        <w:trPr>
          <w:trHeight w:val="382" w:hRule="atLeast"/>
        </w:trPr>
        <w:tc>
          <w:tcPr>
            <w:tcW w:w="14083"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r>
        <w:tblPrEx>
          <w:shd w:val="clear" w:color="auto" w:fill="auto"/>
          <w:tblCellMar>
            <w:top w:w="0" w:type="dxa"/>
            <w:left w:w="0" w:type="dxa"/>
            <w:bottom w:w="0" w:type="dxa"/>
            <w:right w:w="0" w:type="dxa"/>
          </w:tblCellMar>
        </w:tblPrEx>
        <w:trPr>
          <w:trHeight w:val="555" w:hRule="atLeast"/>
        </w:trPr>
        <w:tc>
          <w:tcPr>
            <w:tcW w:w="14083"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tbl>
      <w:tblPr>
        <w:tblStyle w:val="6"/>
        <w:tblW w:w="13660" w:type="dxa"/>
        <w:tblInd w:w="0" w:type="dxa"/>
        <w:shd w:val="clear" w:color="auto" w:fill="auto"/>
        <w:tblLayout w:type="fixed"/>
        <w:tblCellMar>
          <w:top w:w="0" w:type="dxa"/>
          <w:left w:w="0" w:type="dxa"/>
          <w:bottom w:w="0" w:type="dxa"/>
          <w:right w:w="0" w:type="dxa"/>
        </w:tblCellMar>
      </w:tblPr>
      <w:tblGrid>
        <w:gridCol w:w="2890"/>
        <w:gridCol w:w="915"/>
        <w:gridCol w:w="915"/>
        <w:gridCol w:w="915"/>
        <w:gridCol w:w="915"/>
        <w:gridCol w:w="965"/>
        <w:gridCol w:w="915"/>
        <w:gridCol w:w="915"/>
        <w:gridCol w:w="915"/>
        <w:gridCol w:w="915"/>
        <w:gridCol w:w="915"/>
        <w:gridCol w:w="1570"/>
      </w:tblGrid>
      <w:tr>
        <w:tblPrEx>
          <w:shd w:val="clear" w:color="auto" w:fill="auto"/>
          <w:tblCellMar>
            <w:top w:w="0" w:type="dxa"/>
            <w:left w:w="0" w:type="dxa"/>
            <w:bottom w:w="0" w:type="dxa"/>
            <w:right w:w="0" w:type="dxa"/>
          </w:tblCellMar>
        </w:tblPrEx>
        <w:trPr>
          <w:trHeight w:val="300" w:hRule="atLeast"/>
        </w:trPr>
        <w:tc>
          <w:tcPr>
            <w:tcW w:w="289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CellMar>
            <w:top w:w="0" w:type="dxa"/>
            <w:left w:w="0" w:type="dxa"/>
            <w:bottom w:w="0" w:type="dxa"/>
            <w:right w:w="0" w:type="dxa"/>
          </w:tblCellMar>
        </w:tblPrEx>
        <w:trPr>
          <w:trHeight w:val="300" w:hRule="atLeast"/>
        </w:trPr>
        <w:tc>
          <w:tcPr>
            <w:tcW w:w="289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2021年度</w:t>
            </w: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7515"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145"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00" w:hRule="atLeast"/>
        </w:trPr>
        <w:tc>
          <w:tcPr>
            <w:tcW w:w="289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7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9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7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CellMar>
            <w:top w:w="0" w:type="dxa"/>
            <w:left w:w="0" w:type="dxa"/>
            <w:bottom w:w="0" w:type="dxa"/>
            <w:right w:w="0" w:type="dxa"/>
          </w:tblCellMar>
        </w:tblPrEx>
        <w:trPr>
          <w:trHeight w:val="600" w:hRule="atLeast"/>
        </w:trPr>
        <w:tc>
          <w:tcPr>
            <w:tcW w:w="289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9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28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0" w:hRule="atLeast"/>
        </w:trPr>
        <w:tc>
          <w:tcPr>
            <w:tcW w:w="28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30" w:hRule="atLeast"/>
        </w:trPr>
        <w:tc>
          <w:tcPr>
            <w:tcW w:w="1366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tbl>
      <w:tblPr>
        <w:tblStyle w:val="6"/>
        <w:tblpPr w:leftFromText="180" w:rightFromText="180" w:vertAnchor="text" w:horzAnchor="page" w:tblpX="1772" w:tblpY="91"/>
        <w:tblOverlap w:val="never"/>
        <w:tblW w:w="13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02"/>
        <w:gridCol w:w="255"/>
        <w:gridCol w:w="255"/>
        <w:gridCol w:w="1167"/>
        <w:gridCol w:w="1406"/>
        <w:gridCol w:w="703"/>
        <w:gridCol w:w="703"/>
        <w:gridCol w:w="703"/>
        <w:gridCol w:w="703"/>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3340"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530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6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0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4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9" w:hRule="atLeast"/>
        </w:trPr>
        <w:tc>
          <w:tcPr>
            <w:tcW w:w="5302"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部门：黄石市黄石港区财政局</w:t>
            </w:r>
          </w:p>
        </w:tc>
        <w:tc>
          <w:tcPr>
            <w:tcW w:w="2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73"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4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697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0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10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14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1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16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1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1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1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697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0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697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0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lang w:val="en-US"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lang w:val="en-US"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jc w:val="both"/>
              <w:rPr>
                <w:rFonts w:hint="default" w:ascii="宋体" w:hAnsi="宋体" w:eastAsia="宋体" w:cs="宋体"/>
                <w:b/>
                <w:bCs/>
                <w:i w:val="0"/>
                <w:iCs w:val="0"/>
                <w:color w:val="000000"/>
                <w:sz w:val="20"/>
                <w:szCs w:val="20"/>
                <w:u w:val="none"/>
                <w:lang w:val="en-US"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tabs>
                <w:tab w:val="left" w:pos="457"/>
              </w:tabs>
              <w:jc w:val="both"/>
              <w:rPr>
                <w:rFonts w:hint="eastAsia" w:ascii="宋体" w:hAnsi="宋体" w:eastAsia="宋体" w:cs="宋体"/>
                <w:b/>
                <w:bCs/>
                <w:i w:val="0"/>
                <w:iCs w:val="0"/>
                <w:color w:val="000000"/>
                <w:sz w:val="20"/>
                <w:szCs w:val="20"/>
                <w:u w:val="none"/>
                <w:lang w:eastAsia="zh-CN"/>
              </w:rPr>
            </w:pPr>
          </w:p>
        </w:tc>
        <w:tc>
          <w:tcPr>
            <w:tcW w:w="703" w:type="dxa"/>
            <w:tcBorders>
              <w:top w:val="nil"/>
              <w:left w:val="nil"/>
              <w:bottom w:val="single" w:color="000000" w:sz="4" w:space="0"/>
              <w:right w:val="single" w:color="000000" w:sz="4" w:space="0"/>
            </w:tcBorders>
            <w:shd w:val="clear" w:color="auto" w:fill="FFFFFF"/>
            <w:noWrap/>
            <w:vAlign w:val="center"/>
          </w:tcPr>
          <w:p>
            <w:pPr>
              <w:tabs>
                <w:tab w:val="left" w:pos="354"/>
              </w:tabs>
              <w:jc w:val="center"/>
              <w:rPr>
                <w:rFonts w:hint="eastAsia" w:ascii="宋体" w:hAnsi="宋体" w:eastAsia="宋体" w:cs="宋体"/>
                <w:b/>
                <w:bCs/>
                <w:i w:val="0"/>
                <w:iCs w:val="0"/>
                <w:color w:val="000000"/>
                <w:sz w:val="20"/>
                <w:szCs w:val="20"/>
                <w:u w:val="none"/>
                <w:lang w:eastAsia="zh-CN"/>
              </w:rPr>
            </w:pPr>
          </w:p>
        </w:tc>
        <w:tc>
          <w:tcPr>
            <w:tcW w:w="2143" w:type="dxa"/>
            <w:tcBorders>
              <w:top w:val="nil"/>
              <w:left w:val="nil"/>
              <w:bottom w:val="single" w:color="000000" w:sz="4" w:space="0"/>
              <w:right w:val="single" w:color="000000" w:sz="4" w:space="0"/>
            </w:tcBorders>
            <w:shd w:val="clear" w:color="auto" w:fill="FFFFFF"/>
            <w:noWrap/>
            <w:vAlign w:val="center"/>
          </w:tcPr>
          <w:p>
            <w:pPr>
              <w:tabs>
                <w:tab w:val="left" w:pos="523"/>
              </w:tabs>
              <w:jc w:val="both"/>
              <w:rPr>
                <w:rFonts w:hint="eastAsia" w:ascii="宋体" w:hAnsi="宋体" w:eastAsia="宋体" w:cs="宋体"/>
                <w:b/>
                <w:bCs/>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13340"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sectPr>
          <w:pgSz w:w="16838" w:h="11906" w:orient="landscape"/>
          <w:pgMar w:top="1800" w:right="1440" w:bottom="1800" w:left="1440" w:header="851" w:footer="992" w:gutter="0"/>
          <w:cols w:space="425" w:num="1"/>
          <w:docGrid w:type="lines" w:linePitch="312" w:charSpace="0"/>
        </w:sectPr>
      </w:pPr>
    </w:p>
    <w:tbl>
      <w:tblPr>
        <w:tblStyle w:val="6"/>
        <w:tblpPr w:leftFromText="180" w:rightFromText="180" w:vertAnchor="text" w:horzAnchor="page" w:tblpX="1535" w:tblpY="-4091"/>
        <w:tblOverlap w:val="never"/>
        <w:tblW w:w="14120" w:type="dxa"/>
        <w:tblInd w:w="0" w:type="dxa"/>
        <w:shd w:val="clear" w:color="auto" w:fill="auto"/>
        <w:tblLayout w:type="fixed"/>
        <w:tblCellMar>
          <w:top w:w="0" w:type="dxa"/>
          <w:left w:w="0" w:type="dxa"/>
          <w:bottom w:w="0" w:type="dxa"/>
          <w:right w:w="0" w:type="dxa"/>
        </w:tblCellMar>
      </w:tblPr>
      <w:tblGrid>
        <w:gridCol w:w="5689"/>
        <w:gridCol w:w="861"/>
        <w:gridCol w:w="861"/>
        <w:gridCol w:w="861"/>
        <w:gridCol w:w="861"/>
        <w:gridCol w:w="861"/>
        <w:gridCol w:w="4126"/>
      </w:tblGrid>
      <w:tr>
        <w:tblPrEx>
          <w:shd w:val="clear" w:color="auto" w:fill="auto"/>
          <w:tblCellMar>
            <w:top w:w="0" w:type="dxa"/>
            <w:left w:w="0" w:type="dxa"/>
            <w:bottom w:w="0" w:type="dxa"/>
            <w:right w:w="0" w:type="dxa"/>
          </w:tblCellMar>
        </w:tblPrEx>
        <w:trPr>
          <w:trHeight w:val="766" w:hRule="atLeast"/>
        </w:trPr>
        <w:tc>
          <w:tcPr>
            <w:tcW w:w="141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trHeight w:val="391" w:hRule="atLeast"/>
        </w:trPr>
        <w:tc>
          <w:tcPr>
            <w:tcW w:w="141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391" w:hRule="atLeast"/>
        </w:trPr>
        <w:tc>
          <w:tcPr>
            <w:tcW w:w="568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黄石市黄石港区财政局</w:t>
            </w: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2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bl>
    <w:tbl>
      <w:tblPr>
        <w:tblStyle w:val="6"/>
        <w:tblW w:w="127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6"/>
        <w:gridCol w:w="329"/>
        <w:gridCol w:w="1034"/>
        <w:gridCol w:w="2003"/>
        <w:gridCol w:w="2891"/>
        <w:gridCol w:w="1677"/>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07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92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16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部门：黄石市黄石港区财政局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34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37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90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37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9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437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9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第三部分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2021</w:t>
      </w:r>
      <w:r>
        <w:rPr>
          <w:rStyle w:val="8"/>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lang w:eastAsia="zh-CN"/>
        </w:rPr>
        <w:t>21年度收入总计</w:t>
      </w:r>
      <w:r>
        <w:rPr>
          <w:rFonts w:hint="eastAsia" w:asciiTheme="minorEastAsia" w:hAnsiTheme="minorEastAsia" w:cstheme="minorEastAsia"/>
          <w:sz w:val="28"/>
          <w:szCs w:val="28"/>
          <w:lang w:val="en-US" w:eastAsia="zh-CN"/>
        </w:rPr>
        <w:t>609.97</w:t>
      </w:r>
      <w:r>
        <w:rPr>
          <w:rFonts w:hint="eastAsia" w:asciiTheme="minorEastAsia" w:hAnsiTheme="minorEastAsia" w:eastAsiaTheme="minorEastAsia" w:cstheme="minorEastAsia"/>
          <w:sz w:val="28"/>
          <w:szCs w:val="28"/>
          <w:lang w:eastAsia="zh-CN"/>
        </w:rPr>
        <w:t>万元，其中：公共预算财政拨款收</w:t>
      </w:r>
      <w:r>
        <w:rPr>
          <w:rFonts w:hint="eastAsia" w:asciiTheme="minorEastAsia" w:hAnsiTheme="minorEastAsia" w:cstheme="minorEastAsia"/>
          <w:sz w:val="28"/>
          <w:szCs w:val="28"/>
          <w:lang w:val="en-US" w:eastAsia="zh-CN"/>
        </w:rPr>
        <w:t>入608.55</w:t>
      </w:r>
      <w:r>
        <w:rPr>
          <w:rFonts w:hint="eastAsia" w:asciiTheme="minorEastAsia" w:hAnsiTheme="minorEastAsia" w:eastAsiaTheme="minorEastAsia" w:cstheme="minorEastAsia"/>
          <w:sz w:val="28"/>
          <w:szCs w:val="28"/>
          <w:lang w:eastAsia="zh-CN"/>
        </w:rPr>
        <w:t>万元、其他收入</w:t>
      </w:r>
      <w:r>
        <w:rPr>
          <w:rFonts w:hint="eastAsia" w:asciiTheme="minorEastAsia" w:hAnsiTheme="minorEastAsia" w:cstheme="minorEastAsia"/>
          <w:sz w:val="28"/>
          <w:szCs w:val="28"/>
          <w:lang w:val="en-US" w:eastAsia="zh-CN"/>
        </w:rPr>
        <w:t>1.42</w:t>
      </w:r>
      <w:r>
        <w:rPr>
          <w:rFonts w:hint="eastAsia" w:asciiTheme="minorEastAsia" w:hAnsiTheme="minorEastAsia" w:eastAsiaTheme="minorEastAsia" w:cstheme="minorEastAsia"/>
          <w:sz w:val="28"/>
          <w:szCs w:val="28"/>
          <w:lang w:eastAsia="zh-CN"/>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2021年度支出总计</w:t>
      </w:r>
      <w:r>
        <w:rPr>
          <w:rFonts w:hint="eastAsia" w:asciiTheme="minorEastAsia" w:hAnsiTheme="minorEastAsia" w:cstheme="minorEastAsia"/>
          <w:sz w:val="28"/>
          <w:szCs w:val="28"/>
          <w:lang w:val="en-US" w:eastAsia="zh-CN"/>
        </w:rPr>
        <w:t>609.97</w:t>
      </w:r>
      <w:r>
        <w:rPr>
          <w:rFonts w:hint="eastAsia" w:asciiTheme="minorEastAsia" w:hAnsiTheme="minorEastAsia" w:eastAsiaTheme="minorEastAsia" w:cstheme="minorEastAsia"/>
          <w:sz w:val="28"/>
          <w:szCs w:val="28"/>
          <w:lang w:eastAsia="zh-CN"/>
        </w:rPr>
        <w:t>万元，其中基本支出</w:t>
      </w:r>
      <w:r>
        <w:rPr>
          <w:rFonts w:hint="eastAsia" w:asciiTheme="minorEastAsia" w:hAnsiTheme="minorEastAsia" w:cstheme="minorEastAsia"/>
          <w:sz w:val="28"/>
          <w:szCs w:val="28"/>
          <w:lang w:val="en-US" w:eastAsia="zh-CN"/>
        </w:rPr>
        <w:t>609.97</w:t>
      </w:r>
      <w:r>
        <w:rPr>
          <w:rFonts w:hint="eastAsia" w:asciiTheme="minorEastAsia" w:hAnsiTheme="minorEastAsia" w:eastAsiaTheme="minorEastAsia" w:cstheme="minorEastAsia"/>
          <w:sz w:val="28"/>
          <w:szCs w:val="28"/>
          <w:lang w:eastAsia="zh-CN"/>
        </w:rPr>
        <w:t>万元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项目支出0万元</w:t>
      </w:r>
      <w:r>
        <w:rPr>
          <w:rFonts w:hint="eastAsia" w:asciiTheme="minorEastAsia" w:hAnsiTheme="minorEastAsia" w:eastAsiaTheme="minorEastAsia" w:cstheme="minorEastAsia"/>
          <w:sz w:val="28"/>
          <w:szCs w:val="28"/>
          <w:lang w:eastAsia="zh-CN"/>
        </w:rPr>
        <w:t>。</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收入支出与预算对比分析。</w:t>
      </w:r>
    </w:p>
    <w:p>
      <w:pPr>
        <w:widowControl/>
        <w:shd w:val="clear" w:color="auto" w:fill="FFFFFF"/>
        <w:ind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highlight w:val="none"/>
          <w:lang w:val="en-US" w:eastAsia="zh-CN"/>
        </w:rPr>
        <w:t>21</w:t>
      </w:r>
      <w:r>
        <w:rPr>
          <w:rFonts w:hint="eastAsia" w:asciiTheme="minorEastAsia" w:hAnsiTheme="minorEastAsia" w:eastAsiaTheme="minorEastAsia" w:cstheme="minorEastAsia"/>
          <w:sz w:val="28"/>
          <w:szCs w:val="28"/>
          <w:highlight w:val="none"/>
          <w:lang w:val="en-US" w:eastAsia="zh-CN"/>
        </w:rPr>
        <w:t>年我单位总预算</w:t>
      </w:r>
      <w:r>
        <w:rPr>
          <w:rFonts w:hint="eastAsia" w:asciiTheme="minorEastAsia" w:hAnsiTheme="minorEastAsia" w:cstheme="minorEastAsia"/>
          <w:sz w:val="28"/>
          <w:szCs w:val="28"/>
          <w:highlight w:val="none"/>
          <w:lang w:val="en-US" w:eastAsia="zh-CN"/>
        </w:rPr>
        <w:t>221.47</w:t>
      </w:r>
      <w:r>
        <w:rPr>
          <w:rFonts w:hint="eastAsia" w:asciiTheme="minorEastAsia" w:hAnsiTheme="minorEastAsia" w:eastAsiaTheme="minorEastAsia" w:cstheme="minorEastAsia"/>
          <w:sz w:val="28"/>
          <w:szCs w:val="28"/>
          <w:highlight w:val="none"/>
          <w:lang w:val="en-US" w:eastAsia="zh-CN"/>
        </w:rPr>
        <w:t>万元，总</w:t>
      </w:r>
      <w:r>
        <w:rPr>
          <w:rFonts w:hint="eastAsia" w:asciiTheme="minorEastAsia" w:hAnsiTheme="minorEastAsia" w:eastAsiaTheme="minorEastAsia" w:cstheme="minorEastAsia"/>
          <w:sz w:val="28"/>
          <w:szCs w:val="28"/>
          <w:lang w:val="en-US" w:eastAsia="zh-CN"/>
        </w:rPr>
        <w:t>支出</w:t>
      </w:r>
      <w:r>
        <w:rPr>
          <w:rFonts w:hint="eastAsia" w:asciiTheme="minorEastAsia" w:hAnsiTheme="minorEastAsia" w:cstheme="minorEastAsia"/>
          <w:sz w:val="28"/>
          <w:szCs w:val="28"/>
          <w:lang w:val="en-US" w:eastAsia="zh-CN"/>
        </w:rPr>
        <w:t>609.97</w:t>
      </w:r>
      <w:r>
        <w:rPr>
          <w:rFonts w:hint="eastAsia" w:asciiTheme="minorEastAsia" w:hAnsiTheme="minorEastAsia" w:eastAsiaTheme="minorEastAsia" w:cstheme="minorEastAsia"/>
          <w:sz w:val="28"/>
          <w:szCs w:val="28"/>
          <w:lang w:val="en-US" w:eastAsia="zh-CN"/>
        </w:rPr>
        <w:t>万元，超出预算</w:t>
      </w:r>
      <w:r>
        <w:rPr>
          <w:rFonts w:hint="eastAsia" w:asciiTheme="minorEastAsia" w:hAnsiTheme="minorEastAsia" w:eastAsiaTheme="minorEastAsia" w:cstheme="minorEastAsia"/>
          <w:sz w:val="28"/>
          <w:szCs w:val="28"/>
          <w:highlight w:val="none"/>
          <w:lang w:val="en-US" w:eastAsia="zh-CN"/>
        </w:rPr>
        <w:t>比例</w:t>
      </w:r>
      <w:r>
        <w:rPr>
          <w:rFonts w:hint="eastAsia" w:asciiTheme="minorEastAsia" w:hAnsiTheme="minorEastAsia" w:cstheme="minorEastAsia"/>
          <w:sz w:val="28"/>
          <w:szCs w:val="28"/>
          <w:highlight w:val="none"/>
          <w:lang w:val="en-US" w:eastAsia="zh-CN"/>
        </w:rPr>
        <w:t>175</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lang w:val="en-US" w:eastAsia="zh-CN"/>
        </w:rPr>
        <w:t>其</w:t>
      </w:r>
      <w:r>
        <w:rPr>
          <w:rFonts w:hint="eastAsia" w:asciiTheme="minorEastAsia" w:hAnsiTheme="minorEastAsia" w:eastAsiaTheme="minorEastAsia" w:cstheme="minorEastAsia"/>
          <w:sz w:val="28"/>
          <w:szCs w:val="28"/>
          <w:highlight w:val="none"/>
          <w:lang w:val="en-US" w:eastAsia="zh-CN"/>
        </w:rPr>
        <w:t>中：人员经费预算</w:t>
      </w:r>
      <w:r>
        <w:rPr>
          <w:rFonts w:hint="eastAsia" w:asciiTheme="minorEastAsia" w:hAnsiTheme="minorEastAsia" w:cstheme="minorEastAsia"/>
          <w:sz w:val="28"/>
          <w:szCs w:val="28"/>
          <w:highlight w:val="none"/>
          <w:lang w:val="en-US" w:eastAsia="zh-CN"/>
        </w:rPr>
        <w:t>154.81</w:t>
      </w:r>
      <w:r>
        <w:rPr>
          <w:rFonts w:hint="eastAsia" w:asciiTheme="minorEastAsia" w:hAnsiTheme="minorEastAsia" w:eastAsiaTheme="minorEastAsia" w:cstheme="minorEastAsia"/>
          <w:sz w:val="28"/>
          <w:szCs w:val="28"/>
          <w:highlight w:val="none"/>
          <w:lang w:val="en-US" w:eastAsia="zh-CN"/>
        </w:rPr>
        <w:t>万元（含工资福利支出、对个人及家庭补助支出）</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202</w:t>
      </w:r>
      <w:r>
        <w:rPr>
          <w:rFonts w:hint="eastAsia" w:asciiTheme="minorEastAsia" w:hAnsi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lang w:val="en-US" w:eastAsia="zh-CN"/>
        </w:rPr>
        <w:t>年人员经费实际支出263.69万</w:t>
      </w:r>
      <w:r>
        <w:rPr>
          <w:rFonts w:hint="eastAsia" w:asciiTheme="minorEastAsia" w:hAnsiTheme="minorEastAsia" w:eastAsiaTheme="minorEastAsia" w:cstheme="minorEastAsia"/>
          <w:sz w:val="28"/>
          <w:szCs w:val="28"/>
          <w:lang w:val="en-US" w:eastAsia="zh-CN"/>
        </w:rPr>
        <w:t>元，同比上年</w:t>
      </w:r>
      <w:r>
        <w:rPr>
          <w:rFonts w:hint="eastAsia" w:asciiTheme="minorEastAsia" w:hAnsiTheme="minorEastAsia" w:cstheme="minorEastAsia"/>
          <w:sz w:val="28"/>
          <w:szCs w:val="28"/>
          <w:lang w:val="en-US" w:eastAsia="zh-CN"/>
        </w:rPr>
        <w:t>增长12.9</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涨幅5.14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涨</w:t>
      </w:r>
      <w:r>
        <w:rPr>
          <w:rFonts w:hint="eastAsia" w:asciiTheme="minorEastAsia" w:hAnsiTheme="minorEastAsia" w:eastAsiaTheme="minorEastAsia" w:cstheme="minorEastAsia"/>
          <w:sz w:val="28"/>
          <w:szCs w:val="28"/>
          <w:lang w:val="en-US" w:eastAsia="zh-CN"/>
        </w:rPr>
        <w:t>幅原因为</w:t>
      </w:r>
      <w:r>
        <w:rPr>
          <w:rFonts w:hint="eastAsia" w:asciiTheme="minorEastAsia" w:hAnsiTheme="minorEastAsia" w:cstheme="minorEastAsia"/>
          <w:sz w:val="28"/>
          <w:szCs w:val="28"/>
          <w:lang w:val="en-US" w:eastAsia="zh-CN"/>
        </w:rPr>
        <w:t>开展了防疫等活动</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lang w:eastAsia="zh-CN"/>
        </w:rPr>
        <w:t>收入支出结构分析</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color w:val="000000"/>
          <w:spacing w:val="2"/>
          <w:sz w:val="28"/>
          <w:szCs w:val="28"/>
        </w:rPr>
      </w:pPr>
      <w:r>
        <w:rPr>
          <w:rFonts w:hint="eastAsia" w:ascii="宋体" w:hAnsi="宋体"/>
          <w:color w:val="000000"/>
          <w:spacing w:val="2"/>
          <w:sz w:val="28"/>
          <w:szCs w:val="28"/>
          <w:lang w:val="en-US" w:eastAsia="zh-CN"/>
        </w:rPr>
        <w:t>2021</w:t>
      </w:r>
      <w:r>
        <w:rPr>
          <w:rFonts w:hint="eastAsia" w:ascii="宋体" w:hAnsi="宋体"/>
          <w:color w:val="000000"/>
          <w:spacing w:val="2"/>
          <w:sz w:val="28"/>
          <w:szCs w:val="28"/>
        </w:rPr>
        <w:t>年全年总收入</w:t>
      </w:r>
      <w:r>
        <w:rPr>
          <w:rFonts w:hint="eastAsia" w:ascii="宋体" w:hAnsi="宋体"/>
          <w:color w:val="000000"/>
          <w:spacing w:val="2"/>
          <w:sz w:val="28"/>
          <w:szCs w:val="28"/>
          <w:lang w:val="en-US" w:eastAsia="zh-CN"/>
        </w:rPr>
        <w:t>609.97万</w:t>
      </w:r>
      <w:r>
        <w:rPr>
          <w:rFonts w:hint="eastAsia" w:ascii="宋体" w:hAnsi="宋体"/>
          <w:color w:val="000000"/>
          <w:spacing w:val="2"/>
          <w:sz w:val="28"/>
          <w:szCs w:val="28"/>
        </w:rPr>
        <w:t>元,</w:t>
      </w:r>
      <w:r>
        <w:rPr>
          <w:rFonts w:hint="eastAsia" w:ascii="宋体" w:hAnsi="宋体"/>
          <w:color w:val="000000"/>
          <w:spacing w:val="2"/>
          <w:sz w:val="28"/>
          <w:szCs w:val="28"/>
          <w:lang w:val="en-US" w:eastAsia="zh-CN"/>
        </w:rPr>
        <w:t>同比上年增长68.61万元，涨幅11.25%，</w:t>
      </w:r>
      <w:r>
        <w:rPr>
          <w:rFonts w:hint="eastAsia" w:ascii="宋体" w:hAnsi="宋体"/>
          <w:color w:val="000000"/>
          <w:spacing w:val="2"/>
          <w:sz w:val="28"/>
          <w:szCs w:val="28"/>
        </w:rPr>
        <w:t>其中</w:t>
      </w:r>
      <w:r>
        <w:rPr>
          <w:rFonts w:hint="eastAsia" w:ascii="宋体" w:hAnsi="宋体"/>
          <w:color w:val="000000"/>
          <w:spacing w:val="2"/>
          <w:sz w:val="28"/>
          <w:szCs w:val="28"/>
          <w:lang w:eastAsia="zh-CN"/>
        </w:rPr>
        <w:t>财政拨款</w:t>
      </w:r>
      <w:r>
        <w:rPr>
          <w:rFonts w:hint="eastAsia" w:ascii="宋体" w:hAnsi="宋体"/>
          <w:color w:val="000000"/>
          <w:spacing w:val="2"/>
          <w:sz w:val="28"/>
          <w:szCs w:val="28"/>
        </w:rPr>
        <w:t>收入</w:t>
      </w:r>
      <w:r>
        <w:rPr>
          <w:rFonts w:hint="eastAsia" w:asciiTheme="minorEastAsia" w:hAnsiTheme="minorEastAsia" w:eastAsiaTheme="minorEastAsia" w:cstheme="minorEastAsia"/>
          <w:sz w:val="28"/>
          <w:szCs w:val="28"/>
          <w:lang w:eastAsia="zh-CN"/>
        </w:rPr>
        <w:t>608.55</w:t>
      </w:r>
      <w:r>
        <w:rPr>
          <w:rFonts w:hint="eastAsia" w:ascii="宋体" w:hAnsi="宋体"/>
          <w:color w:val="000000"/>
          <w:spacing w:val="2"/>
          <w:sz w:val="28"/>
          <w:szCs w:val="28"/>
          <w:lang w:val="en-US" w:eastAsia="zh-CN"/>
        </w:rPr>
        <w:t>万</w:t>
      </w:r>
      <w:r>
        <w:rPr>
          <w:rFonts w:hint="eastAsia" w:ascii="宋体" w:hAnsi="宋体"/>
          <w:color w:val="000000"/>
          <w:spacing w:val="2"/>
          <w:sz w:val="28"/>
          <w:szCs w:val="28"/>
        </w:rPr>
        <w:t>元,其它收入</w:t>
      </w:r>
      <w:r>
        <w:rPr>
          <w:rFonts w:hint="eastAsia" w:ascii="宋体" w:hAnsi="宋体"/>
          <w:color w:val="000000"/>
          <w:spacing w:val="2"/>
          <w:sz w:val="28"/>
          <w:szCs w:val="28"/>
          <w:lang w:val="en-US" w:eastAsia="zh-CN"/>
        </w:rPr>
        <w:t>1.42万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2021</w:t>
      </w:r>
      <w:r>
        <w:rPr>
          <w:rFonts w:hint="eastAsia" w:ascii="宋体" w:hAnsi="宋体"/>
          <w:color w:val="000000"/>
          <w:spacing w:val="2"/>
          <w:sz w:val="28"/>
          <w:szCs w:val="28"/>
        </w:rPr>
        <w:t>年全年决算总支出</w:t>
      </w:r>
      <w:r>
        <w:rPr>
          <w:rFonts w:hint="eastAsia" w:ascii="宋体" w:hAnsi="宋体"/>
          <w:color w:val="000000"/>
          <w:spacing w:val="2"/>
          <w:sz w:val="28"/>
          <w:szCs w:val="28"/>
          <w:lang w:val="en-US" w:eastAsia="zh-CN"/>
        </w:rPr>
        <w:t>609.97万</w:t>
      </w:r>
      <w:r>
        <w:rPr>
          <w:rFonts w:hint="eastAsia" w:ascii="宋体" w:hAnsi="宋体"/>
          <w:color w:val="000000"/>
          <w:spacing w:val="2"/>
          <w:sz w:val="28"/>
          <w:szCs w:val="28"/>
        </w:rPr>
        <w:t>元,</w:t>
      </w:r>
      <w:r>
        <w:rPr>
          <w:rFonts w:hint="eastAsia" w:ascii="宋体" w:hAnsi="宋体"/>
          <w:color w:val="000000"/>
          <w:spacing w:val="2"/>
          <w:sz w:val="28"/>
          <w:szCs w:val="28"/>
          <w:lang w:val="en-US" w:eastAsia="zh-CN"/>
        </w:rPr>
        <w:t>同比上年增长68.61万元，涨幅11.25%，主要为</w:t>
      </w:r>
      <w:r>
        <w:rPr>
          <w:rFonts w:hint="eastAsia" w:ascii="宋体" w:hAnsi="宋体"/>
          <w:color w:val="000000"/>
          <w:spacing w:val="2"/>
          <w:sz w:val="28"/>
          <w:szCs w:val="28"/>
          <w:highlight w:val="none"/>
          <w:lang w:val="en-US" w:eastAsia="zh-CN"/>
        </w:rPr>
        <w:t>增加一体化系统上线支付建设费，</w:t>
      </w:r>
      <w:r>
        <w:rPr>
          <w:rFonts w:hint="eastAsia" w:ascii="宋体" w:hAnsi="宋体"/>
          <w:color w:val="000000"/>
          <w:spacing w:val="2"/>
          <w:sz w:val="28"/>
          <w:szCs w:val="28"/>
        </w:rPr>
        <w:t>支出按以下分类说明：</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000000"/>
          <w:spacing w:val="2"/>
          <w:sz w:val="28"/>
          <w:szCs w:val="28"/>
          <w:lang w:eastAsia="zh-CN"/>
        </w:rPr>
      </w:pPr>
      <w:r>
        <w:rPr>
          <w:rFonts w:hint="default" w:ascii="宋体" w:hAnsi="宋体"/>
          <w:color w:val="000000"/>
          <w:spacing w:val="2"/>
          <w:sz w:val="28"/>
          <w:szCs w:val="28"/>
        </w:rPr>
        <w:t>①</w:t>
      </w:r>
      <w:r>
        <w:rPr>
          <w:rFonts w:hint="eastAsia" w:ascii="宋体" w:hAnsi="宋体"/>
          <w:color w:val="000000"/>
          <w:spacing w:val="2"/>
          <w:sz w:val="28"/>
          <w:szCs w:val="28"/>
        </w:rPr>
        <w:t>支出功能分类：</w:t>
      </w:r>
      <w:r>
        <w:rPr>
          <w:rFonts w:hint="eastAsia" w:ascii="宋体" w:hAnsi="宋体"/>
          <w:color w:val="000000"/>
          <w:spacing w:val="2"/>
          <w:sz w:val="28"/>
          <w:szCs w:val="28"/>
          <w:lang w:val="en-US" w:eastAsia="zh-CN"/>
        </w:rPr>
        <w:t>609.97万</w:t>
      </w:r>
      <w:r>
        <w:rPr>
          <w:rFonts w:hint="eastAsia" w:ascii="宋体" w:hAnsi="宋体"/>
          <w:color w:val="000000"/>
          <w:spacing w:val="2"/>
          <w:sz w:val="28"/>
          <w:szCs w:val="28"/>
        </w:rPr>
        <w:t>元</w:t>
      </w:r>
      <w:r>
        <w:rPr>
          <w:rFonts w:hint="eastAsia" w:ascii="宋体" w:hAnsi="宋体"/>
          <w:color w:val="000000"/>
          <w:spacing w:val="2"/>
          <w:sz w:val="28"/>
          <w:szCs w:val="28"/>
          <w:lang w:eastAsia="zh-CN"/>
        </w:rPr>
        <w:t>，其中一般公共服务支出</w:t>
      </w:r>
      <w:r>
        <w:rPr>
          <w:rFonts w:hint="eastAsia" w:ascii="宋体" w:hAnsi="宋体"/>
          <w:color w:val="000000"/>
          <w:spacing w:val="2"/>
          <w:sz w:val="28"/>
          <w:szCs w:val="28"/>
          <w:lang w:val="en-US" w:eastAsia="zh-CN"/>
        </w:rPr>
        <w:t>609.97万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同比增长11.25%</w:t>
      </w:r>
      <w:r>
        <w:rPr>
          <w:rFonts w:hint="eastAsia" w:ascii="宋体" w:hAnsi="宋体"/>
          <w:color w:val="000000"/>
          <w:spacing w:val="2"/>
          <w:sz w:val="28"/>
          <w:szCs w:val="28"/>
          <w:lang w:eastAsia="zh-CN"/>
        </w:rPr>
        <w:t>；</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000000"/>
          <w:spacing w:val="2"/>
          <w:sz w:val="28"/>
          <w:szCs w:val="28"/>
          <w:lang w:eastAsia="zh-CN"/>
        </w:rPr>
      </w:pPr>
      <w:r>
        <w:rPr>
          <w:rFonts w:hint="default" w:ascii="宋体" w:hAnsi="宋体"/>
          <w:color w:val="000000"/>
          <w:spacing w:val="2"/>
          <w:sz w:val="28"/>
          <w:szCs w:val="28"/>
        </w:rPr>
        <w:t>②</w:t>
      </w:r>
      <w:r>
        <w:rPr>
          <w:rFonts w:hint="eastAsia" w:ascii="宋体" w:hAnsi="宋体"/>
          <w:color w:val="000000"/>
          <w:spacing w:val="2"/>
          <w:sz w:val="28"/>
          <w:szCs w:val="28"/>
        </w:rPr>
        <w:t>支出性质分</w:t>
      </w:r>
      <w:r>
        <w:rPr>
          <w:rFonts w:hint="eastAsia" w:ascii="宋体" w:hAnsi="宋体"/>
          <w:color w:val="000000"/>
          <w:spacing w:val="2"/>
          <w:sz w:val="28"/>
          <w:szCs w:val="28"/>
          <w:highlight w:val="none"/>
        </w:rPr>
        <w:t>类：</w:t>
      </w:r>
      <w:r>
        <w:rPr>
          <w:rFonts w:hint="eastAsia" w:ascii="宋体" w:hAnsi="宋体"/>
          <w:color w:val="000000"/>
          <w:spacing w:val="2"/>
          <w:sz w:val="28"/>
          <w:szCs w:val="28"/>
          <w:highlight w:val="none"/>
          <w:lang w:val="en-US" w:eastAsia="zh-CN"/>
        </w:rPr>
        <w:t>609.97万</w:t>
      </w:r>
      <w:r>
        <w:rPr>
          <w:rFonts w:hint="eastAsia" w:ascii="宋体" w:hAnsi="宋体"/>
          <w:color w:val="000000"/>
          <w:spacing w:val="2"/>
          <w:sz w:val="28"/>
          <w:szCs w:val="28"/>
          <w:highlight w:val="none"/>
        </w:rPr>
        <w:t>元，其中人员经费</w:t>
      </w:r>
      <w:r>
        <w:rPr>
          <w:rFonts w:hint="eastAsia" w:ascii="宋体" w:hAnsi="宋体"/>
          <w:color w:val="000000"/>
          <w:spacing w:val="2"/>
          <w:sz w:val="28"/>
          <w:szCs w:val="28"/>
          <w:highlight w:val="none"/>
          <w:shd w:val="clear"/>
          <w:lang w:val="en-US" w:eastAsia="zh-CN"/>
        </w:rPr>
        <w:t>263.69</w:t>
      </w:r>
      <w:r>
        <w:rPr>
          <w:rFonts w:hint="eastAsia" w:ascii="宋体" w:hAnsi="宋体"/>
          <w:color w:val="000000"/>
          <w:spacing w:val="2"/>
          <w:sz w:val="28"/>
          <w:szCs w:val="28"/>
          <w:highlight w:val="none"/>
          <w:lang w:val="en-US" w:eastAsia="zh-CN"/>
        </w:rPr>
        <w:t>万</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val="en-US" w:eastAsia="zh-CN"/>
        </w:rPr>
        <w:t>同比增长6%，</w:t>
      </w:r>
      <w:r>
        <w:rPr>
          <w:rFonts w:hint="eastAsia" w:ascii="宋体" w:hAnsi="宋体"/>
          <w:color w:val="000000"/>
          <w:spacing w:val="2"/>
          <w:sz w:val="28"/>
          <w:szCs w:val="28"/>
          <w:highlight w:val="none"/>
        </w:rPr>
        <w:t>公用经费</w:t>
      </w:r>
      <w:r>
        <w:rPr>
          <w:rFonts w:hint="eastAsia" w:ascii="宋体" w:hAnsi="宋体"/>
          <w:color w:val="auto"/>
          <w:spacing w:val="2"/>
          <w:sz w:val="28"/>
          <w:szCs w:val="28"/>
          <w:highlight w:val="none"/>
          <w:shd w:val="clear"/>
          <w:lang w:val="en-US" w:eastAsia="zh-CN"/>
        </w:rPr>
        <w:t>346.28</w:t>
      </w:r>
      <w:r>
        <w:rPr>
          <w:rFonts w:hint="eastAsia" w:ascii="宋体" w:hAnsi="宋体"/>
          <w:color w:val="000000"/>
          <w:spacing w:val="2"/>
          <w:sz w:val="28"/>
          <w:szCs w:val="28"/>
          <w:highlight w:val="none"/>
          <w:lang w:val="en-US" w:eastAsia="zh-CN"/>
        </w:rPr>
        <w:t>万</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lang w:val="en-US" w:eastAsia="zh-CN"/>
        </w:rPr>
        <w:t>同比增长18.4%</w:t>
      </w:r>
      <w:r>
        <w:rPr>
          <w:rFonts w:hint="eastAsia" w:ascii="宋体" w:hAnsi="宋体"/>
          <w:color w:val="000000"/>
          <w:spacing w:val="2"/>
          <w:sz w:val="28"/>
          <w:szCs w:val="28"/>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default" w:ascii="宋体" w:hAnsi="宋体"/>
          <w:color w:val="000000"/>
          <w:spacing w:val="2"/>
          <w:sz w:val="28"/>
          <w:szCs w:val="28"/>
          <w:highlight w:val="none"/>
        </w:rPr>
        <w:t>③</w:t>
      </w:r>
      <w:r>
        <w:rPr>
          <w:rFonts w:hint="eastAsia" w:ascii="宋体" w:hAnsi="宋体"/>
          <w:color w:val="000000"/>
          <w:spacing w:val="2"/>
          <w:sz w:val="28"/>
          <w:szCs w:val="28"/>
          <w:highlight w:val="none"/>
        </w:rPr>
        <w:t>支出经济分类：</w:t>
      </w:r>
      <w:r>
        <w:rPr>
          <w:rFonts w:hint="eastAsia" w:ascii="宋体" w:hAnsi="宋体"/>
          <w:color w:val="000000"/>
          <w:spacing w:val="2"/>
          <w:sz w:val="28"/>
          <w:szCs w:val="28"/>
          <w:highlight w:val="none"/>
          <w:lang w:val="en-US" w:eastAsia="zh-CN"/>
        </w:rPr>
        <w:t>609.97万</w:t>
      </w:r>
      <w:r>
        <w:rPr>
          <w:rFonts w:hint="eastAsia" w:ascii="宋体" w:hAnsi="宋体"/>
          <w:color w:val="000000"/>
          <w:spacing w:val="2"/>
          <w:sz w:val="28"/>
          <w:szCs w:val="28"/>
          <w:highlight w:val="none"/>
        </w:rPr>
        <w:t>元，其中工资福利支出</w:t>
      </w:r>
      <w:r>
        <w:rPr>
          <w:rFonts w:hint="eastAsia" w:ascii="宋体" w:hAnsi="宋体"/>
          <w:color w:val="000000"/>
          <w:spacing w:val="2"/>
          <w:sz w:val="28"/>
          <w:szCs w:val="28"/>
          <w:highlight w:val="none"/>
          <w:lang w:val="en-US" w:eastAsia="zh-CN"/>
        </w:rPr>
        <w:t>263.69万</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val="en-US" w:eastAsia="zh-CN"/>
        </w:rPr>
        <w:t>同比增长6%，</w:t>
      </w:r>
      <w:r>
        <w:rPr>
          <w:rFonts w:hint="eastAsia" w:ascii="宋体" w:hAnsi="宋体"/>
          <w:color w:val="000000"/>
          <w:spacing w:val="2"/>
          <w:sz w:val="28"/>
          <w:szCs w:val="28"/>
          <w:highlight w:val="none"/>
        </w:rPr>
        <w:t>商品服务支出</w:t>
      </w:r>
      <w:r>
        <w:rPr>
          <w:rFonts w:hint="eastAsia" w:ascii="宋体" w:hAnsi="宋体"/>
          <w:color w:val="000000"/>
          <w:spacing w:val="2"/>
          <w:sz w:val="28"/>
          <w:szCs w:val="28"/>
          <w:highlight w:val="none"/>
          <w:lang w:val="en-US" w:eastAsia="zh-CN"/>
        </w:rPr>
        <w:t>343.34万</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val="en-US" w:eastAsia="zh-CN"/>
        </w:rPr>
        <w:t>同比增长18.3%，</w:t>
      </w:r>
      <w:r>
        <w:rPr>
          <w:rFonts w:hint="eastAsia" w:ascii="宋体" w:hAnsi="宋体"/>
          <w:color w:val="000000"/>
          <w:spacing w:val="2"/>
          <w:sz w:val="28"/>
          <w:szCs w:val="28"/>
          <w:highlight w:val="none"/>
        </w:rPr>
        <w:t>其它资本性支出</w:t>
      </w:r>
      <w:r>
        <w:rPr>
          <w:rFonts w:hint="eastAsia" w:ascii="宋体" w:hAnsi="宋体"/>
          <w:color w:val="000000"/>
          <w:spacing w:val="2"/>
          <w:sz w:val="28"/>
          <w:szCs w:val="28"/>
          <w:highlight w:val="none"/>
          <w:lang w:val="en-US" w:eastAsia="zh-CN"/>
        </w:rPr>
        <w:t>2.94万</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lang w:val="en-US" w:eastAsia="zh-CN"/>
        </w:rPr>
        <w:t>同比增长25%</w:t>
      </w:r>
      <w:r>
        <w:rPr>
          <w:rFonts w:hint="eastAsia" w:ascii="宋体" w:hAnsi="宋体"/>
          <w:color w:val="000000"/>
          <w:spacing w:val="2"/>
          <w:sz w:val="28"/>
          <w:szCs w:val="28"/>
          <w:highlight w:val="none"/>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lang w:val="en-US" w:eastAsia="zh-CN"/>
        </w:rPr>
        <w:t>3.</w:t>
      </w:r>
      <w:r>
        <w:rPr>
          <w:rFonts w:hint="eastAsia" w:ascii="宋体" w:hAnsi="宋体"/>
          <w:color w:val="000000"/>
          <w:spacing w:val="2"/>
          <w:sz w:val="28"/>
          <w:szCs w:val="28"/>
          <w:highlight w:val="none"/>
        </w:rPr>
        <w:t>财政拨款支出决算总体情况。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rPr>
        <w:t>年度财政拨款支出</w:t>
      </w:r>
      <w:r>
        <w:rPr>
          <w:rFonts w:hint="eastAsia" w:ascii="宋体" w:hAnsi="宋体"/>
          <w:color w:val="000000"/>
          <w:spacing w:val="2"/>
          <w:sz w:val="28"/>
          <w:szCs w:val="28"/>
          <w:highlight w:val="none"/>
          <w:lang w:val="en-US" w:eastAsia="zh-CN"/>
        </w:rPr>
        <w:t>608.55</w:t>
      </w:r>
      <w:r>
        <w:rPr>
          <w:rFonts w:hint="eastAsia" w:ascii="宋体" w:hAnsi="宋体"/>
          <w:color w:val="000000"/>
          <w:spacing w:val="2"/>
          <w:sz w:val="28"/>
          <w:szCs w:val="28"/>
          <w:highlight w:val="none"/>
        </w:rPr>
        <w:t>万元，占本年支出合计的</w:t>
      </w:r>
      <w:r>
        <w:rPr>
          <w:rFonts w:hint="eastAsia" w:ascii="宋体" w:hAnsi="宋体"/>
          <w:color w:val="000000"/>
          <w:spacing w:val="2"/>
          <w:sz w:val="28"/>
          <w:szCs w:val="28"/>
          <w:highlight w:val="none"/>
          <w:lang w:val="en-US" w:eastAsia="zh-CN"/>
        </w:rPr>
        <w:t>99.77</w:t>
      </w:r>
      <w:r>
        <w:rPr>
          <w:rFonts w:hint="eastAsia" w:ascii="宋体" w:hAnsi="宋体"/>
          <w:color w:val="000000"/>
          <w:spacing w:val="2"/>
          <w:sz w:val="28"/>
          <w:szCs w:val="28"/>
          <w:highlight w:val="none"/>
        </w:rPr>
        <w:t>%。与</w:t>
      </w: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0</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度</w:t>
      </w:r>
      <w:r>
        <w:rPr>
          <w:rFonts w:hint="eastAsia" w:ascii="宋体" w:hAnsi="宋体"/>
          <w:color w:val="000000"/>
          <w:spacing w:val="2"/>
          <w:sz w:val="28"/>
          <w:szCs w:val="28"/>
          <w:highlight w:val="none"/>
        </w:rPr>
        <w:t>相比，财政拨款支出增加</w:t>
      </w:r>
      <w:r>
        <w:rPr>
          <w:rFonts w:hint="eastAsia" w:ascii="宋体" w:hAnsi="宋体"/>
          <w:color w:val="000000"/>
          <w:spacing w:val="2"/>
          <w:sz w:val="28"/>
          <w:szCs w:val="28"/>
          <w:highlight w:val="none"/>
          <w:lang w:val="en-US" w:eastAsia="zh-CN"/>
        </w:rPr>
        <w:t>102.89</w:t>
      </w:r>
      <w:r>
        <w:rPr>
          <w:rFonts w:hint="eastAsia" w:ascii="宋体" w:hAnsi="宋体"/>
          <w:color w:val="000000"/>
          <w:spacing w:val="2"/>
          <w:sz w:val="28"/>
          <w:szCs w:val="28"/>
          <w:highlight w:val="none"/>
        </w:rPr>
        <w:t>万元，增长</w:t>
      </w:r>
      <w:r>
        <w:rPr>
          <w:rFonts w:hint="eastAsia" w:ascii="宋体" w:hAnsi="宋体"/>
          <w:color w:val="000000"/>
          <w:spacing w:val="2"/>
          <w:sz w:val="28"/>
          <w:szCs w:val="28"/>
          <w:highlight w:val="none"/>
          <w:lang w:val="en-US" w:eastAsia="zh-CN"/>
        </w:rPr>
        <w:t>20.35</w:t>
      </w:r>
      <w:r>
        <w:rPr>
          <w:rFonts w:hint="eastAsia" w:ascii="宋体" w:hAnsi="宋体"/>
          <w:color w:val="000000"/>
          <w:spacing w:val="2"/>
          <w:sz w:val="28"/>
          <w:szCs w:val="28"/>
          <w:highlight w:val="none"/>
        </w:rPr>
        <w:t>%。主要原因是</w:t>
      </w:r>
      <w:r>
        <w:rPr>
          <w:rFonts w:hint="eastAsia" w:ascii="宋体" w:hAnsi="宋体"/>
          <w:color w:val="000000"/>
          <w:spacing w:val="2"/>
          <w:sz w:val="28"/>
          <w:szCs w:val="28"/>
          <w:highlight w:val="none"/>
          <w:lang w:val="en-US" w:eastAsia="zh-CN"/>
        </w:rPr>
        <w:t>一体化系统上线支付建设费，与年初预算相比，</w:t>
      </w:r>
      <w:r>
        <w:rPr>
          <w:rFonts w:hint="eastAsia" w:ascii="宋体" w:hAnsi="宋体"/>
          <w:color w:val="000000"/>
          <w:spacing w:val="2"/>
          <w:sz w:val="28"/>
          <w:szCs w:val="28"/>
          <w:highlight w:val="none"/>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rPr>
        <w:t>财政拨款支出决算结构情况。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eastAsiaTheme="minorEastAsia"/>
          <w:color w:val="000000"/>
          <w:spacing w:val="2"/>
          <w:sz w:val="28"/>
          <w:szCs w:val="28"/>
          <w:highlight w:val="none"/>
          <w:lang w:val="en-US" w:eastAsia="zh-CN"/>
        </w:rPr>
      </w:pP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rPr>
        <w:t>年度财政拨款支出</w:t>
      </w:r>
      <w:r>
        <w:rPr>
          <w:rFonts w:hint="eastAsia" w:ascii="宋体" w:hAnsi="宋体"/>
          <w:color w:val="000000"/>
          <w:spacing w:val="2"/>
          <w:sz w:val="28"/>
          <w:szCs w:val="28"/>
          <w:highlight w:val="none"/>
          <w:lang w:val="en-US" w:eastAsia="zh-CN"/>
        </w:rPr>
        <w:t>608.55</w:t>
      </w:r>
      <w:r>
        <w:rPr>
          <w:rFonts w:hint="eastAsia" w:ascii="宋体" w:hAnsi="宋体"/>
          <w:color w:val="000000"/>
          <w:spacing w:val="2"/>
          <w:sz w:val="28"/>
          <w:szCs w:val="28"/>
          <w:highlight w:val="none"/>
        </w:rPr>
        <w:t>万元，按支出性质分类：基本支出</w:t>
      </w:r>
      <w:r>
        <w:rPr>
          <w:rFonts w:hint="eastAsia" w:ascii="宋体" w:hAnsi="宋体"/>
          <w:color w:val="000000"/>
          <w:spacing w:val="2"/>
          <w:sz w:val="28"/>
          <w:szCs w:val="28"/>
          <w:highlight w:val="none"/>
          <w:lang w:val="en-US" w:eastAsia="zh-CN"/>
        </w:rPr>
        <w:t>608.55</w:t>
      </w:r>
      <w:r>
        <w:rPr>
          <w:rFonts w:hint="eastAsia" w:ascii="宋体" w:hAnsi="宋体"/>
          <w:color w:val="000000"/>
          <w:spacing w:val="2"/>
          <w:sz w:val="28"/>
          <w:szCs w:val="28"/>
          <w:highlight w:val="none"/>
        </w:rPr>
        <w:t>万元</w:t>
      </w:r>
      <w:r>
        <w:rPr>
          <w:rFonts w:hint="eastAsia" w:ascii="宋体" w:hAnsi="宋体"/>
          <w:color w:val="000000"/>
          <w:spacing w:val="2"/>
          <w:sz w:val="28"/>
          <w:szCs w:val="28"/>
          <w:highlight w:val="none"/>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w:t>
      </w:r>
      <w:r>
        <w:rPr>
          <w:rFonts w:hint="eastAsia" w:ascii="宋体" w:hAnsi="宋体"/>
          <w:color w:val="000000"/>
          <w:spacing w:val="2"/>
          <w:sz w:val="28"/>
          <w:szCs w:val="28"/>
          <w:highlight w:val="none"/>
          <w:lang w:val="en-US" w:eastAsia="zh-CN"/>
        </w:rPr>
        <w:t>2</w:t>
      </w:r>
      <w:r>
        <w:rPr>
          <w:rFonts w:hint="eastAsia" w:ascii="宋体" w:hAnsi="宋体"/>
          <w:color w:val="000000"/>
          <w:spacing w:val="2"/>
          <w:sz w:val="28"/>
          <w:szCs w:val="28"/>
          <w:highlight w:val="none"/>
        </w:rPr>
        <w:t>）财政拨款支出决算具体情况。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lang w:val="en-US" w:eastAsia="zh-CN"/>
        </w:rPr>
      </w:pP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度</w:t>
      </w:r>
      <w:r>
        <w:rPr>
          <w:rFonts w:hint="eastAsia" w:ascii="宋体" w:hAnsi="宋体"/>
          <w:color w:val="000000"/>
          <w:spacing w:val="2"/>
          <w:sz w:val="28"/>
          <w:szCs w:val="28"/>
          <w:highlight w:val="none"/>
        </w:rPr>
        <w:t>一般公共预算财政拨款支出年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预算为</w:t>
      </w:r>
      <w:r>
        <w:rPr>
          <w:rFonts w:hint="eastAsia" w:ascii="宋体" w:hAnsi="宋体"/>
          <w:color w:val="000000"/>
          <w:spacing w:val="2"/>
          <w:sz w:val="28"/>
          <w:szCs w:val="28"/>
          <w:highlight w:val="none"/>
          <w:lang w:val="en-US" w:eastAsia="zh-CN"/>
        </w:rPr>
        <w:t>238.26</w:t>
      </w:r>
      <w:r>
        <w:rPr>
          <w:rFonts w:hint="eastAsia" w:ascii="宋体" w:hAnsi="宋体"/>
          <w:color w:val="000000"/>
          <w:spacing w:val="2"/>
          <w:sz w:val="28"/>
          <w:szCs w:val="28"/>
          <w:highlight w:val="none"/>
        </w:rPr>
        <w:t>万元，支出决算为</w:t>
      </w:r>
      <w:r>
        <w:rPr>
          <w:rFonts w:hint="eastAsia" w:ascii="宋体" w:hAnsi="宋体"/>
          <w:color w:val="000000"/>
          <w:spacing w:val="2"/>
          <w:sz w:val="28"/>
          <w:szCs w:val="28"/>
          <w:highlight w:val="none"/>
          <w:lang w:val="en-US" w:eastAsia="zh-CN"/>
        </w:rPr>
        <w:t>608.55</w:t>
      </w:r>
      <w:r>
        <w:rPr>
          <w:rFonts w:hint="eastAsia" w:ascii="宋体" w:hAnsi="宋体"/>
          <w:color w:val="000000"/>
          <w:spacing w:val="2"/>
          <w:sz w:val="28"/>
          <w:szCs w:val="28"/>
          <w:highlight w:val="none"/>
        </w:rPr>
        <w:t>万元，</w:t>
      </w:r>
      <w:r>
        <w:rPr>
          <w:rFonts w:hint="eastAsia" w:ascii="宋体" w:hAnsi="宋体"/>
          <w:color w:val="000000"/>
          <w:spacing w:val="2"/>
          <w:sz w:val="28"/>
          <w:szCs w:val="28"/>
          <w:highlight w:val="none"/>
          <w:lang w:val="en-US" w:eastAsia="zh-CN"/>
        </w:rPr>
        <w:t>超出</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预算的</w:t>
      </w:r>
      <w:r>
        <w:rPr>
          <w:rFonts w:hint="eastAsia" w:ascii="宋体" w:hAnsi="宋体"/>
          <w:color w:val="000000"/>
          <w:spacing w:val="2"/>
          <w:sz w:val="28"/>
          <w:szCs w:val="28"/>
          <w:highlight w:val="none"/>
          <w:lang w:val="en-US" w:eastAsia="zh-CN"/>
        </w:rPr>
        <w:t>155.41</w:t>
      </w:r>
      <w:r>
        <w:rPr>
          <w:rFonts w:hint="eastAsia" w:ascii="宋体" w:hAnsi="宋体"/>
          <w:color w:val="000000"/>
          <w:spacing w:val="2"/>
          <w:sz w:val="28"/>
          <w:szCs w:val="28"/>
          <w:highlight w:val="none"/>
        </w:rPr>
        <w:t>%</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lang w:val="en-US" w:eastAsia="zh-CN"/>
        </w:rPr>
        <w:t>主要是人员经费和公用经费均有所增加。</w:t>
      </w:r>
      <w:r>
        <w:rPr>
          <w:rFonts w:hint="eastAsia" w:ascii="宋体" w:hAnsi="宋体"/>
          <w:color w:val="000000"/>
          <w:spacing w:val="2"/>
          <w:sz w:val="28"/>
          <w:szCs w:val="28"/>
          <w:highlight w:val="none"/>
        </w:rPr>
        <w:t>其中：1.一般公共服务支出(类)。年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预算为</w:t>
      </w:r>
      <w:r>
        <w:rPr>
          <w:rFonts w:hint="eastAsia" w:ascii="宋体" w:hAnsi="宋体"/>
          <w:color w:val="000000"/>
          <w:spacing w:val="2"/>
          <w:sz w:val="28"/>
          <w:szCs w:val="28"/>
          <w:highlight w:val="none"/>
          <w:lang w:val="en-US" w:eastAsia="zh-CN"/>
        </w:rPr>
        <w:t>238.26</w:t>
      </w:r>
      <w:r>
        <w:rPr>
          <w:rFonts w:hint="eastAsia" w:ascii="宋体" w:hAnsi="宋体"/>
          <w:color w:val="000000"/>
          <w:spacing w:val="2"/>
          <w:sz w:val="28"/>
          <w:szCs w:val="28"/>
          <w:highlight w:val="none"/>
        </w:rPr>
        <w:t>万元，支出决算为</w:t>
      </w:r>
      <w:r>
        <w:rPr>
          <w:rFonts w:hint="eastAsia" w:ascii="宋体" w:hAnsi="宋体"/>
          <w:color w:val="000000"/>
          <w:spacing w:val="2"/>
          <w:sz w:val="28"/>
          <w:szCs w:val="28"/>
          <w:highlight w:val="none"/>
          <w:lang w:val="en-US" w:eastAsia="zh-CN"/>
        </w:rPr>
        <w:t>608.55</w:t>
      </w:r>
      <w:r>
        <w:rPr>
          <w:rFonts w:hint="eastAsia" w:ascii="宋体" w:hAnsi="宋体"/>
          <w:color w:val="000000"/>
          <w:spacing w:val="2"/>
          <w:sz w:val="28"/>
          <w:szCs w:val="28"/>
          <w:highlight w:val="none"/>
        </w:rPr>
        <w:t>万元，</w:t>
      </w:r>
      <w:r>
        <w:rPr>
          <w:rFonts w:hint="eastAsia" w:ascii="宋体" w:hAnsi="宋体"/>
          <w:color w:val="000000"/>
          <w:spacing w:val="2"/>
          <w:sz w:val="28"/>
          <w:szCs w:val="28"/>
          <w:highlight w:val="none"/>
          <w:lang w:val="en-US" w:eastAsia="zh-CN"/>
        </w:rPr>
        <w:t>超出</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预算的</w:t>
      </w:r>
      <w:r>
        <w:rPr>
          <w:rFonts w:hint="eastAsia" w:ascii="宋体" w:hAnsi="宋体"/>
          <w:color w:val="000000"/>
          <w:spacing w:val="2"/>
          <w:sz w:val="28"/>
          <w:szCs w:val="28"/>
          <w:highlight w:val="none"/>
          <w:lang w:val="en-US" w:eastAsia="zh-CN"/>
        </w:rPr>
        <w:t>155.41</w:t>
      </w:r>
      <w:r>
        <w:rPr>
          <w:rFonts w:hint="eastAsia" w:ascii="宋体" w:hAnsi="宋体"/>
          <w:color w:val="000000"/>
          <w:spacing w:val="2"/>
          <w:sz w:val="28"/>
          <w:szCs w:val="28"/>
          <w:highlight w:val="none"/>
        </w:rPr>
        <w:t>%%，支出决算数</w:t>
      </w:r>
      <w:r>
        <w:rPr>
          <w:rFonts w:hint="eastAsia" w:ascii="宋体" w:hAnsi="宋体"/>
          <w:color w:val="000000"/>
          <w:spacing w:val="2"/>
          <w:sz w:val="28"/>
          <w:szCs w:val="28"/>
          <w:highlight w:val="none"/>
          <w:lang w:eastAsia="zh-CN"/>
        </w:rPr>
        <w:t>大</w:t>
      </w:r>
      <w:r>
        <w:rPr>
          <w:rFonts w:hint="eastAsia" w:ascii="宋体" w:hAnsi="宋体"/>
          <w:color w:val="000000"/>
          <w:spacing w:val="2"/>
          <w:sz w:val="28"/>
          <w:szCs w:val="28"/>
          <w:highlight w:val="none"/>
        </w:rPr>
        <w:t>于年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预算数的主要原因</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rPr>
        <w:t>一是</w:t>
      </w:r>
      <w:r>
        <w:rPr>
          <w:rFonts w:hint="eastAsia" w:ascii="宋体" w:hAnsi="宋体"/>
          <w:color w:val="000000"/>
          <w:spacing w:val="2"/>
          <w:sz w:val="28"/>
          <w:szCs w:val="28"/>
          <w:highlight w:val="none"/>
          <w:lang w:val="en-US" w:eastAsia="zh-CN"/>
        </w:rPr>
        <w:t>人员经费增加</w:t>
      </w:r>
      <w:r>
        <w:rPr>
          <w:rFonts w:hint="eastAsia" w:ascii="宋体" w:hAnsi="宋体"/>
          <w:color w:val="000000"/>
          <w:spacing w:val="2"/>
          <w:sz w:val="28"/>
          <w:szCs w:val="28"/>
          <w:highlight w:val="none"/>
        </w:rPr>
        <w:t>；二是</w:t>
      </w:r>
      <w:r>
        <w:rPr>
          <w:rFonts w:hint="eastAsia" w:ascii="宋体" w:hAnsi="宋体"/>
          <w:color w:val="000000"/>
          <w:spacing w:val="2"/>
          <w:sz w:val="28"/>
          <w:szCs w:val="28"/>
          <w:highlight w:val="none"/>
          <w:lang w:val="en-US" w:eastAsia="zh-CN"/>
        </w:rPr>
        <w:t>公用经费增加一体化系统上线支付建设费等</w:t>
      </w:r>
      <w:r>
        <w:rPr>
          <w:rFonts w:hint="eastAsia" w:ascii="宋体" w:hAnsi="宋体"/>
          <w:color w:val="000000"/>
          <w:spacing w:val="2"/>
          <w:sz w:val="28"/>
          <w:szCs w:val="28"/>
          <w:highlight w:val="none"/>
        </w:rPr>
        <w:t>。</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（二）关于“三公”经费支出说明</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2021年“三公”经费</w:t>
      </w:r>
      <w:r>
        <w:rPr>
          <w:rFonts w:hint="eastAsia" w:asciiTheme="minorEastAsia" w:hAnsiTheme="minorEastAsia" w:cstheme="minorEastAsia"/>
          <w:sz w:val="28"/>
          <w:szCs w:val="28"/>
          <w:lang w:val="en-US" w:eastAsia="zh-CN"/>
        </w:rPr>
        <w:t>年初预算27500元，</w:t>
      </w:r>
      <w:r>
        <w:rPr>
          <w:rFonts w:hint="eastAsia" w:asciiTheme="minorEastAsia" w:hAnsiTheme="minorEastAsia" w:eastAsiaTheme="minorEastAsia" w:cstheme="minorEastAsia"/>
          <w:sz w:val="28"/>
          <w:szCs w:val="28"/>
        </w:rPr>
        <w:t>决算总支出0元，与2020年度持平</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其中：</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我部门因</w:t>
      </w:r>
      <w:r>
        <w:rPr>
          <w:rFonts w:hint="eastAsia" w:asciiTheme="minorEastAsia" w:hAnsiTheme="minorEastAsia" w:eastAsiaTheme="minorEastAsia" w:cstheme="minorEastAsia"/>
          <w:sz w:val="28"/>
          <w:szCs w:val="28"/>
        </w:rPr>
        <w:t>公出国（境）团组数0、人数0，与2020年度持平</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仿宋_GB2312" w:eastAsia="仿宋_GB2312"/>
          <w:color w:val="000000"/>
          <w:sz w:val="32"/>
          <w:szCs w:val="32"/>
          <w:highlight w:val="none"/>
          <w:u w:val="none"/>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公务用车购置及运行费支出决算为</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年初</w:t>
      </w:r>
      <w:r>
        <w:rPr>
          <w:rFonts w:hint="eastAsia" w:asciiTheme="minorEastAsia" w:hAnsiTheme="minorEastAsia" w:eastAsiaTheme="minorEastAsia" w:cstheme="minorEastAsia"/>
          <w:sz w:val="28"/>
          <w:szCs w:val="28"/>
        </w:rPr>
        <w:t>预算</w:t>
      </w:r>
      <w:r>
        <w:rPr>
          <w:rFonts w:hint="eastAsia" w:asciiTheme="minorEastAsia" w:hAnsiTheme="minorEastAsia" w:cstheme="minorEastAsia"/>
          <w:sz w:val="28"/>
          <w:szCs w:val="28"/>
          <w:lang w:val="en-US" w:eastAsia="zh-CN"/>
        </w:rPr>
        <w:t>0元</w:t>
      </w:r>
      <w:r>
        <w:rPr>
          <w:rFonts w:hint="eastAsia" w:asciiTheme="minorEastAsia" w:hAnsiTheme="minorEastAsia" w:eastAsiaTheme="minorEastAsia" w:cstheme="minorEastAsia"/>
          <w:sz w:val="28"/>
          <w:szCs w:val="28"/>
        </w:rPr>
        <w:t>；其中：</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公务车运行维护费0元，年初预算数0元，决算数比预算数增加0元，增加幅度为0%；</w:t>
      </w:r>
      <w:r>
        <w:rPr>
          <w:rFonts w:hint="eastAsia" w:asciiTheme="minorEastAsia" w:hAnsiTheme="minorEastAsia" w:cstheme="minorEastAsia"/>
          <w:sz w:val="28"/>
          <w:szCs w:val="28"/>
          <w:lang w:val="en-US" w:eastAsia="zh-CN"/>
        </w:rPr>
        <w:t>公务车实物量0，保有量0，与2020年度持平；</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公务用车购置费0元，年初预算</w:t>
      </w:r>
      <w:r>
        <w:rPr>
          <w:rFonts w:hint="eastAsia" w:asciiTheme="minorEastAsia" w:hAnsiTheme="minorEastAsia" w:eastAsiaTheme="minorEastAsia" w:cstheme="minorEastAsia"/>
          <w:sz w:val="28"/>
          <w:szCs w:val="28"/>
        </w:rPr>
        <w:t>年初预算数0元，决算数比预算数增加0元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与2020年度持平；</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公务接待费0元，年初预算数</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7500元，决算数比预算数增加-</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7500元，增长幅度为-100%；</w:t>
      </w:r>
      <w:r>
        <w:rPr>
          <w:rFonts w:hint="eastAsia" w:asciiTheme="minorEastAsia" w:hAnsiTheme="minorEastAsia" w:cstheme="minorEastAsia"/>
          <w:sz w:val="28"/>
          <w:szCs w:val="28"/>
          <w:lang w:val="en-US" w:eastAsia="zh-CN"/>
        </w:rPr>
        <w:t>我部门公务接待批次0，公务接待人数0，与2020年度持平；</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（三）关于机关运行经费支出说明</w:t>
      </w:r>
    </w:p>
    <w:p>
      <w:pPr>
        <w:pStyle w:val="9"/>
        <w:keepNext w:val="0"/>
        <w:keepLines w:val="0"/>
        <w:pageBreakBefore w:val="0"/>
        <w:shd w:val="clear"/>
        <w:kinsoku/>
        <w:wordWrap/>
        <w:overflowPunct/>
        <w:topLinePunct w:val="0"/>
        <w:autoSpaceDE/>
        <w:autoSpaceDN/>
        <w:bidi w:val="0"/>
        <w:adjustRightInd/>
        <w:snapToGrid/>
        <w:ind w:left="0" w:leftChars="0" w:firstLine="560" w:firstLineChars="200"/>
        <w:textAlignment w:val="auto"/>
        <w:rPr>
          <w:rFonts w:hint="eastAsia" w:ascii="宋体" w:hAnsi="宋体"/>
          <w:color w:val="000000"/>
          <w:spacing w:val="2"/>
          <w:sz w:val="28"/>
          <w:szCs w:val="28"/>
          <w:lang w:val="en-US" w:eastAsia="zh-CN"/>
        </w:rPr>
      </w:pPr>
      <w:r>
        <w:rPr>
          <w:rFonts w:hint="eastAsia" w:asciiTheme="minorEastAsia" w:hAnsiTheme="minorEastAsia" w:eastAsiaTheme="minorEastAsia" w:cstheme="minorEastAsia"/>
          <w:sz w:val="28"/>
          <w:szCs w:val="28"/>
          <w:highlight w:val="none"/>
        </w:rPr>
        <w:t>本部门</w:t>
      </w:r>
      <w:r>
        <w:rPr>
          <w:rFonts w:hint="eastAsia" w:asciiTheme="minorEastAsia" w:hAnsiTheme="minorEastAsia" w:cstheme="minorEastAsia"/>
          <w:sz w:val="28"/>
          <w:szCs w:val="28"/>
          <w:highlight w:val="none"/>
          <w:lang w:val="en-US" w:eastAsia="zh-CN"/>
        </w:rPr>
        <w:t>2021</w:t>
      </w:r>
      <w:r>
        <w:rPr>
          <w:rFonts w:hint="eastAsia" w:asciiTheme="minorEastAsia" w:hAnsiTheme="minorEastAsia" w:eastAsiaTheme="minorEastAsia" w:cstheme="minorEastAsia"/>
          <w:sz w:val="28"/>
          <w:szCs w:val="28"/>
          <w:highlight w:val="none"/>
        </w:rPr>
        <w:t>年度机关运行经费支出</w:t>
      </w:r>
      <w:r>
        <w:rPr>
          <w:rFonts w:hint="eastAsia" w:ascii="宋体" w:hAnsi="宋体"/>
          <w:color w:val="000000"/>
          <w:spacing w:val="2"/>
          <w:sz w:val="28"/>
          <w:szCs w:val="28"/>
          <w:lang w:val="en-US" w:eastAsia="zh-CN"/>
        </w:rPr>
        <w:t>346.28</w:t>
      </w:r>
      <w:r>
        <w:rPr>
          <w:rFonts w:hint="eastAsia" w:asciiTheme="minorEastAsia" w:hAnsiTheme="minorEastAsia" w:eastAsiaTheme="minorEastAsia" w:cstheme="minorEastAsia"/>
          <w:sz w:val="28"/>
          <w:szCs w:val="28"/>
          <w:highlight w:val="none"/>
        </w:rPr>
        <w:t>万元，与2020年决算数</w:t>
      </w:r>
      <w:r>
        <w:rPr>
          <w:rFonts w:hint="eastAsia" w:asciiTheme="minorEastAsia" w:hAnsiTheme="minorEastAsia" w:cstheme="minorEastAsia"/>
          <w:sz w:val="28"/>
          <w:szCs w:val="28"/>
          <w:highlight w:val="none"/>
          <w:lang w:val="en-US" w:eastAsia="zh-CN"/>
        </w:rPr>
        <w:t>292.51</w:t>
      </w:r>
      <w:r>
        <w:rPr>
          <w:rFonts w:hint="eastAsia" w:asciiTheme="minorEastAsia" w:hAnsiTheme="minorEastAsia" w:eastAsiaTheme="minorEastAsia" w:cstheme="minorEastAsia"/>
          <w:sz w:val="28"/>
          <w:szCs w:val="28"/>
          <w:highlight w:val="none"/>
        </w:rPr>
        <w:t>万元增加了</w:t>
      </w:r>
      <w:r>
        <w:rPr>
          <w:rFonts w:hint="eastAsia" w:asciiTheme="minorEastAsia" w:hAnsiTheme="minorEastAsia" w:cstheme="minorEastAsia"/>
          <w:sz w:val="28"/>
          <w:szCs w:val="28"/>
          <w:highlight w:val="none"/>
          <w:lang w:val="en-US" w:eastAsia="zh-CN"/>
        </w:rPr>
        <w:t>53.77</w:t>
      </w:r>
      <w:r>
        <w:rPr>
          <w:rFonts w:hint="eastAsia" w:asciiTheme="minorEastAsia" w:hAnsiTheme="minorEastAsia" w:eastAsiaTheme="minorEastAsia" w:cstheme="minorEastAsia"/>
          <w:sz w:val="28"/>
          <w:szCs w:val="28"/>
          <w:highlight w:val="none"/>
        </w:rPr>
        <w:t>万元，较2021年预算数</w:t>
      </w:r>
      <w:r>
        <w:rPr>
          <w:rFonts w:hint="eastAsia" w:asciiTheme="minorEastAsia" w:hAnsiTheme="minorEastAsia" w:cstheme="minorEastAsia"/>
          <w:sz w:val="28"/>
          <w:szCs w:val="28"/>
          <w:highlight w:val="none"/>
          <w:lang w:val="en-US" w:eastAsia="zh-CN"/>
        </w:rPr>
        <w:t>83.45</w:t>
      </w:r>
      <w:r>
        <w:rPr>
          <w:rFonts w:hint="eastAsia" w:asciiTheme="minorEastAsia" w:hAnsiTheme="minorEastAsia" w:eastAsiaTheme="minorEastAsia" w:cstheme="minorEastAsia"/>
          <w:sz w:val="28"/>
          <w:szCs w:val="28"/>
          <w:highlight w:val="none"/>
        </w:rPr>
        <w:t>万元增加了</w:t>
      </w:r>
      <w:r>
        <w:rPr>
          <w:rFonts w:hint="eastAsia" w:asciiTheme="minorEastAsia" w:hAnsiTheme="minorEastAsia" w:cstheme="minorEastAsia"/>
          <w:sz w:val="28"/>
          <w:szCs w:val="28"/>
          <w:highlight w:val="none"/>
          <w:lang w:val="en-US" w:eastAsia="zh-CN"/>
        </w:rPr>
        <w:t>262.83</w:t>
      </w:r>
      <w:r>
        <w:rPr>
          <w:rFonts w:hint="eastAsia" w:asciiTheme="minorEastAsia" w:hAnsiTheme="minorEastAsia" w:eastAsiaTheme="minorEastAsia" w:cstheme="minorEastAsia"/>
          <w:sz w:val="28"/>
          <w:szCs w:val="28"/>
          <w:highlight w:val="none"/>
        </w:rPr>
        <w:t>万元。主</w:t>
      </w:r>
      <w:r>
        <w:rPr>
          <w:rFonts w:hint="eastAsia" w:ascii="宋体" w:hAnsi="宋体"/>
          <w:color w:val="000000"/>
          <w:spacing w:val="2"/>
          <w:sz w:val="28"/>
          <w:szCs w:val="28"/>
          <w:lang w:val="en-US" w:eastAsia="zh-CN"/>
        </w:rPr>
        <w:t>要用于办公及印刷费、邮电费、差旅费、培训费、日常维修费、办公设备购置费、办公用房水电费、劳务费、委托业务费、工会经费、福利费以及其他费用，比2020年增加53.77万元，增长18.38%。主要原因是委托业务费有所增加。</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关于政府采购</w:t>
      </w:r>
      <w:r>
        <w:rPr>
          <w:rFonts w:hint="eastAsia" w:asciiTheme="minorEastAsia" w:hAnsiTheme="minorEastAsia" w:cstheme="minorEastAsia"/>
          <w:b/>
          <w:bCs/>
          <w:sz w:val="28"/>
          <w:szCs w:val="28"/>
          <w:highlight w:val="none"/>
          <w:lang w:val="en-US" w:eastAsia="zh-CN"/>
        </w:rPr>
        <w:t>执行情况</w:t>
      </w:r>
      <w:r>
        <w:rPr>
          <w:rFonts w:hint="eastAsia" w:asciiTheme="minorEastAsia" w:hAnsiTheme="minorEastAsia" w:eastAsiaTheme="minorEastAsia" w:cstheme="minorEastAsia"/>
          <w:b/>
          <w:bCs/>
          <w:sz w:val="28"/>
          <w:szCs w:val="28"/>
          <w:highlight w:val="none"/>
        </w:rPr>
        <w:t>说明</w:t>
      </w:r>
    </w:p>
    <w:p>
      <w:pPr>
        <w:keepNext w:val="0"/>
        <w:keepLines w:val="0"/>
        <w:pageBreakBefore w:val="0"/>
        <w:widowControl/>
        <w:shd w:val="clear" w:color="auto" w:fill="FFFFFF"/>
        <w:kinsoku/>
        <w:wordWrap/>
        <w:overflowPunct/>
        <w:topLinePunct w:val="0"/>
        <w:autoSpaceDE/>
        <w:autoSpaceDN/>
        <w:bidi w:val="0"/>
        <w:adjustRightInd/>
        <w:snapToGrid/>
        <w:ind w:firstLine="568"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宋体" w:hAnsi="宋体" w:cs="宋体" w:eastAsiaTheme="minorEastAsia"/>
          <w:color w:val="000000"/>
          <w:spacing w:val="2"/>
          <w:kern w:val="2"/>
          <w:sz w:val="28"/>
          <w:szCs w:val="28"/>
          <w:lang w:val="en-US" w:eastAsia="zh-CN" w:bidi="ar-SA"/>
        </w:rPr>
        <w:t>本部门（单位）2021年度政府采购支出总额98.18万元，其中：政府采购货物支出</w:t>
      </w:r>
      <w:r>
        <w:rPr>
          <w:rFonts w:hint="eastAsia" w:ascii="宋体" w:hAnsi="宋体" w:cs="宋体"/>
          <w:color w:val="000000"/>
          <w:spacing w:val="2"/>
          <w:kern w:val="2"/>
          <w:sz w:val="28"/>
          <w:szCs w:val="28"/>
          <w:lang w:val="en-US" w:eastAsia="zh-CN" w:bidi="ar-SA"/>
        </w:rPr>
        <w:t>2.71</w:t>
      </w:r>
      <w:r>
        <w:rPr>
          <w:rFonts w:hint="eastAsia" w:ascii="宋体" w:hAnsi="宋体" w:cs="宋体" w:eastAsiaTheme="minorEastAsia"/>
          <w:color w:val="000000"/>
          <w:spacing w:val="2"/>
          <w:kern w:val="2"/>
          <w:sz w:val="28"/>
          <w:szCs w:val="28"/>
          <w:lang w:val="en-US" w:eastAsia="zh-CN" w:bidi="ar-SA"/>
        </w:rPr>
        <w:t>万元、政府采购工程支出</w:t>
      </w:r>
      <w:r>
        <w:rPr>
          <w:rFonts w:hint="eastAsia" w:ascii="宋体" w:hAnsi="宋体" w:cs="宋体"/>
          <w:color w:val="000000"/>
          <w:spacing w:val="2"/>
          <w:kern w:val="2"/>
          <w:sz w:val="28"/>
          <w:szCs w:val="28"/>
          <w:lang w:val="en-US" w:eastAsia="zh-CN" w:bidi="ar-SA"/>
        </w:rPr>
        <w:t>0.57</w:t>
      </w:r>
      <w:r>
        <w:rPr>
          <w:rFonts w:hint="eastAsia" w:ascii="宋体" w:hAnsi="宋体" w:cs="宋体" w:eastAsiaTheme="minorEastAsia"/>
          <w:color w:val="000000"/>
          <w:spacing w:val="2"/>
          <w:kern w:val="2"/>
          <w:sz w:val="28"/>
          <w:szCs w:val="28"/>
          <w:lang w:val="en-US" w:eastAsia="zh-CN" w:bidi="ar-SA"/>
        </w:rPr>
        <w:t>万元、政府采购服务支出</w:t>
      </w:r>
      <w:r>
        <w:rPr>
          <w:rFonts w:hint="eastAsia" w:ascii="宋体" w:hAnsi="宋体" w:cs="宋体"/>
          <w:color w:val="000000"/>
          <w:spacing w:val="2"/>
          <w:kern w:val="2"/>
          <w:sz w:val="28"/>
          <w:szCs w:val="28"/>
          <w:lang w:val="en-US" w:eastAsia="zh-CN" w:bidi="ar-SA"/>
        </w:rPr>
        <w:t>94.9</w:t>
      </w:r>
      <w:r>
        <w:rPr>
          <w:rFonts w:hint="eastAsia" w:ascii="宋体" w:hAnsi="宋体" w:cs="宋体" w:eastAsiaTheme="minorEastAsia"/>
          <w:color w:val="000000"/>
          <w:spacing w:val="2"/>
          <w:kern w:val="2"/>
          <w:sz w:val="28"/>
          <w:szCs w:val="28"/>
          <w:lang w:val="en-US" w:eastAsia="zh-CN" w:bidi="ar-SA"/>
        </w:rPr>
        <w:t>万元。授予中小企业合同金额</w:t>
      </w:r>
      <w:r>
        <w:rPr>
          <w:rFonts w:hint="eastAsia" w:ascii="宋体" w:hAnsi="宋体" w:cs="宋体"/>
          <w:color w:val="000000"/>
          <w:spacing w:val="2"/>
          <w:kern w:val="2"/>
          <w:sz w:val="28"/>
          <w:szCs w:val="28"/>
          <w:lang w:val="en-US" w:eastAsia="zh-CN" w:bidi="ar-SA"/>
        </w:rPr>
        <w:t>98.18</w:t>
      </w:r>
      <w:r>
        <w:rPr>
          <w:rFonts w:hint="eastAsia" w:ascii="宋体" w:hAnsi="宋体" w:cs="宋体" w:eastAsiaTheme="minorEastAsia"/>
          <w:color w:val="000000"/>
          <w:spacing w:val="2"/>
          <w:kern w:val="2"/>
          <w:sz w:val="28"/>
          <w:szCs w:val="28"/>
          <w:lang w:val="en-US" w:eastAsia="zh-CN" w:bidi="ar-SA"/>
        </w:rPr>
        <w:t>万元，占政府采购支出总额的</w:t>
      </w:r>
      <w:r>
        <w:rPr>
          <w:rFonts w:hint="eastAsia" w:ascii="宋体" w:hAnsi="宋体" w:cs="宋体"/>
          <w:color w:val="000000"/>
          <w:spacing w:val="2"/>
          <w:kern w:val="2"/>
          <w:sz w:val="28"/>
          <w:szCs w:val="28"/>
          <w:lang w:val="en-US" w:eastAsia="zh-CN" w:bidi="ar-SA"/>
        </w:rPr>
        <w:t>10</w:t>
      </w:r>
      <w:r>
        <w:rPr>
          <w:rFonts w:hint="eastAsia" w:ascii="宋体" w:hAnsi="宋体" w:cs="宋体" w:eastAsiaTheme="minorEastAsia"/>
          <w:color w:val="000000"/>
          <w:spacing w:val="2"/>
          <w:kern w:val="2"/>
          <w:sz w:val="28"/>
          <w:szCs w:val="28"/>
          <w:lang w:val="en-US" w:eastAsia="zh-CN" w:bidi="ar-SA"/>
        </w:rPr>
        <w:t>0%，其中：授予小微企业合同金额</w:t>
      </w:r>
      <w:r>
        <w:rPr>
          <w:rFonts w:hint="eastAsia" w:ascii="宋体" w:hAnsi="宋体" w:cs="宋体"/>
          <w:color w:val="000000"/>
          <w:spacing w:val="2"/>
          <w:kern w:val="2"/>
          <w:sz w:val="28"/>
          <w:szCs w:val="28"/>
          <w:lang w:val="en-US" w:eastAsia="zh-CN" w:bidi="ar-SA"/>
        </w:rPr>
        <w:t>98.18</w:t>
      </w:r>
      <w:r>
        <w:rPr>
          <w:rFonts w:hint="eastAsia" w:ascii="宋体" w:hAnsi="宋体" w:cs="宋体" w:eastAsiaTheme="minorEastAsia"/>
          <w:color w:val="000000"/>
          <w:spacing w:val="2"/>
          <w:kern w:val="2"/>
          <w:sz w:val="28"/>
          <w:szCs w:val="28"/>
          <w:lang w:val="en-US" w:eastAsia="zh-CN" w:bidi="ar-SA"/>
        </w:rPr>
        <w:t>万元，占政府采购支出总额的</w:t>
      </w:r>
      <w:r>
        <w:rPr>
          <w:rFonts w:hint="eastAsia" w:ascii="宋体" w:hAnsi="宋体" w:cs="宋体"/>
          <w:color w:val="000000"/>
          <w:spacing w:val="2"/>
          <w:kern w:val="2"/>
          <w:sz w:val="28"/>
          <w:szCs w:val="28"/>
          <w:lang w:val="en-US" w:eastAsia="zh-CN" w:bidi="ar-SA"/>
        </w:rPr>
        <w:t>10</w:t>
      </w:r>
      <w:r>
        <w:rPr>
          <w:rFonts w:hint="eastAsia" w:ascii="宋体" w:hAnsi="宋体" w:cs="宋体" w:eastAsiaTheme="minorEastAsia"/>
          <w:color w:val="000000"/>
          <w:spacing w:val="2"/>
          <w:kern w:val="2"/>
          <w:sz w:val="28"/>
          <w:szCs w:val="28"/>
          <w:lang w:val="en-US" w:eastAsia="zh-CN" w:bidi="ar-SA"/>
        </w:rPr>
        <w:t>0%。</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（五）关于国有资产占用情况说明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kern w:val="2"/>
          <w:sz w:val="28"/>
          <w:szCs w:val="28"/>
          <w:highlight w:val="none"/>
          <w:lang w:val="en-US" w:eastAsia="zh-CN" w:bidi="ar-SA"/>
        </w:rPr>
        <w:t xml:space="preserve">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r>
        <w:rPr>
          <w:rFonts w:hint="eastAsia" w:asciiTheme="minorEastAsia" w:hAnsiTheme="minorEastAsia" w:eastAsiaTheme="minorEastAsia" w:cstheme="minorEastAsia"/>
          <w:sz w:val="28"/>
          <w:szCs w:val="28"/>
          <w:highlight w:val="none"/>
        </w:rPr>
        <w:t xml:space="preserve">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重点绩效评价结果等预算绩效情况说明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840" w:firstLineChars="300"/>
        <w:jc w:val="left"/>
        <w:textAlignment w:val="auto"/>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2021年，我单位对</w:t>
      </w:r>
      <w:r>
        <w:rPr>
          <w:rFonts w:hint="eastAsia" w:asciiTheme="minorEastAsia" w:hAnsiTheme="minorEastAsia" w:cstheme="minorEastAsia"/>
          <w:kern w:val="0"/>
          <w:sz w:val="28"/>
          <w:szCs w:val="28"/>
          <w:highlight w:val="none"/>
          <w:lang w:val="en-US" w:eastAsia="zh-CN" w:bidi="ar"/>
        </w:rPr>
        <w:t>5</w:t>
      </w:r>
      <w:r>
        <w:rPr>
          <w:rFonts w:hint="eastAsia" w:asciiTheme="minorEastAsia" w:hAnsiTheme="minorEastAsia" w:eastAsiaTheme="minorEastAsia" w:cstheme="minorEastAsia"/>
          <w:kern w:val="0"/>
          <w:sz w:val="28"/>
          <w:szCs w:val="28"/>
          <w:highlight w:val="none"/>
          <w:lang w:val="en-US" w:eastAsia="zh-CN" w:bidi="ar"/>
        </w:rPr>
        <w:t>个项目制定细化、明确的预算绩效目标和可考核、可量化的绩效指标，并加强对绩效目标的审核，将其作为预算编制和资金安排的前置条件和重要依据。加强对支出政策效果和资金使用绩效的监控，将预算绩效评价结果作为预算安排、政策调整的重要依据。</w:t>
      </w:r>
      <w:r>
        <w:rPr>
          <w:rFonts w:hint="default" w:asciiTheme="minorEastAsia" w:hAnsiTheme="minorEastAsia" w:eastAsiaTheme="minorEastAsia" w:cstheme="minorEastAsia"/>
          <w:kern w:val="0"/>
          <w:sz w:val="28"/>
          <w:szCs w:val="28"/>
          <w:highlight w:val="none"/>
          <w:lang w:val="en-US" w:eastAsia="zh-CN" w:bidi="ar"/>
        </w:rPr>
        <w:br w:type="textWrapping"/>
      </w:r>
    </w:p>
    <w:tbl>
      <w:tblPr>
        <w:tblStyle w:val="6"/>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1"/>
        <w:gridCol w:w="1143"/>
        <w:gridCol w:w="1043"/>
        <w:gridCol w:w="788"/>
        <w:gridCol w:w="2840"/>
        <w:gridCol w:w="1582"/>
        <w:gridCol w:w="267"/>
        <w:gridCol w:w="1582"/>
        <w:gridCol w:w="1582"/>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4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填报单位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黄石港区财政局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黄石港区财政局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7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部门整体支出总额预算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608.55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238.26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预算完成率=100%的，得10分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预算完成率≥95%的，得9分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预算完成率在90%（含）和95%之间，得8分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预算完成率在85%（含）和90%之间，得7分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预算完成率在80%（含）和85%之间，得6分。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预算完成率在70%(含）和80%之间，得4分。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预算调整率绝对值≤5%，得10分。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支出进度率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预算编制准确率≤20%，得5分。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预算编制准确率在20%和40%（含）之间，得3分。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资产管理规范性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1.新增资产配置按预算执行。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2.资产有偿使用、处置按规定程序审批。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资金使用合规性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2.资金的拨付有完整的审批程序和手续；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3.重大项目开支经过评估论证；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4.符合部门预算批复的用途；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2.项目完成后有制度保障项目持续运行需要；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95</w:t>
            </w:r>
          </w:p>
        </w:tc>
      </w:tr>
    </w:tbl>
    <w:p>
      <w:pPr>
        <w:spacing w:line="440" w:lineRule="exact"/>
        <w:rPr>
          <w:rFonts w:hint="eastAsia" w:ascii="宋体" w:hAnsi="宋体"/>
          <w:b/>
          <w:spacing w:val="2"/>
          <w:sz w:val="28"/>
          <w:szCs w:val="28"/>
          <w:lang w:val="en-US" w:eastAsia="zh-CN"/>
        </w:rPr>
      </w:pP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2020年全年总收入</w:t>
      </w:r>
      <w:r>
        <w:rPr>
          <w:rFonts w:hint="eastAsia" w:ascii="宋体" w:hAnsi="宋体"/>
          <w:spacing w:val="2"/>
          <w:sz w:val="28"/>
          <w:szCs w:val="28"/>
          <w:lang w:val="en-US" w:eastAsia="zh-CN"/>
        </w:rPr>
        <w:t>541.36万</w:t>
      </w:r>
      <w:r>
        <w:rPr>
          <w:rFonts w:hint="eastAsia" w:ascii="宋体" w:hAnsi="宋体"/>
          <w:spacing w:val="2"/>
          <w:sz w:val="28"/>
          <w:szCs w:val="28"/>
        </w:rPr>
        <w:t>元，20</w:t>
      </w:r>
      <w:r>
        <w:rPr>
          <w:rFonts w:hint="eastAsia" w:ascii="宋体" w:hAnsi="宋体"/>
          <w:spacing w:val="2"/>
          <w:sz w:val="28"/>
          <w:szCs w:val="28"/>
          <w:lang w:val="en-US" w:eastAsia="zh-CN"/>
        </w:rPr>
        <w:t>21</w:t>
      </w:r>
      <w:r>
        <w:rPr>
          <w:rFonts w:hint="eastAsia" w:ascii="宋体" w:hAnsi="宋体"/>
          <w:spacing w:val="2"/>
          <w:sz w:val="28"/>
          <w:szCs w:val="28"/>
        </w:rPr>
        <w:t>年全年总收入</w:t>
      </w:r>
      <w:r>
        <w:rPr>
          <w:rFonts w:hint="eastAsia" w:ascii="宋体" w:hAnsi="宋体"/>
          <w:spacing w:val="2"/>
          <w:sz w:val="28"/>
          <w:szCs w:val="28"/>
          <w:lang w:val="en-US" w:eastAsia="zh-CN"/>
        </w:rPr>
        <w:t>609.97万</w:t>
      </w:r>
      <w:r>
        <w:rPr>
          <w:rFonts w:hint="eastAsia" w:ascii="宋体" w:hAnsi="宋体"/>
          <w:spacing w:val="2"/>
          <w:sz w:val="28"/>
          <w:szCs w:val="28"/>
        </w:rPr>
        <w:t>元</w:t>
      </w:r>
      <w:r>
        <w:rPr>
          <w:rFonts w:hint="eastAsia" w:ascii="宋体" w:hAnsi="宋体"/>
          <w:spacing w:val="2"/>
          <w:sz w:val="28"/>
          <w:szCs w:val="28"/>
          <w:lang w:eastAsia="zh-CN"/>
        </w:rPr>
        <w:t>，</w:t>
      </w:r>
      <w:r>
        <w:rPr>
          <w:rFonts w:hint="eastAsia" w:ascii="宋体" w:hAnsi="宋体"/>
          <w:spacing w:val="2"/>
          <w:sz w:val="28"/>
          <w:szCs w:val="28"/>
        </w:rPr>
        <w:t>同比上年增加</w:t>
      </w:r>
      <w:r>
        <w:rPr>
          <w:rFonts w:hint="eastAsia" w:ascii="宋体" w:hAnsi="宋体"/>
          <w:spacing w:val="2"/>
          <w:sz w:val="28"/>
          <w:szCs w:val="28"/>
          <w:lang w:val="en-US" w:eastAsia="zh-CN"/>
        </w:rPr>
        <w:t>68.61万</w:t>
      </w:r>
      <w:r>
        <w:rPr>
          <w:rFonts w:hint="eastAsia" w:ascii="宋体" w:hAnsi="宋体"/>
          <w:spacing w:val="2"/>
          <w:sz w:val="28"/>
          <w:szCs w:val="28"/>
        </w:rPr>
        <w:t>元，原因是业务量增加。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2020年全年总</w:t>
      </w:r>
      <w:r>
        <w:rPr>
          <w:rFonts w:hint="eastAsia" w:ascii="宋体" w:hAnsi="宋体"/>
          <w:spacing w:val="2"/>
          <w:sz w:val="28"/>
          <w:szCs w:val="28"/>
          <w:lang w:val="en-US" w:eastAsia="zh-CN"/>
        </w:rPr>
        <w:t>支出541.36万</w:t>
      </w:r>
      <w:r>
        <w:rPr>
          <w:rFonts w:hint="eastAsia" w:ascii="宋体" w:hAnsi="宋体"/>
          <w:spacing w:val="2"/>
          <w:sz w:val="28"/>
          <w:szCs w:val="28"/>
        </w:rPr>
        <w:t>元，20</w:t>
      </w:r>
      <w:r>
        <w:rPr>
          <w:rFonts w:hint="eastAsia" w:ascii="宋体" w:hAnsi="宋体"/>
          <w:spacing w:val="2"/>
          <w:sz w:val="28"/>
          <w:szCs w:val="28"/>
          <w:lang w:val="en-US" w:eastAsia="zh-CN"/>
        </w:rPr>
        <w:t>21</w:t>
      </w:r>
      <w:r>
        <w:rPr>
          <w:rFonts w:hint="eastAsia" w:ascii="宋体" w:hAnsi="宋体"/>
          <w:spacing w:val="2"/>
          <w:sz w:val="28"/>
          <w:szCs w:val="28"/>
        </w:rPr>
        <w:t>年全年总</w:t>
      </w:r>
      <w:r>
        <w:rPr>
          <w:rFonts w:hint="eastAsia" w:ascii="宋体" w:hAnsi="宋体"/>
          <w:spacing w:val="2"/>
          <w:sz w:val="28"/>
          <w:szCs w:val="28"/>
          <w:lang w:val="en-US" w:eastAsia="zh-CN"/>
        </w:rPr>
        <w:t>支出609.97万</w:t>
      </w:r>
      <w:r>
        <w:rPr>
          <w:rFonts w:hint="eastAsia" w:ascii="宋体" w:hAnsi="宋体"/>
          <w:spacing w:val="2"/>
          <w:sz w:val="28"/>
          <w:szCs w:val="28"/>
        </w:rPr>
        <w:t>元</w:t>
      </w:r>
      <w:r>
        <w:rPr>
          <w:rFonts w:hint="eastAsia" w:ascii="宋体" w:hAnsi="宋体"/>
          <w:spacing w:val="2"/>
          <w:sz w:val="28"/>
          <w:szCs w:val="28"/>
          <w:lang w:eastAsia="zh-CN"/>
        </w:rPr>
        <w:t>，</w:t>
      </w:r>
      <w:r>
        <w:rPr>
          <w:rFonts w:hint="eastAsia" w:ascii="宋体" w:hAnsi="宋体"/>
          <w:spacing w:val="2"/>
          <w:sz w:val="28"/>
          <w:szCs w:val="28"/>
        </w:rPr>
        <w:t>同比上年增加</w:t>
      </w:r>
      <w:r>
        <w:rPr>
          <w:rFonts w:hint="eastAsia" w:ascii="宋体" w:hAnsi="宋体"/>
          <w:spacing w:val="2"/>
          <w:sz w:val="28"/>
          <w:szCs w:val="28"/>
          <w:lang w:val="en-US" w:eastAsia="zh-CN"/>
        </w:rPr>
        <w:t>68.61万</w:t>
      </w:r>
      <w:r>
        <w:rPr>
          <w:rFonts w:hint="eastAsia" w:ascii="宋体" w:hAnsi="宋体"/>
          <w:spacing w:val="2"/>
          <w:sz w:val="28"/>
          <w:szCs w:val="28"/>
        </w:rPr>
        <w:t>元，原因是业务量增加。</w:t>
      </w:r>
    </w:p>
    <w:p>
      <w:pPr>
        <w:pStyle w:val="9"/>
        <w:spacing w:line="540" w:lineRule="exact"/>
        <w:ind w:firstLine="560" w:firstLineChars="200"/>
        <w:rPr>
          <w:rFonts w:hint="default" w:asciiTheme="minorEastAsia" w:hAnsiTheme="minorEastAsia" w:cstheme="minorEastAsia"/>
          <w:kern w:val="0"/>
          <w:sz w:val="28"/>
          <w:szCs w:val="28"/>
          <w:highlight w:val="none"/>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8"/>
          <w:rFonts w:hint="eastAsia" w:ascii="微软雅黑" w:hAnsi="微软雅黑" w:eastAsia="微软雅黑" w:cs="微软雅黑"/>
          <w:b/>
          <w:bCs w:val="0"/>
          <w:i w:val="0"/>
          <w:caps w:val="0"/>
          <w:color w:val="333333"/>
          <w:spacing w:val="0"/>
          <w:sz w:val="24"/>
          <w:szCs w:val="24"/>
          <w:shd w:val="clear" w:fill="FFFFFF"/>
        </w:rPr>
        <w:t>第四部分</w:t>
      </w:r>
      <w:r>
        <w:rPr>
          <w:rStyle w:val="8"/>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b/>
          <w:bCs w:val="0"/>
          <w:i w:val="0"/>
          <w:caps w:val="0"/>
          <w:color w:val="333333"/>
          <w:spacing w:val="0"/>
          <w:sz w:val="24"/>
          <w:szCs w:val="24"/>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六、一般公共服务（类）机关服务（项）：指县</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七、一般公共服务（类）其他一般公共服务支出（款）其他一般公共服务支出（项）：指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八、教育（类）普通教育（款）高等教育（项）：指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九、社会保障和就业(类)行政事业单位离退休（款）归口管理的行政单位离退休（项）：指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十、社会保障和就业(类)行政事业单位离退休（款）其他行政事业单位离退休支出（项）：指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十一、医疗卫生与计划生育（类）医疗保障（款）行政单位医疗（项）：指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F95EF"/>
    <w:multiLevelType w:val="singleLevel"/>
    <w:tmpl w:val="B96F95EF"/>
    <w:lvl w:ilvl="0" w:tentative="0">
      <w:start w:val="6"/>
      <w:numFmt w:val="chineseCounting"/>
      <w:suff w:val="nothing"/>
      <w:lvlText w:val="（%1）"/>
      <w:lvlJc w:val="left"/>
      <w:rPr>
        <w:rFonts w:hint="eastAsia"/>
      </w:rPr>
    </w:lvl>
  </w:abstractNum>
  <w:abstractNum w:abstractNumId="1">
    <w:nsid w:val="F3465AE1"/>
    <w:multiLevelType w:val="singleLevel"/>
    <w:tmpl w:val="F3465AE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04B48CF"/>
    <w:rsid w:val="00753C66"/>
    <w:rsid w:val="009E304F"/>
    <w:rsid w:val="01DD59FB"/>
    <w:rsid w:val="01F11294"/>
    <w:rsid w:val="02307928"/>
    <w:rsid w:val="02706030"/>
    <w:rsid w:val="02B81FC4"/>
    <w:rsid w:val="0361440A"/>
    <w:rsid w:val="038A57D5"/>
    <w:rsid w:val="03C926DB"/>
    <w:rsid w:val="056E70BD"/>
    <w:rsid w:val="058F6EFD"/>
    <w:rsid w:val="0664587B"/>
    <w:rsid w:val="076D15CF"/>
    <w:rsid w:val="08C06585"/>
    <w:rsid w:val="08CA47FF"/>
    <w:rsid w:val="094831A9"/>
    <w:rsid w:val="09FF39B4"/>
    <w:rsid w:val="0A3060A1"/>
    <w:rsid w:val="0A463C26"/>
    <w:rsid w:val="0A8722FC"/>
    <w:rsid w:val="0ABD461B"/>
    <w:rsid w:val="0D821B4C"/>
    <w:rsid w:val="0DCD7C71"/>
    <w:rsid w:val="0EC046DA"/>
    <w:rsid w:val="10157CA5"/>
    <w:rsid w:val="11411182"/>
    <w:rsid w:val="127F665A"/>
    <w:rsid w:val="12EE0768"/>
    <w:rsid w:val="1340228E"/>
    <w:rsid w:val="14D64C58"/>
    <w:rsid w:val="153F6BBD"/>
    <w:rsid w:val="16826C57"/>
    <w:rsid w:val="17604CAC"/>
    <w:rsid w:val="18B74DE9"/>
    <w:rsid w:val="18FE0020"/>
    <w:rsid w:val="191D03E7"/>
    <w:rsid w:val="1989433B"/>
    <w:rsid w:val="19F24332"/>
    <w:rsid w:val="1A361CF4"/>
    <w:rsid w:val="1A702333"/>
    <w:rsid w:val="1AF70673"/>
    <w:rsid w:val="1C78146D"/>
    <w:rsid w:val="1D6152DA"/>
    <w:rsid w:val="1E063A2D"/>
    <w:rsid w:val="219E41B4"/>
    <w:rsid w:val="22A87507"/>
    <w:rsid w:val="22E3549D"/>
    <w:rsid w:val="22F51EE3"/>
    <w:rsid w:val="23563407"/>
    <w:rsid w:val="244F40DF"/>
    <w:rsid w:val="24FB7DC2"/>
    <w:rsid w:val="255E033E"/>
    <w:rsid w:val="25A73D37"/>
    <w:rsid w:val="270311B0"/>
    <w:rsid w:val="27165388"/>
    <w:rsid w:val="27390172"/>
    <w:rsid w:val="273F295C"/>
    <w:rsid w:val="277C7BFA"/>
    <w:rsid w:val="27BB1A8B"/>
    <w:rsid w:val="27F54F9D"/>
    <w:rsid w:val="28235FAE"/>
    <w:rsid w:val="293B6902"/>
    <w:rsid w:val="2A5A558B"/>
    <w:rsid w:val="2BED0FE4"/>
    <w:rsid w:val="2C3342E6"/>
    <w:rsid w:val="2CCE2491"/>
    <w:rsid w:val="2D2E79AB"/>
    <w:rsid w:val="2E496401"/>
    <w:rsid w:val="2EF064BE"/>
    <w:rsid w:val="2F081AB6"/>
    <w:rsid w:val="30E3277E"/>
    <w:rsid w:val="30ED6A29"/>
    <w:rsid w:val="33464525"/>
    <w:rsid w:val="33A1247D"/>
    <w:rsid w:val="34A73AC3"/>
    <w:rsid w:val="363A721E"/>
    <w:rsid w:val="366428F9"/>
    <w:rsid w:val="395F764C"/>
    <w:rsid w:val="3ACB311A"/>
    <w:rsid w:val="3B935A5F"/>
    <w:rsid w:val="3D324146"/>
    <w:rsid w:val="3D337955"/>
    <w:rsid w:val="3D366BAE"/>
    <w:rsid w:val="3D605C1E"/>
    <w:rsid w:val="3D7F59F8"/>
    <w:rsid w:val="3F077CB5"/>
    <w:rsid w:val="3F285DBC"/>
    <w:rsid w:val="3F5952B8"/>
    <w:rsid w:val="40167D4F"/>
    <w:rsid w:val="401A2F36"/>
    <w:rsid w:val="413D1E68"/>
    <w:rsid w:val="418A46BC"/>
    <w:rsid w:val="42244D2E"/>
    <w:rsid w:val="42C73475"/>
    <w:rsid w:val="440305EA"/>
    <w:rsid w:val="44D54FC8"/>
    <w:rsid w:val="457D21A1"/>
    <w:rsid w:val="45BE6EBE"/>
    <w:rsid w:val="48632D9C"/>
    <w:rsid w:val="49A60AA6"/>
    <w:rsid w:val="49BE748D"/>
    <w:rsid w:val="4A897A9B"/>
    <w:rsid w:val="4C9B5863"/>
    <w:rsid w:val="4CEE1E37"/>
    <w:rsid w:val="5043249A"/>
    <w:rsid w:val="507C1CF5"/>
    <w:rsid w:val="50C730CB"/>
    <w:rsid w:val="512C2F2E"/>
    <w:rsid w:val="51B66DED"/>
    <w:rsid w:val="51C70EA9"/>
    <w:rsid w:val="52E134DC"/>
    <w:rsid w:val="53573AFB"/>
    <w:rsid w:val="53DC4847"/>
    <w:rsid w:val="54462559"/>
    <w:rsid w:val="54AD082A"/>
    <w:rsid w:val="550C1FA0"/>
    <w:rsid w:val="56843F53"/>
    <w:rsid w:val="57B74413"/>
    <w:rsid w:val="582340D0"/>
    <w:rsid w:val="59030B34"/>
    <w:rsid w:val="59FB0758"/>
    <w:rsid w:val="5B793214"/>
    <w:rsid w:val="5BD73678"/>
    <w:rsid w:val="5CAF40F6"/>
    <w:rsid w:val="5D0D1345"/>
    <w:rsid w:val="5DCF35BF"/>
    <w:rsid w:val="5F1A6ABC"/>
    <w:rsid w:val="5F3162D2"/>
    <w:rsid w:val="5F6D12E1"/>
    <w:rsid w:val="60A347AD"/>
    <w:rsid w:val="61FD40D5"/>
    <w:rsid w:val="62112720"/>
    <w:rsid w:val="621B3808"/>
    <w:rsid w:val="637B24F3"/>
    <w:rsid w:val="64424412"/>
    <w:rsid w:val="650A7D37"/>
    <w:rsid w:val="663761A5"/>
    <w:rsid w:val="673100E2"/>
    <w:rsid w:val="67E4782B"/>
    <w:rsid w:val="689B036E"/>
    <w:rsid w:val="68DE6083"/>
    <w:rsid w:val="69801C11"/>
    <w:rsid w:val="6AD20B92"/>
    <w:rsid w:val="6AF23989"/>
    <w:rsid w:val="6B9613ED"/>
    <w:rsid w:val="6DD469CF"/>
    <w:rsid w:val="6E527209"/>
    <w:rsid w:val="6F83175C"/>
    <w:rsid w:val="71423A9C"/>
    <w:rsid w:val="71F118FE"/>
    <w:rsid w:val="71F82FFD"/>
    <w:rsid w:val="726056B4"/>
    <w:rsid w:val="7306762B"/>
    <w:rsid w:val="732775A1"/>
    <w:rsid w:val="73A866D0"/>
    <w:rsid w:val="74030035"/>
    <w:rsid w:val="746766E2"/>
    <w:rsid w:val="74EA7B66"/>
    <w:rsid w:val="75F2696C"/>
    <w:rsid w:val="765C7B2C"/>
    <w:rsid w:val="76D46587"/>
    <w:rsid w:val="78186405"/>
    <w:rsid w:val="79222CCE"/>
    <w:rsid w:val="7AB20098"/>
    <w:rsid w:val="7ADF3EDB"/>
    <w:rsid w:val="7BF03249"/>
    <w:rsid w:val="7C574A54"/>
    <w:rsid w:val="7E4F53BE"/>
    <w:rsid w:val="7FDB3E42"/>
    <w:rsid w:val="7FEA1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link w:val="13"/>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7"/>
    <w:qFormat/>
    <w:uiPriority w:val="0"/>
  </w:style>
  <w:style w:type="character" w:customStyle="1" w:styleId="13">
    <w:name w:val="正文文本缩进 Char"/>
    <w:link w:val="3"/>
    <w:qFormat/>
    <w:uiPriority w:val="0"/>
    <w:rPr>
      <w:rFonts w:ascii="宋体"/>
      <w:sz w:val="32"/>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8396</Words>
  <Characters>10688</Characters>
  <Lines>0</Lines>
  <Paragraphs>0</Paragraphs>
  <TotalTime>1</TotalTime>
  <ScaleCrop>false</ScaleCrop>
  <LinksUpToDate>false</LinksUpToDate>
  <CharactersWithSpaces>11296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cp:lastPrinted>2022-09-23T01:04:00Z</cp:lastPrinted>
  <dcterms:modified xsi:type="dcterms:W3CDTF">2023-08-23T08:39:14Z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3C6DDAA07E954E309CF978E7FB561F66</vt:lpwstr>
  </property>
</Properties>
</file>