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发改局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黄石港区发改局</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ind w:firstLine="480"/>
        <w:jc w:val="left"/>
        <w:rPr>
          <w:rFonts w:hint="eastAsia" w:ascii="仿宋_GB2312" w:eastAsia="仿宋_GB2312"/>
          <w:sz w:val="30"/>
          <w:szCs w:val="30"/>
        </w:rPr>
      </w:pPr>
      <w:r>
        <w:rPr>
          <w:rFonts w:hint="eastAsia" w:ascii="宋体" w:hAnsi="宋体" w:cs="宋体"/>
          <w:color w:val="333333"/>
          <w:kern w:val="0"/>
          <w:sz w:val="30"/>
          <w:szCs w:val="30"/>
        </w:rPr>
        <w:t>（</w:t>
      </w:r>
      <w:r>
        <w:rPr>
          <w:rFonts w:hint="eastAsia" w:ascii="仿宋_GB2312" w:eastAsia="仿宋_GB2312"/>
          <w:sz w:val="30"/>
          <w:szCs w:val="30"/>
        </w:rPr>
        <w:t>一）主要职责</w:t>
      </w:r>
    </w:p>
    <w:p>
      <w:pPr>
        <w:widowControl/>
        <w:shd w:val="clear" w:color="auto" w:fill="FFFFFF"/>
        <w:ind w:firstLine="900" w:firstLineChars="300"/>
        <w:jc w:val="left"/>
        <w:rPr>
          <w:rFonts w:hint="eastAsia" w:ascii="宋体" w:hAnsi="宋体" w:cs="宋体"/>
          <w:color w:val="333333"/>
          <w:kern w:val="0"/>
          <w:sz w:val="30"/>
          <w:szCs w:val="30"/>
        </w:rPr>
      </w:pPr>
      <w:r>
        <w:rPr>
          <w:rFonts w:hint="eastAsia" w:ascii="宋体" w:hAnsi="宋体" w:cs="Arial"/>
          <w:color w:val="333333"/>
          <w:kern w:val="0"/>
          <w:sz w:val="30"/>
          <w:szCs w:val="30"/>
        </w:rPr>
        <w:t>黄石市黄石港区发展改革物价局主要职责是贯彻落实党和国家、省、市有关发改、物价及统计工作的各项方针、政策和法律、法规；研究提出全区发改、物价及统计局发展战略和促进经济与社会发展的重大问题；研究制订全区发改、物价及统计发展和科技促进经济与社会发展的政策和措施；研究提出推进全区发改、物价及统计体制改革的政策、措施；组织编制全区发改、物价及统计工作发展的长期规划和年度计划，编制并组织申报、实施国家、省、市重点项目计划；编制全区科技开发计划指南并指导实施；研究多渠道增加科技投入的措施，负责管理审批及核准全区各项目建设的规划，市场中物价的调查及相关案例的处理，负责统计工作中各相关数据的统计。组织提出全区发展改革发展战略与规划及相关的政策措施；组织开展日常性、群众性物价执法科普知识活动。</w:t>
      </w:r>
    </w:p>
    <w:p>
      <w:pPr>
        <w:widowControl/>
        <w:shd w:val="clear" w:color="auto" w:fill="FFFFFF"/>
        <w:ind w:firstLine="300" w:firstLineChars="100"/>
        <w:jc w:val="left"/>
        <w:rPr>
          <w:rFonts w:hint="eastAsia" w:ascii="宋体" w:hAnsi="宋体" w:cs="宋体"/>
          <w:color w:val="333333"/>
          <w:kern w:val="0"/>
          <w:sz w:val="30"/>
          <w:szCs w:val="30"/>
        </w:rPr>
      </w:pPr>
      <w:r>
        <w:rPr>
          <w:rFonts w:hint="eastAsia" w:ascii="仿宋_GB2312" w:eastAsia="仿宋_GB2312"/>
          <w:sz w:val="30"/>
          <w:szCs w:val="30"/>
        </w:rPr>
        <w:t>（二）单位基本信息(机构设置等</w:t>
      </w:r>
      <w:r>
        <w:rPr>
          <w:rFonts w:hint="eastAsia" w:ascii="宋体" w:hAnsi="宋体" w:cs="宋体"/>
          <w:color w:val="333333"/>
          <w:kern w:val="0"/>
          <w:sz w:val="30"/>
          <w:szCs w:val="30"/>
        </w:rPr>
        <w:t>)</w:t>
      </w:r>
    </w:p>
    <w:p>
      <w:pPr>
        <w:widowControl/>
        <w:shd w:val="clear" w:color="auto" w:fill="FFFFFF"/>
        <w:ind w:firstLine="900" w:firstLineChars="300"/>
        <w:jc w:val="left"/>
        <w:rPr>
          <w:rFonts w:hint="eastAsia" w:ascii="宋体" w:hAnsi="宋体" w:cs="宋体"/>
          <w:color w:val="333333"/>
          <w:kern w:val="0"/>
          <w:sz w:val="30"/>
          <w:szCs w:val="30"/>
        </w:rPr>
      </w:pPr>
      <w:r>
        <w:rPr>
          <w:rFonts w:hint="eastAsia" w:ascii="宋体" w:hAnsi="宋体" w:cs="Arial"/>
          <w:color w:val="333333"/>
          <w:kern w:val="0"/>
          <w:sz w:val="30"/>
          <w:szCs w:val="30"/>
        </w:rPr>
        <w:t>黄石市黄石港区发展改革物价局是管理全区发改、物价及统计工作的区政府组成部门。全局有17名工作人员，行政编制人员4名，事业编制人员5名，政府雇员4名，聘用人员3名。</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946140" cy="5272405"/>
            <wp:effectExtent l="0" t="0" r="16510" b="444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pic:cNvPicPr>
                  </pic:nvPicPr>
                  <pic:blipFill>
                    <a:blip r:embed="rId4"/>
                    <a:stretch>
                      <a:fillRect/>
                    </a:stretch>
                  </pic:blipFill>
                  <pic:spPr>
                    <a:xfrm>
                      <a:off x="0" y="0"/>
                      <a:ext cx="5946140" cy="5272405"/>
                    </a:xfrm>
                    <a:prstGeom prst="rect">
                      <a:avLst/>
                    </a:prstGeom>
                    <a:noFill/>
                    <a:ln w="9525">
                      <a:noFill/>
                    </a:ln>
                  </pic:spPr>
                </pic:pic>
              </a:graphicData>
            </a:graphic>
          </wp:inline>
        </w:drawing>
      </w:r>
      <w:r>
        <w:drawing>
          <wp:inline distT="0" distB="0" distL="114300" distR="114300">
            <wp:extent cx="8862695" cy="2136140"/>
            <wp:effectExtent l="0" t="0" r="14605" b="1651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pic:cNvPicPr>
                  </pic:nvPicPr>
                  <pic:blipFill>
                    <a:blip r:embed="rId5"/>
                    <a:stretch>
                      <a:fillRect/>
                    </a:stretch>
                  </pic:blipFill>
                  <pic:spPr>
                    <a:xfrm>
                      <a:off x="0" y="0"/>
                      <a:ext cx="8862695" cy="2136140"/>
                    </a:xfrm>
                    <a:prstGeom prst="rect">
                      <a:avLst/>
                    </a:prstGeom>
                    <a:noFill/>
                    <a:ln w="9525">
                      <a:noFill/>
                    </a:ln>
                  </pic:spPr>
                </pic:pic>
              </a:graphicData>
            </a:graphic>
          </wp:inline>
        </w:drawing>
      </w:r>
      <w:r>
        <w:drawing>
          <wp:inline distT="0" distB="0" distL="114300" distR="114300">
            <wp:extent cx="8859520" cy="2480945"/>
            <wp:effectExtent l="0" t="0" r="17780" b="1460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6"/>
                    <a:stretch>
                      <a:fillRect/>
                    </a:stretch>
                  </pic:blipFill>
                  <pic:spPr>
                    <a:xfrm>
                      <a:off x="0" y="0"/>
                      <a:ext cx="8859520" cy="2480945"/>
                    </a:xfrm>
                    <a:prstGeom prst="rect">
                      <a:avLst/>
                    </a:prstGeom>
                    <a:noFill/>
                    <a:ln w="9525">
                      <a:noFill/>
                    </a:ln>
                  </pic:spPr>
                </pic:pic>
              </a:graphicData>
            </a:graphic>
          </wp:inline>
        </w:drawing>
      </w:r>
      <w:r>
        <w:drawing>
          <wp:inline distT="0" distB="0" distL="114300" distR="114300">
            <wp:extent cx="6374130" cy="5274310"/>
            <wp:effectExtent l="0" t="0" r="7620" b="254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7"/>
                    <a:stretch>
                      <a:fillRect/>
                    </a:stretch>
                  </pic:blipFill>
                  <pic:spPr>
                    <a:xfrm>
                      <a:off x="0" y="0"/>
                      <a:ext cx="6374130" cy="5274310"/>
                    </a:xfrm>
                    <a:prstGeom prst="rect">
                      <a:avLst/>
                    </a:prstGeom>
                    <a:noFill/>
                    <a:ln w="9525">
                      <a:noFill/>
                    </a:ln>
                  </pic:spPr>
                </pic:pic>
              </a:graphicData>
            </a:graphic>
          </wp:inline>
        </w:drawing>
      </w:r>
      <w:r>
        <w:drawing>
          <wp:inline distT="0" distB="0" distL="114300" distR="114300">
            <wp:extent cx="5905500" cy="2924175"/>
            <wp:effectExtent l="0" t="0" r="0"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pic:cNvPicPr>
                  </pic:nvPicPr>
                  <pic:blipFill>
                    <a:blip r:embed="rId8"/>
                    <a:stretch>
                      <a:fillRect/>
                    </a:stretch>
                  </pic:blipFill>
                  <pic:spPr>
                    <a:xfrm>
                      <a:off x="0" y="0"/>
                      <a:ext cx="5905500" cy="2924175"/>
                    </a:xfrm>
                    <a:prstGeom prst="rect">
                      <a:avLst/>
                    </a:prstGeom>
                    <a:noFill/>
                    <a:ln w="9525">
                      <a:noFill/>
                    </a:ln>
                  </pic:spPr>
                </pic:pic>
              </a:graphicData>
            </a:graphic>
          </wp:inline>
        </w:drawing>
      </w:r>
      <w:r>
        <w:drawing>
          <wp:inline distT="0" distB="0" distL="114300" distR="114300">
            <wp:extent cx="8857615" cy="5052060"/>
            <wp:effectExtent l="0" t="0" r="635" b="1524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pic:cNvPicPr>
                  </pic:nvPicPr>
                  <pic:blipFill>
                    <a:blip r:embed="rId9"/>
                    <a:stretch>
                      <a:fillRect/>
                    </a:stretch>
                  </pic:blipFill>
                  <pic:spPr>
                    <a:xfrm>
                      <a:off x="0" y="0"/>
                      <a:ext cx="8857615" cy="5052060"/>
                    </a:xfrm>
                    <a:prstGeom prst="rect">
                      <a:avLst/>
                    </a:prstGeom>
                    <a:noFill/>
                    <a:ln w="9525">
                      <a:noFill/>
                    </a:ln>
                  </pic:spPr>
                </pic:pic>
              </a:graphicData>
            </a:graphic>
          </wp:inline>
        </w:drawing>
      </w:r>
      <w:r>
        <w:drawing>
          <wp:inline distT="0" distB="0" distL="114300" distR="114300">
            <wp:extent cx="8860790" cy="2064385"/>
            <wp:effectExtent l="0" t="0" r="16510" b="1206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10"/>
                    <a:stretch>
                      <a:fillRect/>
                    </a:stretch>
                  </pic:blipFill>
                  <pic:spPr>
                    <a:xfrm>
                      <a:off x="0" y="0"/>
                      <a:ext cx="8860790" cy="2064385"/>
                    </a:xfrm>
                    <a:prstGeom prst="rect">
                      <a:avLst/>
                    </a:prstGeom>
                    <a:noFill/>
                    <a:ln w="9525">
                      <a:noFill/>
                    </a:ln>
                  </pic:spPr>
                </pic:pic>
              </a:graphicData>
            </a:graphic>
          </wp:inline>
        </w:drawing>
      </w:r>
      <w:r>
        <w:drawing>
          <wp:inline distT="0" distB="0" distL="114300" distR="114300">
            <wp:extent cx="8855710" cy="2294890"/>
            <wp:effectExtent l="0" t="0" r="2540" b="1016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11"/>
                    <a:stretch>
                      <a:fillRect/>
                    </a:stretch>
                  </pic:blipFill>
                  <pic:spPr>
                    <a:xfrm>
                      <a:off x="0" y="0"/>
                      <a:ext cx="8855710" cy="229489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ind w:firstLine="480"/>
        <w:jc w:val="left"/>
        <w:rPr>
          <w:rFonts w:hint="eastAsia" w:ascii="仿宋_GB2312" w:eastAsia="仿宋_GB2312"/>
          <w:sz w:val="30"/>
          <w:szCs w:val="30"/>
        </w:rPr>
      </w:pPr>
      <w:r>
        <w:rPr>
          <w:rFonts w:hint="eastAsia" w:ascii="仿宋_GB2312" w:eastAsia="仿宋_GB2312"/>
          <w:sz w:val="30"/>
          <w:szCs w:val="30"/>
        </w:rPr>
        <w:t>（一）预算执行情况分析</w:t>
      </w:r>
    </w:p>
    <w:p>
      <w:pPr>
        <w:widowControl/>
        <w:shd w:val="clear" w:color="auto" w:fill="FFFFFF"/>
        <w:ind w:firstLine="600" w:firstLineChars="200"/>
        <w:jc w:val="left"/>
        <w:rPr>
          <w:rFonts w:hint="eastAsia" w:ascii="仿宋_GB2312" w:eastAsia="仿宋_GB2312"/>
          <w:sz w:val="30"/>
          <w:szCs w:val="30"/>
        </w:rPr>
      </w:pPr>
      <w:r>
        <w:rPr>
          <w:rFonts w:hint="eastAsia" w:ascii="仿宋_GB2312" w:eastAsia="仿宋_GB2312"/>
          <w:sz w:val="30"/>
          <w:szCs w:val="30"/>
        </w:rPr>
        <w:t>2017年财拔款决算全年总收入1973040.54元，其中人员经费1131997.88元，公用经费841042.66元；2017年财政支出预算数1973040.54元，其中人员经费1131997.88元，公用经费841042.66元.</w:t>
      </w:r>
    </w:p>
    <w:p>
      <w:pPr>
        <w:widowControl/>
        <w:shd w:val="clear" w:color="auto" w:fill="FFFFFF"/>
        <w:ind w:firstLine="480"/>
        <w:jc w:val="left"/>
        <w:rPr>
          <w:rFonts w:hint="eastAsia" w:ascii="仿宋_GB2312" w:eastAsia="仿宋_GB2312"/>
          <w:sz w:val="30"/>
          <w:szCs w:val="30"/>
        </w:rPr>
      </w:pPr>
      <w:r>
        <w:rPr>
          <w:rFonts w:hint="eastAsia" w:ascii="仿宋_GB2312" w:eastAsia="仿宋_GB2312"/>
          <w:sz w:val="30"/>
          <w:szCs w:val="30"/>
        </w:rPr>
        <w:t>（二）关于“三公”经费支出说明</w:t>
      </w:r>
    </w:p>
    <w:p>
      <w:pPr>
        <w:widowControl/>
        <w:shd w:val="clear" w:color="auto" w:fill="FFFFFF"/>
        <w:jc w:val="left"/>
        <w:rPr>
          <w:rFonts w:hint="eastAsia" w:ascii="仿宋_GB2312" w:eastAsia="仿宋_GB2312"/>
          <w:sz w:val="30"/>
          <w:szCs w:val="30"/>
        </w:rPr>
      </w:pPr>
      <w:r>
        <w:rPr>
          <w:rFonts w:hint="eastAsia" w:ascii="仿宋_GB2312" w:eastAsia="仿宋_GB2312"/>
          <w:sz w:val="30"/>
          <w:szCs w:val="30"/>
        </w:rPr>
        <w:t>（1）“三公”经费支出情况：2017年决算公务车运行维护费0元，2017年决算公务接待数为697元，国内公务接待批次2次，国内公务接待人次8人。2016年决算公务车运行维护0元，2016年决算公务接待数为0元。（2）会议费支出情况：2017年决算为0万元，2016年决算会议费为0万元。（3）培训费支出情况 ：2017年决算培训费2400元，2016年决算培训费0元。（4）差旅费支出情况 ：2017年决算差旅费为34735.5元，2016年决算差旅费为0元。</w:t>
      </w:r>
    </w:p>
    <w:p>
      <w:pPr>
        <w:widowControl/>
        <w:shd w:val="clear" w:color="auto" w:fill="FFFFFF"/>
        <w:jc w:val="left"/>
        <w:rPr>
          <w:rFonts w:hint="eastAsia" w:ascii="仿宋_GB2312" w:eastAsia="仿宋_GB2312"/>
          <w:sz w:val="30"/>
          <w:szCs w:val="30"/>
        </w:rPr>
      </w:pPr>
      <w:r>
        <w:rPr>
          <w:rFonts w:hint="eastAsia" w:ascii="仿宋_GB2312" w:eastAsia="仿宋_GB2312"/>
          <w:sz w:val="30"/>
          <w:szCs w:val="30"/>
        </w:rPr>
        <w:t>　　（三）关于机关运行经费支出说明</w:t>
      </w:r>
    </w:p>
    <w:p>
      <w:pPr>
        <w:pStyle w:val="9"/>
        <w:rPr>
          <w:rFonts w:hint="eastAsia" w:ascii="仿宋_GB2312" w:eastAsia="仿宋_GB2312"/>
          <w:sz w:val="30"/>
          <w:szCs w:val="30"/>
        </w:rPr>
      </w:pPr>
      <w:r>
        <w:rPr>
          <w:rFonts w:hint="eastAsia" w:ascii="仿宋_GB2312" w:hAnsi="Times New Roman" w:eastAsia="仿宋_GB2312" w:cs="Times New Roman"/>
          <w:sz w:val="30"/>
          <w:szCs w:val="30"/>
        </w:rPr>
        <w:t>本部门2017年度机关运行经费支出197.3万元（与部门决算中行政单位和参照公务员法管理事业单位一般公共预算财政拨款基本支出中公用经费之和保持一致），其中人员经费支出113.2万元，公用经费支出84.1万元。</w:t>
      </w:r>
    </w:p>
    <w:p>
      <w:pPr>
        <w:widowControl/>
        <w:shd w:val="clear" w:color="auto" w:fill="FFFFFF"/>
        <w:jc w:val="left"/>
        <w:rPr>
          <w:rFonts w:hint="eastAsia" w:ascii="仿宋_GB2312" w:eastAsia="仿宋_GB2312"/>
          <w:sz w:val="30"/>
          <w:szCs w:val="30"/>
        </w:rPr>
      </w:pPr>
      <w:r>
        <w:rPr>
          <w:rFonts w:hint="eastAsia" w:ascii="仿宋_GB2312" w:eastAsia="仿宋_GB2312"/>
          <w:sz w:val="30"/>
          <w:szCs w:val="30"/>
        </w:rPr>
        <w:t>　　（四）关于政府采购支出说明</w:t>
      </w:r>
    </w:p>
    <w:p>
      <w:pPr>
        <w:pStyle w:val="9"/>
        <w:ind w:firstLine="600" w:firstLineChars="200"/>
        <w:rPr>
          <w:rFonts w:hint="eastAsia" w:ascii="仿宋_GB2312" w:eastAsia="仿宋_GB2312"/>
          <w:sz w:val="30"/>
          <w:szCs w:val="30"/>
        </w:rPr>
      </w:pPr>
      <w:r>
        <w:rPr>
          <w:rFonts w:hint="eastAsia" w:ascii="仿宋_GB2312" w:hAnsi="Times New Roman" w:eastAsia="仿宋_GB2312" w:cs="Times New Roman"/>
          <w:sz w:val="30"/>
          <w:szCs w:val="30"/>
        </w:rPr>
        <w:t>黄石市黄石港区发改局2017年度政府采购支出总额4.6万元，其中：政府采购货物支出4.6万元、授予中小企业合同金额2.9万元，占政府采购支出总额的63%。其中授予中小合同金额为2.9万元，占政府采购支出的63%，通过其他方式采购生成采购合同的金额为1.7万元，占政府采购的27%。</w:t>
      </w:r>
    </w:p>
    <w:p>
      <w:pPr>
        <w:widowControl/>
        <w:shd w:val="clear" w:color="auto" w:fill="FFFFFF"/>
        <w:jc w:val="left"/>
        <w:rPr>
          <w:rFonts w:hint="eastAsia" w:ascii="仿宋_GB2312" w:eastAsia="仿宋_GB2312"/>
          <w:sz w:val="30"/>
          <w:szCs w:val="30"/>
        </w:rPr>
      </w:pPr>
      <w:r>
        <w:rPr>
          <w:rFonts w:hint="eastAsia" w:ascii="仿宋_GB2312" w:eastAsia="仿宋_GB2312"/>
          <w:sz w:val="30"/>
          <w:szCs w:val="30"/>
        </w:rPr>
        <w:t>（五）关于国有资产占用情况说明</w:t>
      </w:r>
    </w:p>
    <w:p>
      <w:pPr>
        <w:widowControl/>
        <w:shd w:val="clear" w:color="auto" w:fill="FFFFFF"/>
        <w:ind w:firstLine="600" w:firstLineChars="200"/>
        <w:jc w:val="left"/>
        <w:rPr>
          <w:rFonts w:hint="eastAsia" w:ascii="仿宋_GB2312" w:eastAsia="仿宋_GB2312"/>
          <w:sz w:val="30"/>
          <w:szCs w:val="30"/>
        </w:rPr>
      </w:pPr>
      <w:r>
        <w:rPr>
          <w:rFonts w:hint="eastAsia" w:ascii="仿宋_GB2312" w:eastAsia="仿宋_GB2312"/>
          <w:sz w:val="30"/>
          <w:szCs w:val="30"/>
        </w:rPr>
        <w:t>黄石市黄石港区发展改革物价局截到2017年12月31日，本部门共有车辆0辆，其中：领导干部用车0辆，一般公务用车0辆，一般执法执勤用车0辆，特种专业技术用车0辆，其他用车0辆。单位价值50万元以上通用设备0台，单价100万元以上专用设备0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bookmarkStart w:id="0" w:name="_GoBack"/>
      <w:bookmarkEnd w:id="0"/>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黄石港区发改局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黄石港区发改局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黄石港区发改局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黄石港区发改局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黄石港区发改局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黄石港区发改局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1411182"/>
    <w:rsid w:val="219E41B4"/>
    <w:rsid w:val="255E033E"/>
    <w:rsid w:val="27390172"/>
    <w:rsid w:val="2CCE2491"/>
    <w:rsid w:val="2F081AB6"/>
    <w:rsid w:val="401A2F36"/>
    <w:rsid w:val="457D21A1"/>
    <w:rsid w:val="507C1CF5"/>
    <w:rsid w:val="621B3808"/>
    <w:rsid w:val="67E4782B"/>
    <w:rsid w:val="746766E2"/>
    <w:rsid w:val="74EA7B66"/>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2019-02-27T09:46:38Z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