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color="090000" w:fill="FFFFFF"/>
          <w:lang w:eastAsia="zh-CN"/>
        </w:rPr>
        <w:t>发改局</w:t>
      </w:r>
      <w:r>
        <w:rPr>
          <w:rFonts w:hint="eastAsia" w:ascii="微软雅黑" w:hAnsi="微软雅黑" w:eastAsia="微软雅黑" w:cs="微软雅黑"/>
          <w:b/>
          <w:i w:val="0"/>
          <w:caps w:val="0"/>
          <w:color w:val="BC1010"/>
          <w:spacing w:val="0"/>
          <w:sz w:val="40"/>
          <w:szCs w:val="40"/>
          <w:shd w:val="clear" w:color="090000" w:fill="FFFFFF"/>
        </w:rPr>
        <w:t>201</w:t>
      </w:r>
      <w:r>
        <w:rPr>
          <w:rFonts w:hint="eastAsia" w:ascii="微软雅黑" w:hAnsi="微软雅黑" w:eastAsia="微软雅黑" w:cs="微软雅黑"/>
          <w:b/>
          <w:i w:val="0"/>
          <w:caps w:val="0"/>
          <w:color w:val="BC1010"/>
          <w:spacing w:val="0"/>
          <w:sz w:val="40"/>
          <w:szCs w:val="40"/>
          <w:shd w:val="clear" w:color="090000" w:fill="FFFFFF"/>
          <w:lang w:val="en-US" w:eastAsia="zh-CN"/>
        </w:rPr>
        <w:t>8</w:t>
      </w:r>
      <w:r>
        <w:rPr>
          <w:rFonts w:hint="eastAsia" w:ascii="微软雅黑" w:hAnsi="微软雅黑" w:eastAsia="微软雅黑" w:cs="微软雅黑"/>
          <w:b/>
          <w:i w:val="0"/>
          <w:caps w:val="0"/>
          <w:color w:val="BC1010"/>
          <w:spacing w:val="0"/>
          <w:sz w:val="40"/>
          <w:szCs w:val="40"/>
          <w:shd w:val="clear" w:color="090000" w:fill="FFFFFF"/>
        </w:rPr>
        <w:t>年决算公开</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黄石港区发改局</w:t>
      </w:r>
      <w:r>
        <w:rPr>
          <w:rStyle w:val="6"/>
          <w:rFonts w:hint="eastAsia" w:ascii="微软雅黑" w:hAnsi="微软雅黑" w:eastAsia="微软雅黑" w:cs="微软雅黑"/>
          <w:i w:val="0"/>
          <w:caps w:val="0"/>
          <w:color w:val="333333"/>
          <w:spacing w:val="0"/>
          <w:sz w:val="24"/>
          <w:szCs w:val="24"/>
          <w:shd w:val="clear" w:color="090000" w:fill="FFFFFF"/>
        </w:rPr>
        <w:t>201</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8</w:t>
      </w:r>
      <w:r>
        <w:rPr>
          <w:rStyle w:val="6"/>
          <w:rFonts w:hint="eastAsia" w:ascii="微软雅黑" w:hAnsi="微软雅黑" w:eastAsia="微软雅黑" w:cs="微软雅黑"/>
          <w:i w:val="0"/>
          <w:caps w:val="0"/>
          <w:color w:val="333333"/>
          <w:spacing w:val="0"/>
          <w:sz w:val="24"/>
          <w:szCs w:val="24"/>
          <w:shd w:val="clear" w:color="090000" w:fill="FFFFFF"/>
        </w:rPr>
        <w:t>年决算公开</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八、政府性基金预算财政拨款收入支出决算表（8）</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6"/>
          <w:rFonts w:hint="eastAsia" w:ascii="微软雅黑" w:hAnsi="微软雅黑" w:eastAsia="微软雅黑" w:cs="微软雅黑"/>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rPr>
        <w:t>201</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8</w:t>
      </w:r>
      <w:r>
        <w:rPr>
          <w:rStyle w:val="6"/>
          <w:rFonts w:hint="eastAsia" w:ascii="微软雅黑" w:hAnsi="微软雅黑" w:eastAsia="微软雅黑" w:cs="微软雅黑"/>
          <w:i w:val="0"/>
          <w:caps w:val="0"/>
          <w:color w:val="333333"/>
          <w:spacing w:val="0"/>
          <w:sz w:val="24"/>
          <w:szCs w:val="24"/>
          <w:shd w:val="clear" w:color="090000" w:fill="FFFFFF"/>
        </w:rPr>
        <w:t>年部门决算</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第一部分</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color="090000" w:fill="FFFFFF"/>
        </w:rPr>
        <w:t>部门概况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sz w:val="28"/>
          <w:szCs w:val="28"/>
        </w:rPr>
        <w:t>一）主要职责</w:t>
      </w:r>
    </w:p>
    <w:p>
      <w:pPr>
        <w:widowControl/>
        <w:shd w:val="clear" w:color="auto" w:fill="FFFFFF"/>
        <w:ind w:firstLine="840" w:firstLineChars="30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黄石市黄石港区发展改革物价局主要职责是贯彻落实党和国家、省、市有关发改、物价及统计工作的各项方针、政策和法律、法规；研究提出全区发改、物价及统计局发展战略和促进经济与社会发展的重大问题；研究制订全区发改、物价及统计发展和科技促进经济与社会发展的政策和措施；研究提出推进全区发改、物价及统计体制改革的政策、措施；组织编制全区发改、物价及统计工作发展的长期规划和年度计划，编制并组织申报、实施国家、省、市重点项目计划；编制全区科技开发计划指南并指导实施；研究多渠道增加科技投入的措施，负责管理审批及核准全区各项目建设的规划，市场中物价的调查及相关案例的处理，负责统计工作中各相关数据的统计。组织提出全区发展改革发展战略与规划及相关的政策措施；组织开展日常性、群众性物价执法科普知识活动。</w:t>
      </w:r>
    </w:p>
    <w:p>
      <w:pPr>
        <w:widowControl/>
        <w:shd w:val="clear" w:color="auto" w:fill="FFFFFF"/>
        <w:ind w:firstLine="280" w:firstLineChars="10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sz w:val="28"/>
          <w:szCs w:val="28"/>
        </w:rPr>
        <w:t>（二）单位基本信息(机构设置等</w:t>
      </w:r>
      <w:r>
        <w:rPr>
          <w:rFonts w:hint="eastAsia" w:asciiTheme="minorEastAsia" w:hAnsiTheme="minorEastAsia" w:eastAsiaTheme="minorEastAsia" w:cstheme="minorEastAsia"/>
          <w:color w:val="333333"/>
          <w:kern w:val="0"/>
          <w:sz w:val="28"/>
          <w:szCs w:val="28"/>
        </w:rPr>
        <w:t>)</w:t>
      </w:r>
    </w:p>
    <w:p>
      <w:pPr>
        <w:widowControl/>
        <w:shd w:val="clear" w:color="auto" w:fill="FFFFFF"/>
        <w:ind w:firstLine="840" w:firstLineChars="30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黄石市黄石港区发展改革物价局是管理全区发改、物价及统计工作的区政府组成部门。全局有17名工作人员，行政编制人员4名，事业编制人员5名，政府雇员4名，聘用人员3名。</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i w:val="0"/>
          <w:caps w:val="0"/>
          <w:color w:val="333333"/>
          <w:spacing w:val="0"/>
          <w:sz w:val="24"/>
          <w:szCs w:val="24"/>
          <w:shd w:val="clear" w:color="090000" w:fill="FFFFFF"/>
        </w:rPr>
      </w:pPr>
      <w:r>
        <w:rPr>
          <w:rStyle w:val="6"/>
          <w:rFonts w:hint="eastAsia" w:ascii="微软雅黑" w:hAnsi="微软雅黑" w:eastAsia="微软雅黑" w:cs="微软雅黑"/>
          <w:i w:val="0"/>
          <w:caps w:val="0"/>
          <w:color w:val="333333"/>
          <w:spacing w:val="0"/>
          <w:sz w:val="24"/>
          <w:szCs w:val="24"/>
          <w:shd w:val="clear" w:color="090000" w:fill="FFFFFF"/>
          <w:lang w:eastAsia="zh-CN"/>
        </w:rPr>
        <w:t>第二部分</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color="090000" w:fill="FFFFFF"/>
        </w:rPr>
        <w:t>201</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8</w:t>
      </w:r>
      <w:r>
        <w:rPr>
          <w:rStyle w:val="6"/>
          <w:rFonts w:hint="eastAsia" w:ascii="微软雅黑" w:hAnsi="微软雅黑" w:eastAsia="微软雅黑" w:cs="微软雅黑"/>
          <w:i w:val="0"/>
          <w:caps w:val="0"/>
          <w:color w:val="333333"/>
          <w:spacing w:val="0"/>
          <w:sz w:val="24"/>
          <w:szCs w:val="24"/>
          <w:shd w:val="clear" w:color="090000" w:fill="FFFFFF"/>
        </w:rPr>
        <w:t>年部门决算表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drawing>
          <wp:inline distT="0" distB="0" distL="114300" distR="114300">
            <wp:extent cx="8739505" cy="3910330"/>
            <wp:effectExtent l="0" t="0" r="444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lum/>
                    </a:blip>
                    <a:srcRect l="1686" t="2053" r="3035" b="257"/>
                    <a:stretch>
                      <a:fillRect/>
                    </a:stretch>
                  </pic:blipFill>
                  <pic:spPr>
                    <a:xfrm>
                      <a:off x="0" y="0"/>
                      <a:ext cx="8739505" cy="3910330"/>
                    </a:xfrm>
                    <a:prstGeom prst="rect">
                      <a:avLst/>
                    </a:prstGeom>
                    <a:noFill/>
                    <a:ln>
                      <a:noFill/>
                    </a:ln>
                  </pic:spPr>
                </pic:pic>
              </a:graphicData>
            </a:graphic>
          </wp:inline>
        </w:drawing>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drawing>
          <wp:inline distT="0" distB="0" distL="114300" distR="114300">
            <wp:extent cx="8753475" cy="2397125"/>
            <wp:effectExtent l="0" t="0" r="952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lum/>
                    </a:blip>
                    <a:srcRect l="860" r="645"/>
                    <a:stretch>
                      <a:fillRect/>
                    </a:stretch>
                  </pic:blipFill>
                  <pic:spPr>
                    <a:xfrm>
                      <a:off x="0" y="0"/>
                      <a:ext cx="8753475" cy="2397125"/>
                    </a:xfrm>
                    <a:prstGeom prst="rect">
                      <a:avLst/>
                    </a:prstGeom>
                    <a:noFill/>
                    <a:ln>
                      <a:noFill/>
                    </a:ln>
                  </pic:spPr>
                </pic:pic>
              </a:graphicData>
            </a:graphic>
          </wp:inline>
        </w:drawing>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drawing>
          <wp:inline distT="0" distB="0" distL="114300" distR="114300">
            <wp:extent cx="8726170" cy="2382520"/>
            <wp:effectExtent l="0" t="0" r="1778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lum/>
                    </a:blip>
                    <a:srcRect l="1040" t="2343" r="1871"/>
                    <a:stretch>
                      <a:fillRect/>
                    </a:stretch>
                  </pic:blipFill>
                  <pic:spPr>
                    <a:xfrm>
                      <a:off x="0" y="0"/>
                      <a:ext cx="8726170" cy="2382520"/>
                    </a:xfrm>
                    <a:prstGeom prst="rect">
                      <a:avLst/>
                    </a:prstGeom>
                    <a:noFill/>
                    <a:ln>
                      <a:noFill/>
                    </a:ln>
                  </pic:spPr>
                </pic:pic>
              </a:graphicData>
            </a:graphic>
          </wp:inline>
        </w:drawing>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drawing>
          <wp:inline distT="0" distB="0" distL="114300" distR="114300">
            <wp:extent cx="8768080" cy="5271135"/>
            <wp:effectExtent l="0" t="0" r="1397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lum/>
                    </a:blip>
                    <a:srcRect l="890" r="3116"/>
                    <a:stretch>
                      <a:fillRect/>
                    </a:stretch>
                  </pic:blipFill>
                  <pic:spPr>
                    <a:xfrm>
                      <a:off x="0" y="0"/>
                      <a:ext cx="8768080" cy="5271135"/>
                    </a:xfrm>
                    <a:prstGeom prst="rect">
                      <a:avLst/>
                    </a:prstGeom>
                    <a:noFill/>
                    <a:ln>
                      <a:noFill/>
                    </a:ln>
                  </pic:spPr>
                </pic:pic>
              </a:graphicData>
            </a:graphic>
          </wp:inline>
        </w:drawing>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rPr>
          <w:rFonts w:ascii="宋体" w:hAnsi="宋体" w:eastAsia="宋体" w:cs="宋体"/>
          <w:kern w:val="0"/>
          <w:sz w:val="24"/>
          <w:szCs w:val="24"/>
          <w:lang w:val="en-US" w:eastAsia="zh-CN" w:bidi="ar-SA"/>
        </w:rPr>
        <w:drawing>
          <wp:inline distT="0" distB="0" distL="114300" distR="114300">
            <wp:extent cx="8933815" cy="3806190"/>
            <wp:effectExtent l="0" t="0" r="63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lum/>
                    </a:blip>
                    <a:srcRect l="1285" t="3831" r="3738" b="5029"/>
                    <a:stretch>
                      <a:fillRect/>
                    </a:stretch>
                  </pic:blipFill>
                  <pic:spPr>
                    <a:xfrm>
                      <a:off x="0" y="0"/>
                      <a:ext cx="8933815" cy="3806190"/>
                    </a:xfrm>
                    <a:prstGeom prst="rect">
                      <a:avLst/>
                    </a:prstGeom>
                    <a:noFill/>
                    <a:ln>
                      <a:noFill/>
                    </a:ln>
                  </pic:spPr>
                </pic:pic>
              </a:graphicData>
            </a:graphic>
          </wp:inline>
        </w:drawing>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rPr>
          <w:rFonts w:ascii="宋体" w:hAnsi="宋体" w:eastAsia="宋体" w:cs="宋体"/>
          <w:kern w:val="0"/>
          <w:sz w:val="24"/>
          <w:szCs w:val="24"/>
          <w:lang w:val="en-US" w:eastAsia="zh-CN" w:bidi="ar-SA"/>
        </w:rPr>
        <w:drawing>
          <wp:inline distT="0" distB="0" distL="114300" distR="114300">
            <wp:extent cx="8842375" cy="5205730"/>
            <wp:effectExtent l="0" t="0" r="15875" b="139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lum/>
                    </a:blip>
                    <a:srcRect l="2040" r="1800" b="1265"/>
                    <a:stretch>
                      <a:fillRect/>
                    </a:stretch>
                  </pic:blipFill>
                  <pic:spPr>
                    <a:xfrm>
                      <a:off x="0" y="0"/>
                      <a:ext cx="8842375" cy="5205730"/>
                    </a:xfrm>
                    <a:prstGeom prst="rect">
                      <a:avLst/>
                    </a:prstGeom>
                    <a:noFill/>
                    <a:ln>
                      <a:noFill/>
                    </a:ln>
                  </pic:spPr>
                </pic:pic>
              </a:graphicData>
            </a:graphic>
          </wp:inline>
        </w:drawing>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drawing>
          <wp:inline distT="0" distB="0" distL="114300" distR="114300">
            <wp:extent cx="8815070" cy="1785620"/>
            <wp:effectExtent l="0" t="0" r="508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lum/>
                    </a:blip>
                    <a:srcRect l="871" r="1742"/>
                    <a:stretch>
                      <a:fillRect/>
                    </a:stretch>
                  </pic:blipFill>
                  <pic:spPr>
                    <a:xfrm>
                      <a:off x="0" y="0"/>
                      <a:ext cx="8815070" cy="1785620"/>
                    </a:xfrm>
                    <a:prstGeom prst="rect">
                      <a:avLst/>
                    </a:prstGeom>
                    <a:noFill/>
                    <a:ln>
                      <a:noFill/>
                    </a:ln>
                  </pic:spPr>
                </pic:pic>
              </a:graphicData>
            </a:graphic>
          </wp:inline>
        </w:drawing>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720" w:num="1"/>
          <w:docGrid w:type="lines" w:linePitch="312" w:charSpace="0"/>
        </w:sectPr>
      </w:pPr>
      <w:r>
        <w:rPr>
          <w:rFonts w:ascii="宋体" w:hAnsi="宋体" w:eastAsia="宋体" w:cs="宋体"/>
          <w:kern w:val="0"/>
          <w:sz w:val="24"/>
          <w:szCs w:val="24"/>
          <w:lang w:val="en-US" w:eastAsia="zh-CN" w:bidi="ar-SA"/>
        </w:rPr>
        <w:drawing>
          <wp:inline distT="0" distB="0" distL="114300" distR="114300">
            <wp:extent cx="8752840" cy="2683510"/>
            <wp:effectExtent l="0" t="0" r="1016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lum/>
                    </a:blip>
                    <a:srcRect l="1721" t="3428" r="3011"/>
                    <a:stretch>
                      <a:fillRect/>
                    </a:stretch>
                  </pic:blipFill>
                  <pic:spPr>
                    <a:xfrm>
                      <a:off x="0" y="0"/>
                      <a:ext cx="8752840" cy="2683510"/>
                    </a:xfrm>
                    <a:prstGeom prst="rect">
                      <a:avLst/>
                    </a:prstGeom>
                    <a:noFill/>
                    <a:ln>
                      <a:noFill/>
                    </a:ln>
                  </pic:spPr>
                </pic:pic>
              </a:graphicData>
            </a:graphic>
          </wp:inline>
        </w:drawing>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480" w:firstLineChars="200"/>
        <w:textAlignment w:val="auto"/>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第三部分</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color="090000" w:fill="FFFFFF"/>
        </w:rPr>
        <w:t>201</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8</w:t>
      </w:r>
      <w:r>
        <w:rPr>
          <w:rStyle w:val="6"/>
          <w:rFonts w:hint="eastAsia" w:ascii="微软雅黑" w:hAnsi="微软雅黑" w:eastAsia="微软雅黑" w:cs="微软雅黑"/>
          <w:i w:val="0"/>
          <w:caps w:val="0"/>
          <w:color w:val="333333"/>
          <w:spacing w:val="0"/>
          <w:sz w:val="24"/>
          <w:szCs w:val="24"/>
          <w:shd w:val="clear" w:color="090000" w:fill="FFFFFF"/>
        </w:rPr>
        <w:t>年部门决算情况说明</w:t>
      </w:r>
    </w:p>
    <w:p>
      <w:pPr>
        <w:widowControl/>
        <w:shd w:val="clear" w:color="auto" w:fill="FFFFFF"/>
        <w:ind w:firstLine="480"/>
        <w:jc w:val="left"/>
        <w:rPr>
          <w:rFonts w:hint="eastAsia" w:ascii="宋体" w:hAnsi="宋体" w:eastAsia="宋体" w:cs="宋体"/>
          <w:b/>
          <w:bCs/>
          <w:sz w:val="28"/>
          <w:szCs w:val="28"/>
        </w:rPr>
      </w:pPr>
      <w:r>
        <w:rPr>
          <w:rFonts w:hint="eastAsia" w:ascii="宋体" w:hAnsi="宋体" w:eastAsia="宋体" w:cs="宋体"/>
          <w:b/>
          <w:bCs/>
          <w:sz w:val="28"/>
          <w:szCs w:val="28"/>
        </w:rPr>
        <w:t>（一）预算执行情况分析</w:t>
      </w:r>
    </w:p>
    <w:p>
      <w:pPr>
        <w:widowControl/>
        <w:shd w:val="clear" w:color="auto" w:fill="FFFFFF"/>
        <w:ind w:firstLine="480"/>
        <w:jc w:val="left"/>
        <w:rPr>
          <w:rFonts w:hint="eastAsia" w:ascii="宋体" w:hAnsi="宋体" w:eastAsia="宋体" w:cs="宋体"/>
          <w:spacing w:val="2"/>
          <w:sz w:val="28"/>
          <w:szCs w:val="28"/>
          <w:lang w:val="en-US" w:eastAsia="zh-CN"/>
        </w:rPr>
      </w:pPr>
      <w:r>
        <w:rPr>
          <w:rFonts w:hint="eastAsia" w:ascii="宋体" w:hAnsi="宋体" w:eastAsia="宋体" w:cs="宋体"/>
          <w:spacing w:val="2"/>
          <w:sz w:val="28"/>
          <w:szCs w:val="28"/>
          <w:lang w:val="en-US" w:eastAsia="zh-CN"/>
        </w:rPr>
        <w:t>　2018年财政收入预算数1011233元，其中人员经费734895元，公用经费276338元,2018年收入预算数安排比上年增加37390.48元。2018年财政支出预算数1011233元，其中人员经费734895元，公用经费276338元，2018年支出预算数安排比上年增加37390.48元</w:t>
      </w:r>
      <w:r>
        <w:rPr>
          <w:rFonts w:hint="eastAsia" w:ascii="宋体" w:hAnsi="宋体" w:cs="宋体"/>
          <w:spacing w:val="2"/>
          <w:sz w:val="28"/>
          <w:szCs w:val="28"/>
          <w:lang w:val="en-US" w:eastAsia="zh-CN"/>
        </w:rPr>
        <w:t>。</w:t>
      </w:r>
      <w:r>
        <w:rPr>
          <w:rFonts w:hint="eastAsia" w:ascii="宋体" w:hAnsi="宋体" w:eastAsia="宋体" w:cs="宋体"/>
          <w:spacing w:val="2"/>
          <w:sz w:val="28"/>
          <w:szCs w:val="28"/>
          <w:lang w:val="en-US" w:eastAsia="zh-CN"/>
        </w:rPr>
        <w:t>2017年财政收入预算数973842.52元，其中人员经费687614元，公用经费286228.52元,2017年财政支出预算数973842.52元，其中人员经费687614元，公用经费286228.52元。</w:t>
      </w:r>
    </w:p>
    <w:p>
      <w:pPr>
        <w:widowControl/>
        <w:shd w:val="clear" w:color="auto" w:fill="FFFFFF"/>
        <w:ind w:firstLine="480"/>
        <w:jc w:val="left"/>
        <w:rPr>
          <w:rFonts w:hint="eastAsia" w:ascii="宋体" w:hAnsi="宋体" w:eastAsia="宋体" w:cs="宋体"/>
          <w:b/>
          <w:bCs/>
          <w:sz w:val="28"/>
          <w:szCs w:val="28"/>
        </w:rPr>
      </w:pPr>
      <w:r>
        <w:rPr>
          <w:rFonts w:hint="eastAsia" w:ascii="宋体" w:hAnsi="宋体" w:eastAsia="宋体" w:cs="宋体"/>
          <w:b/>
          <w:bCs/>
          <w:sz w:val="28"/>
          <w:szCs w:val="28"/>
        </w:rPr>
        <w:t>（二）关于“三公”经费支出说明</w:t>
      </w:r>
    </w:p>
    <w:p>
      <w:pPr>
        <w:widowControl/>
        <w:shd w:val="clear" w:color="auto" w:fill="FFFFFF"/>
        <w:ind w:firstLine="480"/>
        <w:jc w:val="left"/>
        <w:rPr>
          <w:rFonts w:hint="eastAsia" w:ascii="宋体" w:hAnsi="宋体" w:eastAsia="宋体" w:cs="宋体"/>
          <w:spacing w:val="2"/>
          <w:sz w:val="28"/>
          <w:szCs w:val="28"/>
          <w:lang w:val="en-US" w:eastAsia="zh-CN"/>
        </w:rPr>
      </w:pPr>
      <w:r>
        <w:rPr>
          <w:rFonts w:hint="eastAsia" w:ascii="宋体" w:hAnsi="宋体" w:eastAsia="宋体" w:cs="宋体"/>
          <w:spacing w:val="2"/>
          <w:sz w:val="28"/>
          <w:szCs w:val="28"/>
          <w:lang w:val="en-US" w:eastAsia="zh-CN"/>
        </w:rPr>
        <w:t>2018年决算公务车运行维护费0元，2018年决算公务接待数为1452元，2017年决算公务车运行维护费0元，2017年决算公务接待数为697元；会议费支出情况: 2018年决算会议费为0万元，2017年决算会议费为0万元；培训费支出情况2018年决算培训费660元，2017年决算培训费2400元。</w:t>
      </w:r>
    </w:p>
    <w:p>
      <w:pPr>
        <w:widowControl/>
        <w:numPr>
          <w:ilvl w:val="0"/>
          <w:numId w:val="1"/>
        </w:numPr>
        <w:shd w:val="clear" w:color="auto" w:fill="FFFFFF"/>
        <w:ind w:left="560" w:leftChars="0" w:firstLine="0" w:firstLineChars="0"/>
        <w:jc w:val="left"/>
        <w:rPr>
          <w:rFonts w:hint="eastAsia" w:ascii="宋体" w:hAnsi="宋体" w:eastAsia="宋体" w:cs="宋体"/>
          <w:spacing w:val="2"/>
          <w:sz w:val="28"/>
          <w:szCs w:val="28"/>
          <w:lang w:val="en-US" w:eastAsia="zh-CN"/>
        </w:rPr>
      </w:pPr>
      <w:r>
        <w:rPr>
          <w:rFonts w:hint="eastAsia" w:ascii="宋体" w:hAnsi="宋体" w:eastAsia="宋体" w:cs="宋体"/>
          <w:b/>
          <w:bCs/>
          <w:sz w:val="28"/>
          <w:szCs w:val="28"/>
        </w:rPr>
        <w:t>关于机关运行经费支出说明</w:t>
      </w:r>
    </w:p>
    <w:p>
      <w:pPr>
        <w:widowControl/>
        <w:numPr>
          <w:ilvl w:val="0"/>
          <w:numId w:val="0"/>
        </w:numPr>
        <w:shd w:val="clear" w:color="auto" w:fill="FFFFFF"/>
        <w:ind w:firstLine="568" w:firstLineChars="200"/>
        <w:jc w:val="left"/>
        <w:rPr>
          <w:rFonts w:hint="eastAsia" w:ascii="宋体" w:hAnsi="宋体" w:eastAsia="宋体" w:cs="宋体"/>
          <w:spacing w:val="2"/>
          <w:sz w:val="28"/>
          <w:szCs w:val="28"/>
          <w:lang w:val="en-US" w:eastAsia="zh-CN"/>
        </w:rPr>
      </w:pPr>
      <w:r>
        <w:rPr>
          <w:rFonts w:hint="eastAsia" w:ascii="宋体" w:hAnsi="宋体" w:eastAsia="宋体" w:cs="宋体"/>
          <w:spacing w:val="2"/>
          <w:sz w:val="28"/>
          <w:szCs w:val="28"/>
          <w:lang w:val="en-US" w:eastAsia="zh-CN"/>
        </w:rPr>
        <w:t>2018年机关运行经费支出1886661.2元, 2017年机关运行经费支出841042.66元,同比上年增加1045618.54元，同比上年增加124%，原因是发改局业务量增加。</w:t>
      </w:r>
    </w:p>
    <w:p>
      <w:pPr>
        <w:widowControl/>
        <w:shd w:val="clear" w:color="auto" w:fill="FFFFFF"/>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（四）关于政府采购支出说明</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pacing w:val="2"/>
          <w:kern w:val="2"/>
          <w:sz w:val="28"/>
          <w:szCs w:val="28"/>
          <w:lang w:val="en-US" w:eastAsia="zh-CN" w:bidi="ar-SA"/>
        </w:rPr>
      </w:pPr>
      <w:r>
        <w:rPr>
          <w:rFonts w:hint="eastAsia" w:ascii="宋体" w:hAnsi="宋体" w:eastAsia="宋体" w:cs="宋体"/>
          <w:spacing w:val="2"/>
          <w:kern w:val="2"/>
          <w:sz w:val="28"/>
          <w:szCs w:val="28"/>
          <w:lang w:val="en-US" w:eastAsia="zh-CN" w:bidi="ar-SA"/>
        </w:rPr>
        <w:t>2018年政府采购总支出154280元，其中政府采购货物支出138280元，政府采购工程支出0元，政府采购服务支出16000元。</w:t>
      </w:r>
    </w:p>
    <w:p>
      <w:pPr>
        <w:widowControl/>
        <w:shd w:val="clear" w:color="auto" w:fill="FFFFFF"/>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（五）关于国有资产占用情况说明</w:t>
      </w:r>
    </w:p>
    <w:p>
      <w:pPr>
        <w:widowControl/>
        <w:shd w:val="clear" w:color="auto" w:fill="FFFFFF"/>
        <w:ind w:firstLine="480"/>
        <w:jc w:val="left"/>
        <w:rPr>
          <w:rFonts w:hint="eastAsia" w:ascii="宋体" w:hAnsi="宋体" w:eastAsia="宋体" w:cs="宋体"/>
          <w:spacing w:val="2"/>
          <w:sz w:val="28"/>
          <w:szCs w:val="28"/>
          <w:lang w:val="en-US" w:eastAsia="zh-CN"/>
        </w:rPr>
      </w:pPr>
      <w:r>
        <w:rPr>
          <w:rFonts w:hint="eastAsia" w:ascii="宋体" w:hAnsi="宋体" w:eastAsia="宋体" w:cs="宋体"/>
          <w:spacing w:val="2"/>
          <w:sz w:val="28"/>
          <w:szCs w:val="28"/>
          <w:lang w:val="en-US" w:eastAsia="zh-CN"/>
        </w:rPr>
        <w:t>黄石市黄石港区发展改革物价局截到2018年12月31日，本部门共有车辆0辆，其中：领导干部用车0辆，一般公务用车0辆，一般执法执勤用车0辆，特种专业技术用车0辆，其他用车0辆。单位价值50万元以上通用设备0台，单价100万元以上专用设备0台。</w:t>
      </w:r>
    </w:p>
    <w:p>
      <w:pPr>
        <w:widowControl/>
        <w:shd w:val="clear" w:color="auto" w:fill="FFFFFF"/>
        <w:ind w:firstLine="281" w:firstLineChars="100"/>
        <w:jc w:val="lef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（六）</w:t>
      </w:r>
      <w:r>
        <w:rPr>
          <w:rFonts w:hint="eastAsia" w:ascii="宋体" w:hAnsi="宋体" w:eastAsia="宋体" w:cs="宋体"/>
          <w:b/>
          <w:bCs/>
          <w:sz w:val="28"/>
          <w:szCs w:val="28"/>
          <w:lang w:val="en-US" w:eastAsia="zh-CN"/>
        </w:rPr>
        <w:t>重点绩效评价结果等预算绩效情况说明</w:t>
      </w:r>
    </w:p>
    <w:p>
      <w:pPr>
        <w:widowControl/>
        <w:shd w:val="clear" w:color="auto" w:fill="FFFFFF"/>
        <w:ind w:firstLine="480"/>
        <w:jc w:val="left"/>
        <w:rPr>
          <w:rStyle w:val="6"/>
          <w:rFonts w:hint="eastAsia" w:ascii="宋体" w:hAnsi="宋体" w:eastAsia="宋体" w:cs="宋体"/>
          <w:i w:val="0"/>
          <w:caps w:val="0"/>
          <w:color w:val="333333"/>
          <w:spacing w:val="0"/>
          <w:sz w:val="28"/>
          <w:szCs w:val="28"/>
          <w:shd w:val="clear" w:color="090000" w:fill="FFFFFF"/>
        </w:rPr>
      </w:pPr>
      <w:r>
        <w:rPr>
          <w:rFonts w:hint="eastAsia" w:ascii="宋体" w:hAnsi="宋体" w:eastAsia="宋体" w:cs="宋体"/>
          <w:spacing w:val="2"/>
          <w:sz w:val="28"/>
          <w:szCs w:val="28"/>
          <w:lang w:val="en-US" w:eastAsia="zh-CN"/>
        </w:rPr>
        <w:t>2018年， 根据预算绩效管理要求，我单位组织2018年度一般公共预算项目支出全面开展绩效自评，共涉及项目</w:t>
      </w:r>
      <w:r>
        <w:rPr>
          <w:rFonts w:hint="eastAsia" w:ascii="宋体" w:hAnsi="宋体" w:cs="宋体"/>
          <w:spacing w:val="2"/>
          <w:sz w:val="28"/>
          <w:szCs w:val="28"/>
          <w:lang w:val="en-US" w:eastAsia="zh-CN"/>
        </w:rPr>
        <w:t>3</w:t>
      </w:r>
      <w:r>
        <w:rPr>
          <w:rFonts w:hint="eastAsia" w:ascii="宋体" w:hAnsi="宋体" w:eastAsia="宋体" w:cs="宋体"/>
          <w:spacing w:val="2"/>
          <w:sz w:val="28"/>
          <w:szCs w:val="28"/>
          <w:lang w:val="en-US" w:eastAsia="zh-CN"/>
        </w:rPr>
        <w:t>个，资金</w:t>
      </w:r>
      <w:r>
        <w:rPr>
          <w:rFonts w:hint="eastAsia" w:ascii="宋体" w:hAnsi="宋体" w:cs="宋体"/>
          <w:spacing w:val="2"/>
          <w:sz w:val="28"/>
          <w:szCs w:val="28"/>
          <w:lang w:val="en-US" w:eastAsia="zh-CN"/>
        </w:rPr>
        <w:t>8.5</w:t>
      </w:r>
      <w:r>
        <w:rPr>
          <w:rFonts w:hint="eastAsia" w:ascii="宋体" w:hAnsi="宋体" w:eastAsia="宋体" w:cs="宋体"/>
          <w:spacing w:val="2"/>
          <w:sz w:val="28"/>
          <w:szCs w:val="28"/>
          <w:lang w:val="en-US" w:eastAsia="zh-CN"/>
        </w:rPr>
        <w:t>万元。 2018年项目资金投入</w:t>
      </w:r>
      <w:r>
        <w:rPr>
          <w:rFonts w:hint="eastAsia" w:ascii="宋体" w:hAnsi="宋体" w:cs="宋体"/>
          <w:spacing w:val="2"/>
          <w:sz w:val="28"/>
          <w:szCs w:val="28"/>
          <w:lang w:val="en-US" w:eastAsia="zh-CN"/>
        </w:rPr>
        <w:t>8.5</w:t>
      </w:r>
      <w:r>
        <w:rPr>
          <w:rFonts w:hint="eastAsia" w:ascii="宋体" w:hAnsi="宋体" w:eastAsia="宋体" w:cs="宋体"/>
          <w:spacing w:val="2"/>
          <w:sz w:val="28"/>
          <w:szCs w:val="28"/>
          <w:lang w:val="en-US" w:eastAsia="zh-CN"/>
        </w:rPr>
        <w:t>万元，已使用</w:t>
      </w:r>
      <w:r>
        <w:rPr>
          <w:rFonts w:hint="eastAsia" w:ascii="宋体" w:hAnsi="宋体" w:cs="宋体"/>
          <w:spacing w:val="2"/>
          <w:sz w:val="28"/>
          <w:szCs w:val="28"/>
          <w:lang w:val="en-US" w:eastAsia="zh-CN"/>
        </w:rPr>
        <w:t>8.5</w:t>
      </w:r>
      <w:r>
        <w:rPr>
          <w:rFonts w:hint="eastAsia" w:ascii="宋体" w:hAnsi="宋体" w:eastAsia="宋体" w:cs="宋体"/>
          <w:spacing w:val="2"/>
          <w:sz w:val="28"/>
          <w:szCs w:val="28"/>
          <w:lang w:val="en-US" w:eastAsia="zh-CN"/>
        </w:rPr>
        <w:t>万元，使用率100%。使用从评价结果看，项目立项程序完整、规范，预算执行及时、有效，绩效目标得到较好实现，绩效管理水平不断提高，绩效指标体系建设逐渐丰富和完善。</w:t>
      </w:r>
      <w:bookmarkStart w:id="0" w:name="_GoBack"/>
      <w:bookmarkEnd w:id="0"/>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b/>
          <w:bCs w:val="0"/>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bCs w:val="0"/>
          <w:color w:val="333333"/>
          <w:sz w:val="24"/>
          <w:szCs w:val="24"/>
        </w:rPr>
      </w:pPr>
      <w:r>
        <w:rPr>
          <w:rStyle w:val="6"/>
          <w:rFonts w:hint="eastAsia" w:ascii="微软雅黑" w:hAnsi="微软雅黑" w:eastAsia="微软雅黑" w:cs="微软雅黑"/>
          <w:b/>
          <w:bCs w:val="0"/>
          <w:i w:val="0"/>
          <w:caps w:val="0"/>
          <w:color w:val="333333"/>
          <w:spacing w:val="0"/>
          <w:sz w:val="24"/>
          <w:szCs w:val="24"/>
          <w:shd w:val="clear" w:color="090000" w:fill="FFFFFF"/>
        </w:rPr>
        <w:t>第四部分</w:t>
      </w:r>
      <w:r>
        <w:rPr>
          <w:rStyle w:val="6"/>
          <w:rFonts w:hint="eastAsia" w:ascii="微软雅黑" w:hAnsi="微软雅黑" w:eastAsia="微软雅黑" w:cs="微软雅黑"/>
          <w:b/>
          <w:bCs w:val="0"/>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b/>
          <w:bCs w:val="0"/>
          <w:i w:val="0"/>
          <w:caps w:val="0"/>
          <w:color w:val="333333"/>
          <w:spacing w:val="0"/>
          <w:sz w:val="24"/>
          <w:szCs w:val="24"/>
          <w:shd w:val="clear" w:color="090000" w:fill="FFFFFF"/>
        </w:rPr>
        <w:t>名词解释</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一、财政补助收入：指县级财政当年拨付的资金。</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二、其他收入：指除“财政拨款收入”、“上级补助收入”、“事业收入”、“经营收入”等以外的收入。主要是存款利息收入等。</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三、年初结转和结余：指以前年度尚未完成、结转到本年按有关规定继续使用的资金。</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四、一般公共服务（类）行政运行（项）：指县行政单位及参照公务员管理事业单位用于保障机构正常运行、开展日常工作的基本支出。</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六、一般公共服务（类）机关服务（项）：指县</w:t>
      </w:r>
      <w:r>
        <w:rPr>
          <w:rFonts w:hint="eastAsia" w:ascii="宋体" w:hAnsi="宋体" w:eastAsia="宋体" w:cs="宋体"/>
          <w:sz w:val="28"/>
          <w:szCs w:val="28"/>
          <w:lang w:eastAsia="zh-CN"/>
        </w:rPr>
        <w:t>黄石港区发改局</w:t>
      </w:r>
      <w:r>
        <w:rPr>
          <w:rFonts w:hint="eastAsia" w:ascii="宋体" w:hAnsi="宋体" w:eastAsia="宋体" w:cs="宋体"/>
          <w:sz w:val="28"/>
          <w:szCs w:val="28"/>
        </w:rPr>
        <w:t>服务中心为机关提供办公楼日常维修、维护等后勤保障服务的支出。</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七、一般公共服务（类）其他一般公共服务支出（款）其他一般公共服务支出（项）：指</w:t>
      </w:r>
      <w:r>
        <w:rPr>
          <w:rFonts w:hint="eastAsia" w:ascii="宋体" w:hAnsi="宋体" w:eastAsia="宋体" w:cs="宋体"/>
          <w:sz w:val="28"/>
          <w:szCs w:val="28"/>
          <w:lang w:eastAsia="zh-CN"/>
        </w:rPr>
        <w:t>黄石港区发改局</w:t>
      </w:r>
      <w:r>
        <w:rPr>
          <w:rFonts w:hint="eastAsia" w:ascii="宋体" w:hAnsi="宋体" w:eastAsia="宋体" w:cs="宋体"/>
          <w:sz w:val="28"/>
          <w:szCs w:val="28"/>
        </w:rPr>
        <w:t>用于其他一般公共服务方面的支出。</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八、教育（类）普通教育（款）高等教育（项）：指</w:t>
      </w:r>
      <w:r>
        <w:rPr>
          <w:rFonts w:hint="eastAsia" w:ascii="宋体" w:hAnsi="宋体" w:eastAsia="宋体" w:cs="宋体"/>
          <w:sz w:val="28"/>
          <w:szCs w:val="28"/>
          <w:lang w:eastAsia="zh-CN"/>
        </w:rPr>
        <w:t>黄石港区发改局</w:t>
      </w:r>
      <w:r>
        <w:rPr>
          <w:rFonts w:hint="eastAsia" w:ascii="宋体" w:hAnsi="宋体" w:eastAsia="宋体" w:cs="宋体"/>
          <w:sz w:val="28"/>
          <w:szCs w:val="28"/>
        </w:rPr>
        <w:t>厅支持地方高校的重点发展和特色办学，组织专家对省属院校申报的建设规划和项目预算进行评审等相关工作的支出。</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九、社会保障和就业(类)行政事业单位离退休（款）归口管理的行政单位离退休（项）：指</w:t>
      </w:r>
      <w:r>
        <w:rPr>
          <w:rFonts w:hint="eastAsia" w:ascii="宋体" w:hAnsi="宋体" w:eastAsia="宋体" w:cs="宋体"/>
          <w:sz w:val="28"/>
          <w:szCs w:val="28"/>
          <w:lang w:eastAsia="zh-CN"/>
        </w:rPr>
        <w:t>黄石港区发改局</w:t>
      </w:r>
      <w:r>
        <w:rPr>
          <w:rFonts w:hint="eastAsia" w:ascii="宋体" w:hAnsi="宋体" w:eastAsia="宋体" w:cs="宋体"/>
          <w:sz w:val="28"/>
          <w:szCs w:val="28"/>
        </w:rPr>
        <w:t>用于离退休人员的支出、退休人员支出，以及提供管理服务工作的离退休干部处的支出。</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十、社会保障和就业(类)行政事业单位离退休（款）其他行政事业单位离退休支出（项）：指</w:t>
      </w:r>
      <w:r>
        <w:rPr>
          <w:rFonts w:hint="eastAsia" w:ascii="宋体" w:hAnsi="宋体" w:eastAsia="宋体" w:cs="宋体"/>
          <w:sz w:val="28"/>
          <w:szCs w:val="28"/>
          <w:lang w:eastAsia="zh-CN"/>
        </w:rPr>
        <w:t>黄石港区发改局</w:t>
      </w:r>
      <w:r>
        <w:rPr>
          <w:rFonts w:hint="eastAsia" w:ascii="宋体" w:hAnsi="宋体" w:eastAsia="宋体" w:cs="宋体"/>
          <w:sz w:val="28"/>
          <w:szCs w:val="28"/>
        </w:rPr>
        <w:t>用于离退休方面的其他支出。</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十一、医疗卫生与计划生育（类）医疗保障（款）行政单位医疗（项）：指</w:t>
      </w:r>
      <w:r>
        <w:rPr>
          <w:rFonts w:hint="eastAsia" w:ascii="宋体" w:hAnsi="宋体" w:eastAsia="宋体" w:cs="宋体"/>
          <w:sz w:val="28"/>
          <w:szCs w:val="28"/>
          <w:lang w:eastAsia="zh-CN"/>
        </w:rPr>
        <w:t>黄石港区发改局</w:t>
      </w:r>
      <w:r>
        <w:rPr>
          <w:rFonts w:hint="eastAsia" w:ascii="宋体" w:hAnsi="宋体" w:eastAsia="宋体" w:cs="宋体"/>
          <w:sz w:val="28"/>
          <w:szCs w:val="28"/>
        </w:rPr>
        <w:t>用于机关干部职工及离退休人员医疗方面的支出。</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十二、住房保障（类）住房改革支出（款）购房补贴（项）：指按照相关住房分配货币化改革的政策规定和标准，对无房和住房未达标职工发放的住房分配货币化补贴资金。</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十三、年末结转和结余：指本年度或以前年度预算安排、因客观条件发生变化无法按原计划实施，需要延迟到以后年度按有关规定继续使用的资金。</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十四、基本支出：指为保障机构正常运转、完成日常工作任务而发生的人员支出（包括基本工资、津贴补贴等）和公用支出（包括办公费、水电费、邮电费、交通费、差旅费等）。</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十五、项目支出：指在基本支出之外为完成特定行政任务和事业发展目标所发生的支出。</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十六、“三公”经费：是指用财政拨款安排的因公出国（境）费、公务用车购置及运行维护费、公务接待费。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BA88D"/>
    <w:multiLevelType w:val="singleLevel"/>
    <w:tmpl w:val="D09BA88D"/>
    <w:lvl w:ilvl="0" w:tentative="0">
      <w:start w:val="3"/>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C1B96"/>
    <w:rsid w:val="16116962"/>
    <w:rsid w:val="1670228F"/>
    <w:rsid w:val="18466587"/>
    <w:rsid w:val="253A2930"/>
    <w:rsid w:val="288E0470"/>
    <w:rsid w:val="37131171"/>
    <w:rsid w:val="3E431281"/>
    <w:rsid w:val="4B247ED9"/>
    <w:rsid w:val="65732311"/>
    <w:rsid w:val="719C2198"/>
    <w:rsid w:val="71A82F44"/>
    <w:rsid w:val="7D4710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spacing w:before="0" w:beforeAutospacing="1" w:after="0" w:afterAutospacing="1"/>
      <w:jc w:val="left"/>
    </w:pPr>
    <w:rPr>
      <w:rFonts w:hint="eastAsia" w:ascii="宋体" w:hAnsi="宋体" w:eastAsia="宋体" w:cs="宋体"/>
      <w:b/>
      <w:kern w:val="0"/>
      <w:sz w:val="20"/>
      <w:szCs w:val="20"/>
      <w:lang w:val="en-US" w:eastAsia="zh-CN"/>
    </w:rPr>
  </w:style>
  <w:style w:type="character" w:default="1" w:styleId="5">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Body Text Indent"/>
    <w:basedOn w:val="1"/>
    <w:qFormat/>
    <w:uiPriority w:val="0"/>
    <w:pPr>
      <w:spacing w:line="500" w:lineRule="exact"/>
      <w:ind w:firstLine="640" w:firstLineChars="200"/>
    </w:pPr>
    <w:rPr>
      <w:rFonts w:ascii="宋体"/>
      <w:sz w:val="32"/>
    </w:rPr>
  </w:style>
  <w:style w:type="paragraph" w:customStyle="1" w:styleId="9">
    <w:name w:val="Plain Text"/>
    <w:basedOn w:val="1"/>
    <w:qFormat/>
    <w:uiPriority w:val="0"/>
    <w:rPr>
      <w:rFonts w:ascii="宋体" w:hAnsi="Courier New" w:cs="Courier New"/>
      <w:szCs w:val="21"/>
    </w:rPr>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5"/>
    <w:qFormat/>
    <w:uiPriority w:val="0"/>
  </w:style>
  <w:style w:type="character" w:customStyle="1" w:styleId="13">
    <w:name w:val="ca-3"/>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gg</dc:creator>
  <cp:lastModifiedBy>Administrator</cp:lastModifiedBy>
  <dcterms:modified xsi:type="dcterms:W3CDTF">2021-05-26T02:28:44Z</dcterms:modified>
  <dc:title>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