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民营企业发展促进中心2022年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民营企业发展促进中心2022年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numPr>
          <w:ilvl w:val="0"/>
          <w:numId w:val="0"/>
        </w:numPr>
        <w:wordWrap w:val="0"/>
        <w:spacing w:before="120" w:after="120" w:line="560" w:lineRule="atLeast"/>
        <w:ind w:firstLine="568" w:firstLineChars="200"/>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黄石港区民营企业发展促进中心主要职责是贯彻落实党中央关于民营企业发展促进工作的方针政策和决策部署，落实区委工作要求，在履行职责过程中坚持和加强党对民营企业发展促进工作的集中统一领导；承担服务民营经济、促进产业升级有关工作；研究分析民营经济发展现状及特点，为相关政府部门提供决策咨询和建议；参与政府促进民营经济发展相关政策的制定工作；配合落实促进民营经济发展的扶持政策，整合各种社会资源，推进民营经济发展；推动民营企业与其他所有制企业开展交流与合作，为民营企业提供产业发展信息；承担政府部门组织的促进民营经济发展相关大型活动；宣传民营企业发展典型，引导和鼓励民营经济健康发展。</w:t>
      </w:r>
    </w:p>
    <w:p>
      <w:pPr>
        <w:numPr>
          <w:ilvl w:val="0"/>
          <w:numId w:val="2"/>
        </w:numPr>
        <w:wordWrap w:val="0"/>
        <w:spacing w:before="120" w:after="120" w:line="560" w:lineRule="atLeast"/>
        <w:ind w:left="0" w:leftChars="0" w:firstLine="0" w:firstLineChars="0"/>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部门预算单位人员构成</w:t>
      </w:r>
    </w:p>
    <w:p>
      <w:pPr>
        <w:numPr>
          <w:ilvl w:val="0"/>
          <w:numId w:val="0"/>
        </w:numPr>
        <w:wordWrap w:val="0"/>
        <w:spacing w:before="120" w:after="120" w:line="560" w:lineRule="atLeast"/>
        <w:ind w:leftChars="0"/>
        <w:rPr>
          <w:rFonts w:hint="default" w:ascii="宋体" w:hAnsi="宋体"/>
          <w:color w:val="000000"/>
          <w:spacing w:val="2"/>
          <w:sz w:val="28"/>
          <w:szCs w:val="28"/>
          <w:lang w:val="en-US" w:eastAsia="zh-CN"/>
        </w:rPr>
      </w:pPr>
      <w:r>
        <w:rPr>
          <w:rFonts w:hint="eastAsia" w:ascii="宋体" w:hAnsi="宋体"/>
          <w:color w:val="000000"/>
          <w:spacing w:val="2"/>
          <w:sz w:val="28"/>
          <w:szCs w:val="28"/>
          <w:lang w:val="en-US" w:eastAsia="zh-CN"/>
        </w:rPr>
        <w:t xml:space="preserve">   黄石港区民营企业发展促进中心是贯彻落实民营企业发展促进工作的方针政策和决策部署的区政府直属事业单位。内设办公室、党政办、企业服务科等科室。</w:t>
      </w:r>
    </w:p>
    <w:p>
      <w:pPr>
        <w:numPr>
          <w:ilvl w:val="0"/>
          <w:numId w:val="0"/>
        </w:numPr>
        <w:wordWrap w:val="0"/>
        <w:spacing w:before="120" w:after="120" w:line="560" w:lineRule="atLeast"/>
        <w:ind w:leftChars="0"/>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民营企业发展促进中心2022年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593824</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eastAsia="宋体"/>
                <w:lang w:val="en-US" w:eastAsia="zh-CN"/>
              </w:rPr>
            </w:pPr>
            <w:r>
              <w:rPr>
                <w:rFonts w:hint="eastAsia" w:ascii="宋体" w:hAnsi="宋体" w:cs="宋体"/>
                <w:kern w:val="0"/>
                <w:sz w:val="24"/>
                <w:lang w:val="en-US" w:eastAsia="zh-CN"/>
              </w:rPr>
              <w:t>593824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593824</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r>
              <w:rPr>
                <w:rFonts w:hint="eastAsia" w:ascii="宋体" w:hAnsi="宋体" w:cs="宋体"/>
                <w:kern w:val="0"/>
                <w:sz w:val="24"/>
                <w:lang w:val="en" w:eastAsia="zh-CN"/>
              </w:rPr>
              <w:t xml:space="preserve">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r>
              <w:rPr>
                <w:rFonts w:hint="eastAsia" w:ascii="宋体" w:hAnsi="宋体" w:cs="宋体"/>
                <w:kern w:val="0"/>
                <w:sz w:val="24"/>
                <w:lang w:val="en"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民营企业发展促进中心2022年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ind w:firstLine="240" w:firstLineChars="100"/>
              <w:jc w:val="left"/>
              <w:rPr>
                <w:rFonts w:hint="eastAsia" w:eastAsia="宋体"/>
                <w:lang w:val="en" w:eastAsia="zh-CN"/>
              </w:rPr>
            </w:pPr>
            <w:r>
              <w:rPr>
                <w:rFonts w:hint="eastAsia" w:ascii="宋体" w:hAnsi="宋体" w:cs="宋体"/>
                <w:kern w:val="0"/>
                <w:sz w:val="24"/>
                <w:lang w:val="en-US" w:eastAsia="zh-CN"/>
              </w:rPr>
              <w:t>593824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593824</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US" w:eastAsia="zh-CN"/>
              </w:rPr>
              <w:t>593824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US" w:eastAsia="zh-CN"/>
              </w:rPr>
              <w:t>593824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民营企业发展促进中心2022年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1035" w:type="dxa"/>
            <w:vAlign w:val="center"/>
          </w:tcPr>
          <w:p>
            <w:pPr>
              <w:widowControl/>
              <w:jc w:val="center"/>
              <w:rPr>
                <w:rFonts w:hint="eastAsia" w:eastAsia="宋体"/>
                <w:lang w:val="en-US" w:eastAsia="zh-CN"/>
              </w:rPr>
            </w:pPr>
            <w:r>
              <w:rPr>
                <w:rFonts w:hint="eastAsia" w:ascii="宋体" w:hAnsi="宋体" w:cs="宋体"/>
                <w:kern w:val="0"/>
                <w:sz w:val="24"/>
                <w:lang w:val="en-US" w:eastAsia="zh-CN"/>
              </w:rPr>
              <w:t>593824</w:t>
            </w:r>
          </w:p>
        </w:tc>
        <w:tc>
          <w:tcPr>
            <w:tcW w:w="1005" w:type="dxa"/>
            <w:vAlign w:val="center"/>
          </w:tcPr>
          <w:p>
            <w:pPr>
              <w:widowControl/>
              <w:jc w:val="center"/>
            </w:pP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color w:val="auto"/>
                <w:lang w:val="en-US"/>
              </w:rPr>
            </w:pPr>
            <w:r>
              <w:rPr>
                <w:rFonts w:hint="eastAsia"/>
                <w:color w:val="auto"/>
                <w:lang w:val="en-US" w:eastAsia="zh-CN"/>
              </w:rPr>
              <w:t>201</w:t>
            </w:r>
          </w:p>
        </w:tc>
        <w:tc>
          <w:tcPr>
            <w:tcW w:w="1710" w:type="dxa"/>
            <w:vAlign w:val="center"/>
          </w:tcPr>
          <w:p>
            <w:pPr>
              <w:widowControl/>
              <w:jc w:val="left"/>
              <w:rPr>
                <w:color w:val="FF0000"/>
              </w:rPr>
            </w:pPr>
            <w:r>
              <w:rPr>
                <w:rFonts w:hint="eastAsia"/>
                <w:color w:val="000000" w:themeColor="text1"/>
                <w:lang w:eastAsia="zh-CN"/>
                <w14:textFill>
                  <w14:solidFill>
                    <w14:schemeClr w14:val="tx1"/>
                  </w14:solidFill>
                </w14:textFill>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593824</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color w:val="auto"/>
                <w:lang w:val="en-US" w:eastAsia="zh-CN"/>
              </w:rPr>
            </w:pPr>
            <w:r>
              <w:rPr>
                <w:rFonts w:hint="eastAsia"/>
                <w:color w:val="auto"/>
                <w:lang w:val="en-US" w:eastAsia="zh-CN"/>
              </w:rPr>
              <w:t>20103</w:t>
            </w:r>
          </w:p>
        </w:tc>
        <w:tc>
          <w:tcPr>
            <w:tcW w:w="1710" w:type="dxa"/>
            <w:vAlign w:val="center"/>
          </w:tcPr>
          <w:p>
            <w:pPr>
              <w:widowControl/>
              <w:ind w:firstLine="210" w:firstLineChars="100"/>
              <w:jc w:val="left"/>
              <w:rPr>
                <w:rFonts w:hint="eastAsia" w:eastAsia="宋体"/>
                <w:color w:val="auto"/>
                <w:lang w:eastAsia="zh-CN"/>
              </w:rPr>
            </w:pPr>
            <w:r>
              <w:rPr>
                <w:rFonts w:hint="eastAsia"/>
                <w:color w:val="auto"/>
                <w:lang w:eastAsia="zh-CN"/>
              </w:rPr>
              <w:t>政府办公厅（室）及相关机构事务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593824</w:t>
            </w:r>
          </w:p>
        </w:tc>
        <w:tc>
          <w:tcPr>
            <w:tcW w:w="1005" w:type="dxa"/>
            <w:vAlign w:val="center"/>
          </w:tcPr>
          <w:p>
            <w:pPr>
              <w:widowControl/>
              <w:jc w:val="cente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22" w:hRule="atLeast"/>
          <w:jc w:val="center"/>
        </w:trPr>
        <w:tc>
          <w:tcPr>
            <w:tcW w:w="1184" w:type="dxa"/>
            <w:vAlign w:val="center"/>
          </w:tcPr>
          <w:p>
            <w:pPr>
              <w:widowControl/>
              <w:jc w:val="center"/>
              <w:rPr>
                <w:rFonts w:hint="default" w:eastAsia="宋体"/>
                <w:color w:val="auto"/>
                <w:lang w:val="en-US" w:eastAsia="zh-CN"/>
              </w:rPr>
            </w:pPr>
            <w:r>
              <w:rPr>
                <w:rFonts w:hint="eastAsia"/>
                <w:color w:val="auto"/>
                <w:lang w:val="en-US" w:eastAsia="zh-CN"/>
              </w:rPr>
              <w:t>2010301</w:t>
            </w:r>
          </w:p>
        </w:tc>
        <w:tc>
          <w:tcPr>
            <w:tcW w:w="1710" w:type="dxa"/>
            <w:vAlign w:val="center"/>
          </w:tcPr>
          <w:p>
            <w:pPr>
              <w:widowControl/>
              <w:jc w:val="left"/>
              <w:rPr>
                <w:rFonts w:hint="eastAsia" w:eastAsia="宋体"/>
                <w:color w:val="auto"/>
                <w:lang w:eastAsia="zh-CN"/>
              </w:rPr>
            </w:pPr>
            <w:r>
              <w:rPr>
                <w:rFonts w:hint="eastAsia" w:ascii="宋体" w:hAnsi="宋体" w:cs="宋体"/>
                <w:color w:val="auto"/>
                <w:kern w:val="0"/>
                <w:sz w:val="24"/>
              </w:rPr>
              <w:t>　</w:t>
            </w:r>
            <w:r>
              <w:rPr>
                <w:rFonts w:hint="eastAsia" w:ascii="宋体" w:hAnsi="宋体" w:cs="宋体"/>
                <w:color w:val="auto"/>
                <w:kern w:val="0"/>
                <w:sz w:val="24"/>
                <w:lang w:eastAsia="zh-CN"/>
              </w:rPr>
              <w:t>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US" w:eastAsia="zh-CN"/>
              </w:rPr>
              <w:t>593824</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593824</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民营企业发展促进中心2022年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r>
              <w:rPr>
                <w:rFonts w:hint="eastAsia" w:ascii="宋体" w:hAnsi="宋体" w:cs="宋体"/>
                <w:kern w:val="0"/>
                <w:sz w:val="24"/>
                <w:lang w:val="en"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r>
              <w:rPr>
                <w:rFonts w:hint="eastAsia" w:ascii="宋体" w:hAnsi="宋体" w:cs="宋体"/>
                <w:kern w:val="0"/>
                <w:sz w:val="24"/>
                <w:lang w:val="en" w:eastAsia="zh-CN"/>
              </w:rPr>
              <w:t xml:space="preserve">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r>
              <w:rPr>
                <w:rFonts w:hint="eastAsia" w:ascii="宋体" w:hAnsi="宋体" w:cs="宋体"/>
                <w:kern w:val="0"/>
                <w:sz w:val="24"/>
                <w:lang w:val="en"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r>
              <w:rPr>
                <w:rFonts w:hint="eastAsia" w:ascii="宋体" w:hAnsi="宋体" w:cs="宋体"/>
                <w:kern w:val="0"/>
                <w:sz w:val="24"/>
                <w:lang w:val="en" w:eastAsia="zh-CN"/>
              </w:rPr>
              <w:t xml:space="preserve">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r>
              <w:rPr>
                <w:rFonts w:hint="eastAsia" w:ascii="宋体" w:hAnsi="宋体" w:cs="宋体"/>
                <w:kern w:val="0"/>
                <w:sz w:val="24"/>
                <w:lang w:val="en"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民营企业发展促进中心2022年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1815"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1702" w:type="dxa"/>
            <w:shd w:val="clear" w:color="auto" w:fill="D7D7D7" w:themeFill="background1" w:themeFillShade="D8"/>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2011350</w:t>
            </w:r>
          </w:p>
        </w:tc>
        <w:tc>
          <w:tcPr>
            <w:tcW w:w="2100" w:type="dxa"/>
            <w:vAlign w:val="center"/>
          </w:tcPr>
          <w:p>
            <w:pPr>
              <w:widowControl/>
              <w:ind w:firstLine="630" w:firstLineChars="300"/>
              <w:jc w:val="left"/>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事业运行</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US" w:eastAsia="zh-CN"/>
              </w:rPr>
              <w:t>593824</w:t>
            </w:r>
          </w:p>
        </w:tc>
        <w:tc>
          <w:tcPr>
            <w:tcW w:w="181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US" w:eastAsia="zh-CN"/>
              </w:rPr>
              <w:t>593824</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rPr>
                <w:color w:val="FF0000"/>
              </w:rPr>
            </w:pPr>
          </w:p>
        </w:tc>
        <w:tc>
          <w:tcPr>
            <w:tcW w:w="2100" w:type="dxa"/>
            <w:vAlign w:val="center"/>
          </w:tcPr>
          <w:p>
            <w:pPr>
              <w:widowControl/>
              <w:ind w:firstLine="210" w:firstLineChars="100"/>
              <w:jc w:val="left"/>
              <w:rPr>
                <w:color w:val="FF0000"/>
              </w:rPr>
            </w:pPr>
          </w:p>
        </w:tc>
        <w:tc>
          <w:tcPr>
            <w:tcW w:w="1830" w:type="dxa"/>
            <w:vAlign w:val="center"/>
          </w:tcPr>
          <w:p>
            <w:pPr>
              <w:widowControl/>
              <w:jc w:val="center"/>
              <w:rPr>
                <w:rFonts w:hint="eastAsia" w:eastAsia="宋体"/>
                <w:lang w:val="en" w:eastAsia="zh-CN"/>
              </w:rPr>
            </w:pPr>
          </w:p>
        </w:tc>
        <w:tc>
          <w:tcPr>
            <w:tcW w:w="1815" w:type="dxa"/>
            <w:vAlign w:val="center"/>
          </w:tcPr>
          <w:p>
            <w:pPr>
              <w:widowControl/>
              <w:jc w:val="center"/>
              <w:rPr>
                <w:rFonts w:hint="eastAsia" w:eastAsia="宋体"/>
                <w:lang w:val="en" w:eastAsia="zh-CN"/>
              </w:rPr>
            </w:pP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rPr>
                <w:color w:val="FF0000"/>
              </w:rPr>
            </w:pPr>
          </w:p>
        </w:tc>
        <w:tc>
          <w:tcPr>
            <w:tcW w:w="2100" w:type="dxa"/>
            <w:vAlign w:val="center"/>
          </w:tcPr>
          <w:p>
            <w:pPr>
              <w:widowControl/>
              <w:jc w:val="left"/>
              <w:rPr>
                <w:color w:val="FF0000"/>
              </w:rPr>
            </w:pPr>
            <w:r>
              <w:rPr>
                <w:rFonts w:hint="eastAsia" w:ascii="宋体" w:hAnsi="宋体" w:cs="宋体"/>
                <w:color w:val="FF0000"/>
                <w:kern w:val="0"/>
                <w:sz w:val="24"/>
              </w:rPr>
              <w:t>　</w:t>
            </w:r>
          </w:p>
        </w:tc>
        <w:tc>
          <w:tcPr>
            <w:tcW w:w="1830" w:type="dxa"/>
            <w:vAlign w:val="center"/>
          </w:tcPr>
          <w:p>
            <w:pPr>
              <w:widowControl/>
              <w:jc w:val="center"/>
              <w:rPr>
                <w:rFonts w:hint="eastAsia" w:ascii="宋体" w:hAnsi="宋体" w:eastAsia="宋体" w:cs="宋体"/>
                <w:kern w:val="0"/>
                <w:sz w:val="24"/>
                <w:lang w:val="en" w:eastAsia="zh-CN"/>
              </w:rPr>
            </w:pPr>
          </w:p>
        </w:tc>
        <w:tc>
          <w:tcPr>
            <w:tcW w:w="1815" w:type="dxa"/>
            <w:vAlign w:val="center"/>
          </w:tcPr>
          <w:p>
            <w:pPr>
              <w:widowControl/>
              <w:jc w:val="center"/>
              <w:rPr>
                <w:rFonts w:hint="eastAsia" w:ascii="宋体" w:hAnsi="宋体" w:eastAsia="宋体" w:cs="宋体"/>
                <w:kern w:val="0"/>
                <w:sz w:val="24"/>
                <w:lang w:val="en" w:eastAsia="zh-CN"/>
              </w:rPr>
            </w:pPr>
          </w:p>
        </w:tc>
        <w:tc>
          <w:tcPr>
            <w:tcW w:w="1702" w:type="dxa"/>
            <w:vAlign w:val="center"/>
          </w:tcPr>
          <w:p>
            <w:pPr>
              <w:widowControl/>
              <w:jc w:val="center"/>
              <w:rPr>
                <w:rFonts w:ascii="宋体" w:hAnsi="宋体" w:cs="宋体"/>
                <w:kern w:val="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民营企业发展促进中心2022年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ascii="宋体" w:hAnsi="宋体" w:cs="宋体"/>
                <w:kern w:val="0"/>
                <w:sz w:val="24"/>
                <w:lang w:val="en-US" w:eastAsia="zh-CN"/>
              </w:rPr>
              <w:t>593824</w:t>
            </w:r>
            <w:r>
              <w:rPr>
                <w:rFonts w:hint="eastAsia" w:asciiTheme="minorEastAsia" w:hAnsiTheme="minorEastAsia" w:eastAsiaTheme="minorEastAsia"/>
                <w:b/>
                <w:bCs/>
                <w:color w:val="000000"/>
                <w:sz w:val="24"/>
                <w:lang w:val="en-US" w:eastAsia="zh-CN"/>
              </w:rPr>
              <w:t xml:space="preserve">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577326</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16498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545413</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545413</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142200</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142200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300264</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2"/>
                <w:sz w:val="24"/>
                <w:szCs w:val="24"/>
                <w:u w:val="none"/>
                <w:lang w:val="en-US" w:eastAsia="zh-CN" w:bidi="ar-SA"/>
              </w:rPr>
              <w:t>300264</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4370</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2"/>
                <w:sz w:val="24"/>
                <w:szCs w:val="24"/>
                <w:u w:val="none"/>
                <w:lang w:val="en-US" w:eastAsia="zh-CN" w:bidi="ar-SA"/>
              </w:rPr>
              <w:t>4370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98579</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2"/>
                <w:sz w:val="24"/>
                <w:szCs w:val="24"/>
                <w:u w:val="none"/>
                <w:lang w:val="en-US" w:eastAsia="zh-CN" w:bidi="ar-SA"/>
              </w:rPr>
              <w:t>98579</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hint="default" w:cs="宋体" w:asciiTheme="minorEastAsia" w:hAnsiTheme="minorEastAsia" w:eastAsiaTheme="minorEastAsia"/>
                <w:color w:val="000000"/>
                <w:kern w:val="2"/>
                <w:sz w:val="24"/>
                <w:szCs w:val="24"/>
                <w:lang w:val="en"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cs="宋体" w:asciiTheme="minorEastAsia" w:hAnsiTheme="minorEastAsia" w:eastAsiaTheme="minorEastAsia"/>
                <w:b/>
                <w:bCs/>
                <w:color w:val="000000"/>
                <w:sz w:val="24"/>
                <w:lang w:val="en-US" w:eastAsia="zh-CN"/>
              </w:rPr>
              <w:t>16498</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cs="宋体" w:asciiTheme="minorEastAsia" w:hAnsiTheme="minorEastAsia" w:eastAsiaTheme="minorEastAsia"/>
                <w:b/>
                <w:bCs/>
                <w:color w:val="000000"/>
                <w:sz w:val="24"/>
                <w:lang w:val="en-US" w:eastAsia="zh-CN"/>
              </w:rPr>
              <w:t>16498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2100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2100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150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3060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3060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2820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default" w:cs="宋体" w:asciiTheme="minorEastAsia" w:hAnsiTheme="minorEastAsia" w:eastAsiaTheme="minorEastAsia"/>
                <w:color w:val="000000"/>
                <w:sz w:val="24"/>
                <w:lang w:val="en-US"/>
              </w:rPr>
            </w:pPr>
            <w:r>
              <w:rPr>
                <w:rFonts w:hint="eastAsia" w:cs="宋体" w:asciiTheme="minorEastAsia" w:hAnsiTheme="minorEastAsia" w:eastAsiaTheme="minorEastAsia"/>
                <w:color w:val="000000"/>
                <w:sz w:val="24"/>
                <w:lang w:val="en-US" w:eastAsia="zh-CN"/>
              </w:rPr>
              <w:t>300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3989</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3989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cs="宋体"/>
                <w:i w:val="0"/>
                <w:iCs w:val="0"/>
                <w:color w:val="000000"/>
                <w:kern w:val="0"/>
                <w:sz w:val="24"/>
                <w:szCs w:val="24"/>
                <w:u w:val="none"/>
                <w:lang w:val="en-US" w:eastAsia="zh-CN" w:bidi="ar"/>
              </w:rPr>
              <w:t>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6649</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6649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31913</w:t>
            </w:r>
          </w:p>
        </w:tc>
        <w:tc>
          <w:tcPr>
            <w:tcW w:w="1260" w:type="dxa"/>
            <w:vAlign w:val="center"/>
          </w:tcPr>
          <w:p>
            <w:pPr>
              <w:jc w:val="center"/>
              <w:rPr>
                <w:rFonts w:hint="default" w:cs="宋体" w:asciiTheme="minorEastAsia" w:hAnsiTheme="minorEastAsia" w:eastAsiaTheme="minorEastAsia"/>
                <w:color w:val="000000"/>
                <w:sz w:val="24"/>
                <w:lang w:val="en-US"/>
              </w:rPr>
            </w:pPr>
            <w:r>
              <w:rPr>
                <w:rFonts w:hint="eastAsia" w:cs="宋体" w:asciiTheme="minorEastAsia" w:hAnsiTheme="minorEastAsia" w:eastAsiaTheme="minorEastAsia"/>
                <w:b/>
                <w:bCs/>
                <w:color w:val="000000"/>
                <w:sz w:val="24"/>
                <w:lang w:val="en-US" w:eastAsia="zh-CN"/>
              </w:rPr>
              <w:t>31913</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医疗费补</w:t>
            </w:r>
            <w:r>
              <w:rPr>
                <w:rFonts w:hint="eastAsia" w:ascii="Arial" w:hAnsi="Arial" w:cs="Arial"/>
                <w:kern w:val="0"/>
                <w:sz w:val="24"/>
              </w:rPr>
              <w:t>助</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w:t>
            </w:r>
            <w:r>
              <w:rPr>
                <w:rFonts w:hint="eastAsia" w:ascii="微软雅黑" w:hAnsi="微软雅黑" w:eastAsia="微软雅黑" w:cs="微软雅黑"/>
                <w:b/>
                <w:bCs/>
                <w:color w:val="333333"/>
                <w:kern w:val="0"/>
                <w:sz w:val="32"/>
                <w:szCs w:val="32"/>
                <w:shd w:val="clear" w:color="auto" w:fill="FFFFFF"/>
                <w:lang w:eastAsia="zh-CN"/>
              </w:rPr>
              <w:t>区民营企业发展促进中心2022年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both"/>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both"/>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民营企业发展促进中心2022年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jc w:val="center"/>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jc w:val="center"/>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jc w:val="center"/>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jc w:val="center"/>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jc w:val="center"/>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jc w:val="center"/>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numPr>
          <w:ilvl w:val="0"/>
          <w:numId w:val="0"/>
        </w:numPr>
        <w:spacing w:before="0" w:beforeAutospacing="0" w:after="0" w:afterAutospacing="0" w:line="585" w:lineRule="atLeast"/>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b w:val="0"/>
          <w:bCs/>
          <w:color w:val="333333"/>
          <w:highlight w:val="none"/>
          <w:shd w:val="clear" w:color="auto" w:fill="FFFFFF"/>
          <w:lang w:eastAsia="zh-CN"/>
        </w:rPr>
        <w:t>说明：本单位无项目支出</w:t>
      </w: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US" w:eastAsia="zh-CN"/>
        </w:rPr>
        <w:t>593824</w:t>
      </w:r>
      <w:r>
        <w:rPr>
          <w:rFonts w:hint="eastAsia" w:ascii="宋体" w:hAnsi="宋体" w:cs="宋体"/>
          <w:sz w:val="28"/>
          <w:szCs w:val="28"/>
          <w:highlight w:val="none"/>
          <w:lang w:val="en" w:eastAsia="zh-CN"/>
        </w:rPr>
        <w:t xml:space="preserve">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US" w:eastAsia="zh-CN"/>
        </w:rPr>
        <w:t>593824</w:t>
      </w:r>
      <w:r>
        <w:rPr>
          <w:rFonts w:hint="eastAsia" w:ascii="宋体" w:hAnsi="宋体" w:cs="宋体"/>
          <w:sz w:val="28"/>
          <w:szCs w:val="28"/>
          <w:highlight w:val="none"/>
          <w:lang w:val="en" w:eastAsia="zh-CN"/>
        </w:rPr>
        <w:t xml:space="preserve">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US" w:eastAsia="zh-CN"/>
        </w:rPr>
        <w:t>593824</w:t>
      </w:r>
      <w:r>
        <w:rPr>
          <w:rFonts w:hint="eastAsia" w:ascii="宋体" w:hAnsi="宋体" w:cs="宋体"/>
          <w:sz w:val="28"/>
          <w:szCs w:val="28"/>
          <w:highlight w:val="none"/>
          <w:lang w:val="en" w:eastAsia="zh-CN"/>
        </w:rPr>
        <w:t xml:space="preserve"> </w:t>
      </w:r>
      <w:r>
        <w:rPr>
          <w:rFonts w:hint="eastAsia" w:ascii="宋体" w:hAnsi="宋体"/>
          <w:color w:val="000000"/>
          <w:spacing w:val="2"/>
          <w:kern w:val="2"/>
          <w:sz w:val="28"/>
          <w:szCs w:val="28"/>
          <w:highlight w:val="none"/>
          <w:lang w:val="en-US" w:eastAsia="zh-CN"/>
        </w:rPr>
        <w:t>元，其中基本支出</w:t>
      </w:r>
      <w:r>
        <w:rPr>
          <w:rFonts w:hint="eastAsia" w:ascii="宋体" w:hAnsi="宋体" w:cs="宋体"/>
          <w:sz w:val="28"/>
          <w:szCs w:val="28"/>
          <w:highlight w:val="none"/>
          <w:lang w:val="en-US" w:eastAsia="zh-CN"/>
        </w:rPr>
        <w:t>593824</w:t>
      </w:r>
      <w:r>
        <w:rPr>
          <w:rFonts w:hint="eastAsia" w:ascii="宋体" w:hAnsi="宋体" w:cs="宋体"/>
          <w:sz w:val="28"/>
          <w:szCs w:val="28"/>
          <w:highlight w:val="none"/>
          <w:lang w:val="en" w:eastAsia="zh-CN"/>
        </w:rPr>
        <w:t xml:space="preserve"> </w:t>
      </w:r>
      <w:r>
        <w:rPr>
          <w:rFonts w:hint="eastAsia" w:ascii="宋体" w:hAnsi="宋体"/>
          <w:color w:val="000000"/>
          <w:spacing w:val="2"/>
          <w:kern w:val="2"/>
          <w:sz w:val="28"/>
          <w:szCs w:val="28"/>
          <w:highlight w:val="none"/>
          <w:lang w:val="en-US" w:eastAsia="zh-CN"/>
        </w:rPr>
        <w:t>元，占比100%。</w:t>
      </w:r>
    </w:p>
    <w:p>
      <w:pPr>
        <w:numPr>
          <w:numId w:val="0"/>
        </w:numPr>
        <w:ind w:leftChars="0"/>
        <w:rPr>
          <w:rFonts w:hint="eastAsia" w:ascii="宋体" w:hAnsi="宋体" w:cs="宋体"/>
          <w:b/>
          <w:kern w:val="0"/>
          <w:sz w:val="28"/>
          <w:szCs w:val="28"/>
        </w:rPr>
      </w:pPr>
      <w:r>
        <w:rPr>
          <w:rFonts w:hint="eastAsia" w:ascii="宋体" w:hAnsi="宋体" w:cs="宋体"/>
          <w:b/>
          <w:kern w:val="0"/>
          <w:sz w:val="28"/>
          <w:szCs w:val="28"/>
          <w:lang w:val="en-US" w:eastAsia="zh-CN"/>
        </w:rPr>
        <w:t>二、</w:t>
      </w: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US" w:eastAsia="zh-CN"/>
        </w:rPr>
        <w:t>593824</w:t>
      </w:r>
      <w:r>
        <w:rPr>
          <w:rFonts w:hint="eastAsia" w:ascii="宋体" w:hAnsi="宋体" w:cs="宋体"/>
          <w:sz w:val="28"/>
          <w:szCs w:val="28"/>
          <w:highlight w:val="none"/>
          <w:lang w:val="en" w:eastAsia="zh-CN"/>
        </w:rPr>
        <w:t xml:space="preserve">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属于</w:t>
      </w:r>
      <w:r>
        <w:rPr>
          <w:rFonts w:hint="eastAsia" w:ascii="宋体" w:hAnsi="宋体" w:cs="宋体"/>
          <w:kern w:val="0"/>
          <w:sz w:val="28"/>
          <w:szCs w:val="28"/>
          <w:highlight w:val="none"/>
          <w:lang w:val="en-US" w:eastAsia="zh-CN"/>
        </w:rPr>
        <w:t>2022年度新增单位</w:t>
      </w:r>
      <w:r>
        <w:rPr>
          <w:rFonts w:hint="eastAsia" w:ascii="宋体" w:hAnsi="宋体" w:cs="宋体"/>
          <w:kern w:val="0"/>
          <w:sz w:val="28"/>
          <w:szCs w:val="28"/>
          <w:highlight w:val="none"/>
        </w:rPr>
        <w:t>。</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US" w:eastAsia="zh-CN"/>
        </w:rPr>
        <w:t>593824</w:t>
      </w:r>
      <w:r>
        <w:rPr>
          <w:rFonts w:hint="eastAsia" w:ascii="宋体" w:hAnsi="宋体" w:cs="宋体"/>
          <w:sz w:val="28"/>
          <w:szCs w:val="28"/>
          <w:highlight w:val="none"/>
          <w:lang w:val="en" w:eastAsia="zh-CN"/>
        </w:rPr>
        <w:t xml:space="preserve">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，属于</w:t>
      </w:r>
      <w:r>
        <w:rPr>
          <w:rFonts w:hint="eastAsia" w:ascii="宋体" w:hAnsi="宋体" w:cs="宋体"/>
          <w:kern w:val="0"/>
          <w:sz w:val="28"/>
          <w:szCs w:val="28"/>
          <w:highlight w:val="none"/>
          <w:lang w:val="en-US" w:eastAsia="zh-CN"/>
        </w:rPr>
        <w:t>2022年度新增单位</w:t>
      </w:r>
      <w:r>
        <w:rPr>
          <w:rFonts w:hint="eastAsia" w:ascii="宋体" w:hAnsi="宋体" w:cs="宋体"/>
          <w:kern w:val="0"/>
          <w:sz w:val="28"/>
          <w:szCs w:val="28"/>
          <w:highlight w:val="none"/>
        </w:rPr>
        <w:t>。</w:t>
      </w:r>
      <w:r>
        <w:rPr>
          <w:rFonts w:hint="eastAsia" w:ascii="宋体" w:hAnsi="宋体" w:cs="宋体"/>
          <w:kern w:val="0"/>
          <w:sz w:val="28"/>
          <w:szCs w:val="28"/>
          <w:highlight w:val="none"/>
          <w:lang w:val="en-US" w:eastAsia="zh-CN"/>
        </w:rPr>
        <w:t>其中：工资福利支出</w:t>
      </w:r>
      <w:r>
        <w:rPr>
          <w:rFonts w:hint="eastAsia" w:ascii="宋体" w:hAnsi="宋体"/>
          <w:color w:val="000000"/>
          <w:spacing w:val="2"/>
          <w:kern w:val="2"/>
          <w:sz w:val="28"/>
          <w:szCs w:val="28"/>
          <w:highlight w:val="none"/>
          <w:lang w:val="en-US" w:eastAsia="zh-CN"/>
        </w:rPr>
        <w:t>545413</w:t>
      </w:r>
      <w:r>
        <w:rPr>
          <w:rFonts w:hint="eastAsia" w:ascii="宋体" w:hAnsi="宋体" w:eastAsia="宋体" w:cs="宋体"/>
          <w:i w:val="0"/>
          <w:iCs w:val="0"/>
          <w:color w:val="000000"/>
          <w:kern w:val="0"/>
          <w:sz w:val="24"/>
          <w:szCs w:val="24"/>
          <w:highlight w:val="none"/>
          <w:u w:val="none"/>
          <w:lang w:val="en-US" w:eastAsia="zh-CN" w:bidi="ar"/>
        </w:rPr>
        <w:t xml:space="preserve"> </w:t>
      </w:r>
      <w:r>
        <w:rPr>
          <w:rFonts w:hint="eastAsia" w:ascii="宋体" w:hAnsi="宋体" w:cs="宋体"/>
          <w:kern w:val="0"/>
          <w:sz w:val="28"/>
          <w:szCs w:val="28"/>
          <w:highlight w:val="none"/>
          <w:lang w:val="en-US" w:eastAsia="zh-CN"/>
        </w:rPr>
        <w:t>元，商品和服务支出</w:t>
      </w:r>
      <w:r>
        <w:rPr>
          <w:rFonts w:hint="eastAsia" w:ascii="宋体" w:hAnsi="宋体"/>
          <w:color w:val="000000"/>
          <w:spacing w:val="2"/>
          <w:kern w:val="2"/>
          <w:sz w:val="28"/>
          <w:szCs w:val="28"/>
          <w:highlight w:val="none"/>
          <w:lang w:val="en-US" w:eastAsia="zh-CN"/>
        </w:rPr>
        <w:t>23568</w:t>
      </w:r>
      <w:r>
        <w:rPr>
          <w:rFonts w:hint="eastAsia" w:ascii="宋体" w:hAnsi="宋体" w:eastAsia="宋体" w:cs="宋体"/>
          <w:i w:val="0"/>
          <w:iCs w:val="0"/>
          <w:color w:val="000000"/>
          <w:kern w:val="0"/>
          <w:sz w:val="24"/>
          <w:szCs w:val="24"/>
          <w:highlight w:val="none"/>
          <w:u w:val="none"/>
          <w:lang w:val="en-US" w:eastAsia="zh-CN" w:bidi="ar"/>
        </w:rPr>
        <w:t xml:space="preserve"> </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kern w:val="2"/>
          <w:sz w:val="28"/>
          <w:szCs w:val="28"/>
          <w:highlight w:val="none"/>
          <w:lang w:val="en-US" w:eastAsia="zh-CN"/>
        </w:rPr>
        <w:t>31913</w:t>
      </w:r>
      <w:r>
        <w:rPr>
          <w:rFonts w:hint="eastAsia" w:ascii="宋体" w:hAnsi="宋体" w:cs="宋体"/>
          <w:kern w:val="0"/>
          <w:sz w:val="28"/>
          <w:szCs w:val="28"/>
          <w:highlight w:val="none"/>
          <w:lang w:val="en-US" w:eastAsia="zh-CN"/>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w:t>
      </w:r>
      <w:r>
        <w:rPr>
          <w:rFonts w:hint="eastAsia" w:ascii="宋体" w:hAnsi="宋体" w:cs="宋体"/>
          <w:b/>
          <w:sz w:val="28"/>
          <w:szCs w:val="28"/>
          <w:lang w:eastAsia="zh-CN"/>
        </w:rPr>
        <w:t>事业单位</w:t>
      </w:r>
      <w:r>
        <w:rPr>
          <w:rFonts w:hint="eastAsia" w:ascii="宋体" w:hAnsi="宋体" w:cs="宋体"/>
          <w:b/>
          <w:sz w:val="28"/>
          <w:szCs w:val="28"/>
        </w:rPr>
        <w:t>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hint="eastAsia" w:ascii="宋体" w:hAnsi="宋体" w:cs="宋体"/>
          <w:sz w:val="28"/>
          <w:szCs w:val="28"/>
          <w:lang w:val="en-US" w:eastAsia="zh-CN"/>
        </w:rPr>
        <w:t>300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、业务招待费按区发改局原核定的标准安排。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7856</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23568</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2100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2820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2520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6"/>
                <w:lang w:val="en-US" w:eastAsia="zh-CN" w:bidi="ar"/>
              </w:rPr>
              <w:t>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机动车</w:t>
            </w:r>
            <w:r>
              <w:rPr>
                <w:rStyle w:val="17"/>
                <w:rFonts w:eastAsia="宋体"/>
                <w:lang w:val="en-US" w:eastAsia="zh-CN" w:bidi="ar"/>
              </w:rPr>
              <w:t>(</w:t>
            </w:r>
            <w:r>
              <w:rPr>
                <w:rStyle w:val="15"/>
                <w:rFonts w:hAnsi="Times New Roman"/>
                <w:lang w:val="en-US" w:eastAsia="zh-CN" w:bidi="ar"/>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265944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3989</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iCs w:val="0"/>
                <w:color w:val="000000"/>
                <w:kern w:val="0"/>
                <w:sz w:val="24"/>
                <w:szCs w:val="24"/>
                <w:u w:val="none"/>
                <w:lang w:val="en-US" w:eastAsia="zh-CN" w:bidi="ar"/>
              </w:rPr>
              <w:t>265944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6649</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0</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sz w:val="28"/>
          <w:szCs w:val="28"/>
          <w:lang w:val="en-US" w:eastAsia="zh-CN"/>
        </w:rPr>
        <w:t>为2022年新增预算单位</w:t>
      </w:r>
      <w:r>
        <w:rPr>
          <w:rFonts w:hint="eastAsia" w:ascii="宋体" w:hAnsi="宋体" w:cs="宋体"/>
          <w:sz w:val="28"/>
          <w:szCs w:val="28"/>
        </w:rPr>
        <w:t>。其中：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highlight w:val="none"/>
        </w:rPr>
      </w:pPr>
      <w:r>
        <w:rPr>
          <w:rFonts w:ascii="宋体" w:cs="宋体"/>
          <w:sz w:val="28"/>
          <w:szCs w:val="28"/>
        </w:rPr>
        <w:t> </w:t>
      </w:r>
      <w:r>
        <w:rPr>
          <w:rFonts w:hint="eastAsia" w:ascii="宋体" w:cs="宋体"/>
          <w:sz w:val="28"/>
          <w:szCs w:val="28"/>
          <w:lang w:val="en-US" w:eastAsia="zh-CN"/>
        </w:rPr>
        <w:t xml:space="preserve">  </w:t>
      </w:r>
      <w:r>
        <w:rPr>
          <w:rFonts w:hint="eastAsia" w:ascii="宋体" w:cs="宋体"/>
          <w:sz w:val="28"/>
          <w:szCs w:val="28"/>
          <w:highlight w:val="none"/>
        </w:rPr>
        <w:t xml:space="preserve"> </w:t>
      </w:r>
      <w:r>
        <w:rPr>
          <w:rFonts w:ascii="宋体" w:cs="宋体"/>
          <w:sz w:val="28"/>
          <w:szCs w:val="28"/>
          <w:highlight w:val="none"/>
        </w:rPr>
        <w:t> </w:t>
      </w:r>
      <w:r>
        <w:rPr>
          <w:rFonts w:ascii="宋体" w:hAnsi="宋体" w:cs="宋体"/>
          <w:sz w:val="28"/>
          <w:szCs w:val="28"/>
          <w:highlight w:val="none"/>
        </w:rPr>
        <w:t>2</w:t>
      </w:r>
      <w:r>
        <w:rPr>
          <w:rFonts w:hint="eastAsia" w:ascii="宋体" w:hAnsi="宋体" w:cs="宋体"/>
          <w:sz w:val="28"/>
          <w:szCs w:val="28"/>
          <w:highlight w:val="none"/>
        </w:rPr>
        <w:t>、公务用车购置及运行维护费</w:t>
      </w:r>
      <w:r>
        <w:rPr>
          <w:rFonts w:ascii="宋体" w:hAnsi="宋体" w:cs="宋体"/>
          <w:sz w:val="28"/>
          <w:szCs w:val="28"/>
          <w:highlight w:val="none"/>
        </w:rPr>
        <w:t>0</w:t>
      </w:r>
      <w:r>
        <w:rPr>
          <w:rFonts w:hint="eastAsia" w:ascii="宋体" w:hAnsi="宋体" w:cs="宋体"/>
          <w:sz w:val="28"/>
          <w:szCs w:val="28"/>
          <w:highlight w:val="none"/>
        </w:rPr>
        <w:t>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highlight w:val="none"/>
        </w:rPr>
        <w:t>无车辆，与</w:t>
      </w:r>
      <w:r>
        <w:rPr>
          <w:rFonts w:hint="eastAsia" w:ascii="宋体" w:hAnsi="宋体" w:cs="宋体"/>
          <w:sz w:val="28"/>
          <w:szCs w:val="28"/>
          <w:highlight w:val="none"/>
          <w:lang w:eastAsia="zh-CN"/>
        </w:rPr>
        <w:t>2021年</w:t>
      </w:r>
      <w:r>
        <w:rPr>
          <w:rFonts w:hint="eastAsia" w:ascii="宋体" w:hAnsi="宋体" w:cs="宋体"/>
          <w:sz w:val="28"/>
          <w:szCs w:val="28"/>
          <w:highlight w:val="none"/>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sz w:val="28"/>
          <w:szCs w:val="28"/>
          <w:lang w:eastAsia="zh-CN"/>
        </w:rPr>
        <w:t>，与2021年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lang w:eastAsia="zh-CN"/>
        </w:rPr>
        <w:t>。公务接待费</w:t>
      </w:r>
      <w:r>
        <w:rPr>
          <w:rFonts w:hint="eastAsia" w:ascii="宋体" w:hAnsi="宋体" w:cs="宋体"/>
          <w:sz w:val="28"/>
          <w:szCs w:val="28"/>
        </w:rPr>
        <w:t>主要用于按规定开支的各类公务接待支出，具体人员、批次在决算中反映。</w:t>
      </w:r>
    </w:p>
    <w:p>
      <w:pPr>
        <w:widowControl/>
        <w:shd w:val="clear" w:color="auto" w:fill="FFFFFF"/>
        <w:spacing w:line="560" w:lineRule="exact"/>
        <w:jc w:val="left"/>
        <w:rPr>
          <w:rFonts w:ascii="宋体" w:cs="宋体"/>
          <w:sz w:val="28"/>
          <w:szCs w:val="28"/>
        </w:rPr>
      </w:pP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280" w:firstLineChars="1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ascii="宋体" w:hAnsi="宋体" w:cs="宋体"/>
          <w:b/>
          <w:sz w:val="28"/>
          <w:szCs w:val="28"/>
          <w:highlight w:val="none"/>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bookmarkStart w:id="0" w:name="_GoBack"/>
      <w:bookmarkEnd w:id="0"/>
    </w:p>
    <w:p>
      <w:pPr>
        <w:pStyle w:val="5"/>
        <w:widowControl/>
        <w:spacing w:before="0" w:beforeAutospacing="0" w:after="0" w:afterAutospacing="0" w:line="585" w:lineRule="atLeast"/>
        <w:ind w:firstLine="560" w:firstLineChars="200"/>
        <w:rPr>
          <w:rStyle w:val="8"/>
          <w:rFonts w:asciiTheme="minorEastAsia" w:hAnsiTheme="minorEastAsia" w:eastAsiaTheme="minorEastAsia" w:cstheme="minorEastAsia"/>
          <w:b w:val="0"/>
          <w:sz w:val="28"/>
          <w:szCs w:val="28"/>
        </w:rPr>
      </w:pP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3148B"/>
    <w:multiLevelType w:val="singleLevel"/>
    <w:tmpl w:val="B5F3148B"/>
    <w:lvl w:ilvl="0" w:tentative="0">
      <w:start w:val="1"/>
      <w:numFmt w:val="chineseCounting"/>
      <w:suff w:val="nothing"/>
      <w:lvlText w:val="%1、"/>
      <w:lvlJc w:val="left"/>
      <w:rPr>
        <w:rFonts w:hint="eastAsia"/>
      </w:rPr>
    </w:lvl>
  </w:abstractNum>
  <w:abstractNum w:abstractNumId="1">
    <w:nsid w:val="F5F2757F"/>
    <w:multiLevelType w:val="singleLevel"/>
    <w:tmpl w:val="F5F2757F"/>
    <w:lvl w:ilvl="0" w:tentative="0">
      <w:start w:val="2"/>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5426C"/>
    <w:rsid w:val="000642D8"/>
    <w:rsid w:val="00092428"/>
    <w:rsid w:val="000C2F12"/>
    <w:rsid w:val="000F5C47"/>
    <w:rsid w:val="00111F12"/>
    <w:rsid w:val="00131A42"/>
    <w:rsid w:val="00160079"/>
    <w:rsid w:val="00177A50"/>
    <w:rsid w:val="00183B02"/>
    <w:rsid w:val="001903D2"/>
    <w:rsid w:val="00195C90"/>
    <w:rsid w:val="001A055F"/>
    <w:rsid w:val="001B3819"/>
    <w:rsid w:val="001D7AA5"/>
    <w:rsid w:val="0022746B"/>
    <w:rsid w:val="0024107E"/>
    <w:rsid w:val="002548C4"/>
    <w:rsid w:val="002577A1"/>
    <w:rsid w:val="0027004A"/>
    <w:rsid w:val="002865A3"/>
    <w:rsid w:val="002A0349"/>
    <w:rsid w:val="002A64C5"/>
    <w:rsid w:val="002A6854"/>
    <w:rsid w:val="002B35A9"/>
    <w:rsid w:val="002B6DCF"/>
    <w:rsid w:val="002D65E2"/>
    <w:rsid w:val="002E769A"/>
    <w:rsid w:val="002F2D80"/>
    <w:rsid w:val="00300C86"/>
    <w:rsid w:val="00303F8D"/>
    <w:rsid w:val="00336BDE"/>
    <w:rsid w:val="00342611"/>
    <w:rsid w:val="0037390F"/>
    <w:rsid w:val="003771C1"/>
    <w:rsid w:val="003C5494"/>
    <w:rsid w:val="003C62AB"/>
    <w:rsid w:val="004126C4"/>
    <w:rsid w:val="004603AF"/>
    <w:rsid w:val="00475940"/>
    <w:rsid w:val="004919C9"/>
    <w:rsid w:val="00495756"/>
    <w:rsid w:val="0049594C"/>
    <w:rsid w:val="004B394C"/>
    <w:rsid w:val="004D7DB5"/>
    <w:rsid w:val="004E60C4"/>
    <w:rsid w:val="00505352"/>
    <w:rsid w:val="00523282"/>
    <w:rsid w:val="00533D8A"/>
    <w:rsid w:val="00540479"/>
    <w:rsid w:val="0054487B"/>
    <w:rsid w:val="005555F9"/>
    <w:rsid w:val="005A7369"/>
    <w:rsid w:val="00673973"/>
    <w:rsid w:val="006759D3"/>
    <w:rsid w:val="006A3FBE"/>
    <w:rsid w:val="006A59A4"/>
    <w:rsid w:val="006C7C62"/>
    <w:rsid w:val="006D383D"/>
    <w:rsid w:val="006D4B8C"/>
    <w:rsid w:val="006F13E4"/>
    <w:rsid w:val="007277F3"/>
    <w:rsid w:val="007474FB"/>
    <w:rsid w:val="0076521F"/>
    <w:rsid w:val="00770E6B"/>
    <w:rsid w:val="00773F83"/>
    <w:rsid w:val="007B2E36"/>
    <w:rsid w:val="007B3C24"/>
    <w:rsid w:val="007B4BAE"/>
    <w:rsid w:val="007D71D1"/>
    <w:rsid w:val="007F6801"/>
    <w:rsid w:val="008251C0"/>
    <w:rsid w:val="0085298B"/>
    <w:rsid w:val="008549D6"/>
    <w:rsid w:val="008858E2"/>
    <w:rsid w:val="00886357"/>
    <w:rsid w:val="008940DC"/>
    <w:rsid w:val="008A260F"/>
    <w:rsid w:val="008C65D5"/>
    <w:rsid w:val="008D5649"/>
    <w:rsid w:val="008D7FC9"/>
    <w:rsid w:val="00926A8F"/>
    <w:rsid w:val="00933189"/>
    <w:rsid w:val="009A34AB"/>
    <w:rsid w:val="009C2041"/>
    <w:rsid w:val="009E7540"/>
    <w:rsid w:val="00A118E7"/>
    <w:rsid w:val="00A2564E"/>
    <w:rsid w:val="00A53C33"/>
    <w:rsid w:val="00A57822"/>
    <w:rsid w:val="00AA6B7D"/>
    <w:rsid w:val="00AB6928"/>
    <w:rsid w:val="00AC46E0"/>
    <w:rsid w:val="00AF11BE"/>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84BBD"/>
    <w:rsid w:val="00CA07CE"/>
    <w:rsid w:val="00CA67A9"/>
    <w:rsid w:val="00CC6F33"/>
    <w:rsid w:val="00CC70FC"/>
    <w:rsid w:val="00CF525C"/>
    <w:rsid w:val="00D04ADC"/>
    <w:rsid w:val="00D12C11"/>
    <w:rsid w:val="00D148E8"/>
    <w:rsid w:val="00D157F7"/>
    <w:rsid w:val="00D44255"/>
    <w:rsid w:val="00D71AAA"/>
    <w:rsid w:val="00D80C5F"/>
    <w:rsid w:val="00DA4C11"/>
    <w:rsid w:val="00DB0DCB"/>
    <w:rsid w:val="00DE4741"/>
    <w:rsid w:val="00DF413F"/>
    <w:rsid w:val="00E10481"/>
    <w:rsid w:val="00E148F9"/>
    <w:rsid w:val="00E30992"/>
    <w:rsid w:val="00E34F36"/>
    <w:rsid w:val="00E564DB"/>
    <w:rsid w:val="00E62E0E"/>
    <w:rsid w:val="00E85B13"/>
    <w:rsid w:val="00E97481"/>
    <w:rsid w:val="00ED6215"/>
    <w:rsid w:val="00ED6AFD"/>
    <w:rsid w:val="00EE0373"/>
    <w:rsid w:val="00EE74D1"/>
    <w:rsid w:val="00EF76CA"/>
    <w:rsid w:val="00F25ECC"/>
    <w:rsid w:val="00F33CF6"/>
    <w:rsid w:val="00F3712E"/>
    <w:rsid w:val="00FB0164"/>
    <w:rsid w:val="00FB36B7"/>
    <w:rsid w:val="00FB5237"/>
    <w:rsid w:val="00FC0A9B"/>
    <w:rsid w:val="00FF60D7"/>
    <w:rsid w:val="03670B3E"/>
    <w:rsid w:val="0491694C"/>
    <w:rsid w:val="054916E4"/>
    <w:rsid w:val="069633C9"/>
    <w:rsid w:val="08501FD7"/>
    <w:rsid w:val="0E870198"/>
    <w:rsid w:val="1378182A"/>
    <w:rsid w:val="15E37A96"/>
    <w:rsid w:val="196036CF"/>
    <w:rsid w:val="1A5F34DC"/>
    <w:rsid w:val="1AD91B93"/>
    <w:rsid w:val="1AFC74FE"/>
    <w:rsid w:val="1B774FF7"/>
    <w:rsid w:val="1BFC4FD3"/>
    <w:rsid w:val="1D18692A"/>
    <w:rsid w:val="1FE701AB"/>
    <w:rsid w:val="2058367B"/>
    <w:rsid w:val="2A4260F2"/>
    <w:rsid w:val="2A6B0136"/>
    <w:rsid w:val="31A26CB7"/>
    <w:rsid w:val="36BD716A"/>
    <w:rsid w:val="38AA0644"/>
    <w:rsid w:val="40B44028"/>
    <w:rsid w:val="444C41DE"/>
    <w:rsid w:val="46932B78"/>
    <w:rsid w:val="46F42CD3"/>
    <w:rsid w:val="4E0C7746"/>
    <w:rsid w:val="5147448E"/>
    <w:rsid w:val="53962115"/>
    <w:rsid w:val="54DB2542"/>
    <w:rsid w:val="55403DF7"/>
    <w:rsid w:val="5C944964"/>
    <w:rsid w:val="5FAA5B11"/>
    <w:rsid w:val="61BD3AC8"/>
    <w:rsid w:val="65FF526B"/>
    <w:rsid w:val="66473EC0"/>
    <w:rsid w:val="66B3154B"/>
    <w:rsid w:val="6AF46EFF"/>
    <w:rsid w:val="6D807C9F"/>
    <w:rsid w:val="708A17EB"/>
    <w:rsid w:val="78A953AC"/>
    <w:rsid w:val="7E0021A0"/>
    <w:rsid w:val="F9FBA6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 w:type="character" w:customStyle="1" w:styleId="15">
    <w:name w:val="font01"/>
    <w:basedOn w:val="7"/>
    <w:qFormat/>
    <w:uiPriority w:val="0"/>
    <w:rPr>
      <w:rFonts w:hint="default" w:ascii="仿宋_GB2312" w:eastAsia="仿宋_GB2312" w:cs="仿宋_GB2312"/>
      <w:color w:val="000000"/>
      <w:sz w:val="24"/>
      <w:szCs w:val="24"/>
      <w:u w:val="none"/>
    </w:rPr>
  </w:style>
  <w:style w:type="character" w:customStyle="1" w:styleId="16">
    <w:name w:val="font21"/>
    <w:basedOn w:val="7"/>
    <w:qFormat/>
    <w:uiPriority w:val="0"/>
    <w:rPr>
      <w:rFonts w:hint="eastAsia" w:ascii="宋体" w:hAnsi="宋体" w:eastAsia="宋体" w:cs="宋体"/>
      <w:color w:val="000000"/>
      <w:sz w:val="24"/>
      <w:szCs w:val="24"/>
      <w:u w:val="none"/>
    </w:rPr>
  </w:style>
  <w:style w:type="character" w:customStyle="1" w:styleId="17">
    <w:name w:val="font1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3657</Words>
  <Characters>4279</Characters>
  <Lines>45</Lines>
  <Paragraphs>12</Paragraphs>
  <TotalTime>0</TotalTime>
  <ScaleCrop>false</ScaleCrop>
  <LinksUpToDate>false</LinksUpToDate>
  <CharactersWithSpaces>5017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2019-10-28T09:54:00Z</dcterms:created>
  <dc:creator>侒靜啲喧嘩</dc:creator>
  <cp:lastModifiedBy>ADMIN</cp:lastModifiedBy>
  <cp:lastPrinted>2022-02-23T08:33:00Z</cp:lastPrinted>
  <dcterms:modified xsi:type="dcterms:W3CDTF">2023-05-01T03:16:08Z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25C3B59A8C914EC6B1330A27FDECD8FD</vt:lpwstr>
  </property>
</Properties>
</file>