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妇联</w:t>
      </w:r>
      <w:r>
        <w:rPr>
          <w:rFonts w:ascii="微软雅黑" w:hAnsi="微软雅黑" w:eastAsia="微软雅黑" w:cs="微软雅黑"/>
          <w:color w:val="BC1010"/>
          <w:sz w:val="40"/>
          <w:szCs w:val="40"/>
          <w:shd w:val="clear" w:color="auto" w:fill="FFFFFF"/>
        </w:rPr>
        <w:t>2019</w:t>
      </w:r>
      <w:r>
        <w:rPr>
          <w:rFonts w:hint="eastAsia" w:ascii="微软雅黑" w:hAnsi="微软雅黑" w:eastAsia="微软雅黑" w:cs="微软雅黑"/>
          <w:color w:val="BC1010"/>
          <w:sz w:val="40"/>
          <w:szCs w:val="40"/>
          <w:shd w:val="clear" w:color="auto" w:fill="FFFFFF"/>
        </w:rPr>
        <w:t>年决算公开</w:t>
      </w:r>
    </w:p>
    <w:p>
      <w:pPr>
        <w:pStyle w:val="7"/>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rPr>
        <w:t>黄石港区妇联</w:t>
      </w:r>
      <w:r>
        <w:rPr>
          <w:rStyle w:val="9"/>
          <w:rFonts w:ascii="微软雅黑" w:hAnsi="微软雅黑" w:eastAsia="微软雅黑" w:cs="微软雅黑"/>
          <w:color w:val="333333"/>
          <w:shd w:val="clear" w:color="auto" w:fill="FFFFFF"/>
        </w:rPr>
        <w:t>2019</w:t>
      </w:r>
      <w:r>
        <w:rPr>
          <w:rStyle w:val="9"/>
          <w:rFonts w:hint="eastAsia" w:ascii="微软雅黑" w:hAnsi="微软雅黑" w:eastAsia="微软雅黑" w:cs="微软雅黑"/>
          <w:color w:val="333333"/>
          <w:shd w:val="clear" w:color="auto" w:fill="FFFFFF"/>
        </w:rPr>
        <w:t>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w:t>
      </w:r>
      <w:r>
        <w:rPr>
          <w:rFonts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rPr>
        <w:t>部门基本情况</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部门</w:t>
      </w:r>
      <w:r>
        <w:rPr>
          <w:rFonts w:ascii="微软雅黑" w:hAnsi="微软雅黑" w:eastAsia="微软雅黑" w:cs="微软雅黑"/>
          <w:color w:val="333333"/>
          <w:shd w:val="clear" w:color="auto" w:fill="FFFFFF"/>
        </w:rPr>
        <w:t>2019</w:t>
      </w:r>
      <w:r>
        <w:rPr>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w:t>
      </w:r>
      <w:r>
        <w:rPr>
          <w:rFonts w:ascii="微软雅黑" w:hAnsi="微软雅黑" w:eastAsia="微软雅黑" w:cs="微软雅黑"/>
          <w:color w:val="333333"/>
          <w:shd w:val="clear" w:color="auto" w:fill="FFFFFF"/>
        </w:rPr>
        <w:t>2019</w:t>
      </w:r>
      <w:r>
        <w:rPr>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7"/>
        <w:widowControl/>
        <w:spacing w:before="76" w:beforeAutospacing="0" w:after="76" w:afterAutospacing="0" w:line="450" w:lineRule="atLeast"/>
        <w:ind w:firstLine="360" w:firstLineChars="150"/>
        <w:rPr>
          <w:color w:val="333333"/>
        </w:rPr>
      </w:pPr>
      <w:r>
        <w:rPr>
          <w:rFonts w:hint="eastAsia" w:ascii="微软雅黑" w:hAnsi="微软雅黑" w:eastAsia="微软雅黑" w:cs="微软雅黑"/>
          <w:color w:val="333333"/>
          <w:shd w:val="clear" w:color="auto" w:fill="FFFFFF"/>
        </w:rPr>
        <w:t>第四部分：名词解释</w:t>
      </w:r>
      <w:r>
        <w:rPr>
          <w:rFonts w:ascii="微软雅黑" w:hAnsi="微软雅黑" w:eastAsia="微软雅黑" w:cs="微软雅黑"/>
          <w:color w:val="333333"/>
          <w:shd w:val="clear" w:color="auto" w:fill="FFFFFF"/>
        </w:rPr>
        <w:t> </w:t>
      </w:r>
    </w:p>
    <w:p>
      <w:pPr>
        <w:pStyle w:val="7"/>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color w:val="333333"/>
        </w:rPr>
      </w:pPr>
      <w:r>
        <w:rPr>
          <w:rStyle w:val="9"/>
          <w:rFonts w:ascii="微软雅黑" w:hAnsi="微软雅黑" w:eastAsia="微软雅黑" w:cs="微软雅黑"/>
          <w:color w:val="333333"/>
          <w:shd w:val="clear" w:color="auto" w:fill="FFFFFF"/>
        </w:rPr>
        <w:t>2019</w:t>
      </w:r>
      <w:r>
        <w:rPr>
          <w:rStyle w:val="9"/>
          <w:rFonts w:hint="eastAsia" w:ascii="微软雅黑" w:hAnsi="微软雅黑" w:eastAsia="微软雅黑" w:cs="微软雅黑"/>
          <w:color w:val="333333"/>
          <w:shd w:val="clear" w:color="auto" w:fill="FFFFFF"/>
        </w:rPr>
        <w:t>年部门决算</w:t>
      </w:r>
    </w:p>
    <w:p>
      <w:pPr>
        <w:pStyle w:val="7"/>
        <w:widowControl/>
        <w:spacing w:before="76" w:beforeAutospacing="0" w:after="76" w:afterAutospacing="0" w:line="450" w:lineRule="atLeast"/>
        <w:ind w:firstLine="420"/>
        <w:rPr>
          <w:color w:val="333333"/>
        </w:rPr>
      </w:pPr>
      <w:r>
        <w:rPr>
          <w:rStyle w:val="9"/>
          <w:rFonts w:hint="eastAsia" w:ascii="微软雅黑" w:hAnsi="微软雅黑" w:eastAsia="微软雅黑" w:cs="微软雅黑"/>
          <w:color w:val="333333"/>
          <w:shd w:val="clear" w:color="auto" w:fill="FFFFFF"/>
        </w:rPr>
        <w:t>第一部分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部门概况</w:t>
      </w:r>
    </w:p>
    <w:p>
      <w:pPr>
        <w:widowControl/>
        <w:shd w:val="clear" w:color="auto" w:fill="FFFFFF"/>
        <w:snapToGrid w:val="0"/>
        <w:spacing w:line="560" w:lineRule="atLeast"/>
        <w:ind w:firstLine="562"/>
        <w:jc w:val="left"/>
        <w:rPr>
          <w:rFonts w:ascii="宋体" w:cs="宋体"/>
          <w:b/>
          <w:bCs/>
          <w:color w:val="333333"/>
          <w:kern w:val="0"/>
          <w:sz w:val="28"/>
          <w:szCs w:val="28"/>
        </w:rPr>
      </w:pPr>
      <w:r>
        <w:rPr>
          <w:rFonts w:hint="eastAsia" w:ascii="宋体" w:hAnsi="宋体" w:cs="宋体"/>
          <w:color w:val="333333"/>
          <w:kern w:val="0"/>
          <w:sz w:val="28"/>
          <w:szCs w:val="28"/>
        </w:rPr>
        <w:t>（</w:t>
      </w:r>
      <w:r>
        <w:rPr>
          <w:rFonts w:hint="eastAsia" w:ascii="宋体" w:hAnsi="宋体"/>
          <w:sz w:val="28"/>
          <w:szCs w:val="28"/>
        </w:rPr>
        <w:t>一）主要职责</w:t>
      </w:r>
    </w:p>
    <w:p>
      <w:pPr>
        <w:spacing w:line="620" w:lineRule="exact"/>
        <w:rPr>
          <w:rFonts w:ascii="宋体" w:cs="宋体"/>
          <w:kern w:val="0"/>
          <w:sz w:val="28"/>
          <w:szCs w:val="28"/>
        </w:rPr>
      </w:pPr>
      <w:r>
        <w:rPr>
          <w:rFonts w:ascii="宋体" w:hAnsi="宋体" w:cs="宋体"/>
          <w:kern w:val="0"/>
          <w:sz w:val="28"/>
          <w:szCs w:val="28"/>
          <w:lang w:val="zh-CN"/>
        </w:rPr>
        <w:t xml:space="preserve">    </w:t>
      </w:r>
      <w:r>
        <w:rPr>
          <w:rFonts w:hint="eastAsia" w:ascii="宋体" w:hAnsi="宋体" w:cs="宋体"/>
          <w:kern w:val="0"/>
          <w:sz w:val="28"/>
          <w:szCs w:val="28"/>
        </w:rPr>
        <w:t>黄石市黄石港区妇女联合会</w:t>
      </w:r>
      <w:r>
        <w:rPr>
          <w:rFonts w:hint="eastAsia" w:ascii="宋体" w:hAnsi="宋体"/>
          <w:sz w:val="28"/>
          <w:szCs w:val="28"/>
        </w:rPr>
        <w:t>位于黄石市磁湖路</w:t>
      </w:r>
      <w:r>
        <w:rPr>
          <w:rFonts w:ascii="宋体" w:hAnsi="宋体"/>
          <w:sz w:val="28"/>
          <w:szCs w:val="28"/>
        </w:rPr>
        <w:t>180</w:t>
      </w:r>
      <w:r>
        <w:rPr>
          <w:rFonts w:hint="eastAsia" w:ascii="宋体" w:hAnsi="宋体"/>
          <w:sz w:val="28"/>
          <w:szCs w:val="28"/>
        </w:rPr>
        <w:t>号，</w:t>
      </w:r>
      <w:r>
        <w:rPr>
          <w:rFonts w:hint="eastAsia" w:ascii="宋体" w:hAnsi="宋体" w:cs="宋体"/>
          <w:kern w:val="0"/>
          <w:sz w:val="28"/>
          <w:szCs w:val="28"/>
        </w:rPr>
        <w:t>是黄石港区各族各界妇女为争取进一步解放而联合起来的社会群众团体。主要工作任务是根据党的中心任务，指导全区各级妇联依据《中华全国妇女联合会章程》和妇女代表大会的决议，开展妇女儿童工作；联系团体会员，并给予业务指导；调查研究全区不同地区妇女和儿童的情况、问题，及时向区委和区政府反映，提出建议；团结、动员妇女投身改革开放和社会主义观代化建设，促进区域经济发展和社会全面进步；教育、引导广大妇女，增强自尊、自信、自立、自强精神，全面提高素质，促进妇女人才成长；代表妇女参与国家和社会事务的民主管理、民主监督，参与有关妇女儿童法律、法规、规章的制定和实施工作，维护妇女儿童合法权益；为妇女儿童服务；加强与社会各界的联系，协调和推动社会各界为妇女儿童办实事、办好事；开展全区妇女的统战工作，加强同港澳台地区及华侨妇女的联谊；组织开展我区与各界妇女的友好交往活动。</w:t>
      </w:r>
      <w:r>
        <w:rPr>
          <w:rFonts w:ascii="宋体" w:cs="宋体"/>
          <w:kern w:val="0"/>
          <w:sz w:val="28"/>
          <w:szCs w:val="28"/>
        </w:rPr>
        <w:t> </w:t>
      </w:r>
    </w:p>
    <w:p>
      <w:pPr>
        <w:numPr>
          <w:ilvl w:val="0"/>
          <w:numId w:val="1"/>
        </w:numPr>
        <w:spacing w:line="620" w:lineRule="exact"/>
        <w:rPr>
          <w:rFonts w:ascii="宋体"/>
          <w:sz w:val="28"/>
          <w:szCs w:val="28"/>
        </w:rPr>
      </w:pPr>
      <w:r>
        <w:rPr>
          <w:rFonts w:hint="eastAsia" w:ascii="宋体" w:hAnsi="宋体"/>
          <w:sz w:val="28"/>
          <w:szCs w:val="28"/>
        </w:rPr>
        <w:t>机构设置：</w:t>
      </w:r>
    </w:p>
    <w:p>
      <w:pPr>
        <w:spacing w:line="620" w:lineRule="exact"/>
        <w:ind w:left="280"/>
        <w:rPr>
          <w:rFonts w:ascii="宋体" w:cs="宋体"/>
          <w:color w:val="333333"/>
          <w:kern w:val="0"/>
          <w:sz w:val="30"/>
          <w:szCs w:val="30"/>
        </w:rPr>
      </w:pPr>
      <w:r>
        <w:rPr>
          <w:rFonts w:hint="eastAsia" w:ascii="宋体" w:hAnsi="宋体" w:cs="Tahoma"/>
          <w:color w:val="333333"/>
          <w:kern w:val="0"/>
          <w:sz w:val="28"/>
          <w:szCs w:val="28"/>
        </w:rPr>
        <w:t>下设办公室。</w:t>
      </w: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r>
        <w:rPr>
          <w:rStyle w:val="9"/>
          <w:rFonts w:hint="eastAsia" w:ascii="微软雅黑" w:hAnsi="微软雅黑" w:eastAsia="微软雅黑" w:cs="微软雅黑"/>
          <w:color w:val="333333"/>
          <w:shd w:val="clear" w:color="auto" w:fill="FFFFFF"/>
        </w:rPr>
        <w:t>第二部分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部门</w:t>
      </w:r>
      <w:r>
        <w:rPr>
          <w:rStyle w:val="9"/>
          <w:rFonts w:ascii="微软雅黑" w:hAnsi="微软雅黑" w:eastAsia="微软雅黑" w:cs="微软雅黑"/>
          <w:color w:val="333333"/>
          <w:shd w:val="clear" w:color="auto" w:fill="FFFFFF"/>
        </w:rPr>
        <w:t>2019</w:t>
      </w:r>
      <w:r>
        <w:rPr>
          <w:rStyle w:val="9"/>
          <w:rFonts w:hint="eastAsia" w:ascii="微软雅黑" w:hAnsi="微软雅黑" w:eastAsia="微软雅黑" w:cs="微软雅黑"/>
          <w:color w:val="333333"/>
          <w:shd w:val="clear" w:color="auto" w:fill="FFFFFF"/>
        </w:rPr>
        <w:t>年部门决算表</w:t>
      </w:r>
    </w:p>
    <w:tbl>
      <w:tblPr>
        <w:tblStyle w:val="10"/>
        <w:tblW w:w="14080" w:type="dxa"/>
        <w:tblInd w:w="94" w:type="dxa"/>
        <w:tblLayout w:type="fixed"/>
        <w:tblCellMar>
          <w:top w:w="0" w:type="dxa"/>
          <w:left w:w="108" w:type="dxa"/>
          <w:bottom w:w="0" w:type="dxa"/>
          <w:right w:w="108" w:type="dxa"/>
        </w:tblCellMar>
      </w:tblPr>
      <w:tblGrid>
        <w:gridCol w:w="4877"/>
        <w:gridCol w:w="627"/>
        <w:gridCol w:w="1536"/>
        <w:gridCol w:w="4437"/>
        <w:gridCol w:w="627"/>
        <w:gridCol w:w="1976"/>
      </w:tblGrid>
      <w:tr>
        <w:tblPrEx>
          <w:tblLayout w:type="fixed"/>
          <w:tblCellMar>
            <w:top w:w="0" w:type="dxa"/>
            <w:left w:w="108" w:type="dxa"/>
            <w:bottom w:w="0" w:type="dxa"/>
            <w:right w:w="108" w:type="dxa"/>
          </w:tblCellMar>
        </w:tblPrEx>
        <w:trPr>
          <w:trHeight w:val="375" w:hRule="atLeast"/>
        </w:trPr>
        <w:tc>
          <w:tcPr>
            <w:tcW w:w="14080" w:type="dxa"/>
            <w:gridSpan w:val="6"/>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收入支出决算总表</w:t>
            </w:r>
          </w:p>
        </w:tc>
      </w:tr>
      <w:tr>
        <w:tblPrEx>
          <w:tblLayout w:type="fixed"/>
          <w:tblCellMar>
            <w:top w:w="0" w:type="dxa"/>
            <w:left w:w="108" w:type="dxa"/>
            <w:bottom w:w="0" w:type="dxa"/>
            <w:right w:w="108" w:type="dxa"/>
          </w:tblCellMar>
        </w:tblPrEx>
        <w:trPr>
          <w:trHeight w:val="300" w:hRule="atLeast"/>
        </w:trPr>
        <w:tc>
          <w:tcPr>
            <w:tcW w:w="4877" w:type="dxa"/>
            <w:tcBorders>
              <w:top w:val="nil"/>
              <w:left w:val="nil"/>
              <w:bottom w:val="nil"/>
              <w:right w:val="nil"/>
            </w:tcBorders>
            <w:shd w:val="clear" w:color="auto" w:fill="FFFFFF"/>
            <w:noWrap/>
            <w:vAlign w:val="center"/>
          </w:tcPr>
          <w:p>
            <w:pPr>
              <w:widowControl/>
              <w:jc w:val="left"/>
              <w:rPr>
                <w:rFonts w:ascii="宋体" w:cs="Arial"/>
                <w:kern w:val="0"/>
                <w:sz w:val="22"/>
                <w:szCs w:val="22"/>
              </w:rPr>
            </w:pPr>
            <w:r>
              <w:rPr>
                <w:rFonts w:hint="eastAsia" w:ascii="宋体" w:hAnsi="宋体" w:cs="Arial"/>
                <w:kern w:val="0"/>
                <w:sz w:val="22"/>
                <w:szCs w:val="22"/>
              </w:rPr>
              <w:t>　</w:t>
            </w:r>
          </w:p>
        </w:tc>
        <w:tc>
          <w:tcPr>
            <w:tcW w:w="62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53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443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62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7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r>
      <w:tr>
        <w:tblPrEx>
          <w:tblLayout w:type="fixed"/>
          <w:tblCellMar>
            <w:top w:w="0" w:type="dxa"/>
            <w:left w:w="108" w:type="dxa"/>
            <w:bottom w:w="0" w:type="dxa"/>
            <w:right w:w="108" w:type="dxa"/>
          </w:tblCellMar>
        </w:tblPrEx>
        <w:trPr>
          <w:trHeight w:val="300" w:hRule="atLeast"/>
        </w:trPr>
        <w:tc>
          <w:tcPr>
            <w:tcW w:w="487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62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53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443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62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76"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01</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4877" w:type="dxa"/>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部门：黄石市黄石港区妇女联合会</w:t>
            </w:r>
          </w:p>
        </w:tc>
        <w:tc>
          <w:tcPr>
            <w:tcW w:w="627"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536"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4437"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627"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976"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7040"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收入</w:t>
            </w:r>
          </w:p>
        </w:tc>
        <w:tc>
          <w:tcPr>
            <w:tcW w:w="7040" w:type="dxa"/>
            <w:gridSpan w:val="3"/>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支出</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行次</w:t>
            </w:r>
          </w:p>
        </w:tc>
        <w:tc>
          <w:tcPr>
            <w:tcW w:w="153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金额</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行次</w:t>
            </w:r>
          </w:p>
        </w:tc>
        <w:tc>
          <w:tcPr>
            <w:tcW w:w="19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金额</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栏次</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53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栏次</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97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一、一般公共预算财政拨款收入</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一、一般公共服务支出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29</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二、政府性基金预算财政拨款收入</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二、外交支出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30</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三、上级补助收入</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三、国防支出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31</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四、事业收入</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四、公共安全支出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32</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五、经营收入</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五、教育支出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33</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六、附属单位上缴收入</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6</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六、科学技术支出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34</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七、其他收入</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7</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七、文化旅游体育与传媒支出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35</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8</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八、社会保障和就业支出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36</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9</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九、卫生健康支出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37</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10</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十、节能环保支出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38</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11</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十一、城乡社区支出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39</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12</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十二、农林水支出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40</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13</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十三、交通运输支出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41</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14</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十四、资源勘探信息等支出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42</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15</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十五、商业服务业等支出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43</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16</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十六、金融支出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44</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275"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17</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十七、援助其他地区支出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45</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18</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十八、自然资源海洋气象等支出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46</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19</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十九、住房保障支出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47</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20</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二十、粮油物资储备支出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48</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21</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二十一、灾害防治及应急管理支出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49</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22</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二十二、其他支出</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50</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23</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51</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b/>
                <w:bCs/>
                <w:kern w:val="0"/>
                <w:sz w:val="20"/>
                <w:szCs w:val="20"/>
              </w:rPr>
            </w:pPr>
            <w:r>
              <w:rPr>
                <w:rFonts w:hint="eastAsia" w:ascii="宋体" w:hAnsi="宋体" w:cs="Arial"/>
                <w:b/>
                <w:bCs/>
                <w:kern w:val="0"/>
                <w:sz w:val="20"/>
                <w:szCs w:val="20"/>
              </w:rPr>
              <w:t>本年收入合计</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24</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b/>
                <w:bCs/>
                <w:kern w:val="0"/>
                <w:sz w:val="20"/>
                <w:szCs w:val="20"/>
              </w:rPr>
            </w:pPr>
            <w:r>
              <w:rPr>
                <w:rFonts w:hint="eastAsia" w:ascii="宋体" w:hAnsi="宋体" w:cs="Arial"/>
                <w:b/>
                <w:bCs/>
                <w:kern w:val="0"/>
                <w:sz w:val="20"/>
                <w:szCs w:val="20"/>
              </w:rPr>
              <w:t>本年支出合计</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52</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用事业基金弥补收支差额</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25</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结余分配</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53</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年初结转和结余</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26</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年末结转和结余</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54</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27</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55</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4877"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总计</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28</w:t>
            </w:r>
          </w:p>
        </w:tc>
        <w:tc>
          <w:tcPr>
            <w:tcW w:w="15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c>
          <w:tcPr>
            <w:tcW w:w="443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总计</w:t>
            </w:r>
          </w:p>
        </w:tc>
        <w:tc>
          <w:tcPr>
            <w:tcW w:w="627"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56</w:t>
            </w:r>
          </w:p>
        </w:tc>
        <w:tc>
          <w:tcPr>
            <w:tcW w:w="197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r>
      <w:tr>
        <w:tblPrEx>
          <w:tblLayout w:type="fixed"/>
          <w:tblCellMar>
            <w:top w:w="0" w:type="dxa"/>
            <w:left w:w="108" w:type="dxa"/>
            <w:bottom w:w="0" w:type="dxa"/>
            <w:right w:w="108" w:type="dxa"/>
          </w:tblCellMar>
        </w:tblPrEx>
        <w:trPr>
          <w:trHeight w:val="300" w:hRule="atLeast"/>
        </w:trPr>
        <w:tc>
          <w:tcPr>
            <w:tcW w:w="14080" w:type="dxa"/>
            <w:gridSpan w:val="6"/>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注：本表反映部门本年度的总收支和年末结转结余情况。</w:t>
            </w:r>
          </w:p>
        </w:tc>
      </w:tr>
    </w:tbl>
    <w:p>
      <w:pPr>
        <w:pStyle w:val="7"/>
        <w:widowControl/>
        <w:spacing w:before="76" w:beforeAutospacing="0" w:after="76" w:afterAutospacing="0" w:line="450" w:lineRule="atLeast"/>
      </w:pPr>
    </w:p>
    <w:tbl>
      <w:tblPr>
        <w:tblStyle w:val="10"/>
        <w:tblW w:w="14054" w:type="dxa"/>
        <w:tblInd w:w="94" w:type="dxa"/>
        <w:tblLayout w:type="fixed"/>
        <w:tblCellMar>
          <w:top w:w="0" w:type="dxa"/>
          <w:left w:w="108" w:type="dxa"/>
          <w:bottom w:w="0" w:type="dxa"/>
          <w:right w:w="108" w:type="dxa"/>
        </w:tblCellMar>
      </w:tblPr>
      <w:tblGrid>
        <w:gridCol w:w="304"/>
        <w:gridCol w:w="304"/>
        <w:gridCol w:w="308"/>
        <w:gridCol w:w="2518"/>
        <w:gridCol w:w="1620"/>
        <w:gridCol w:w="1800"/>
        <w:gridCol w:w="1800"/>
        <w:gridCol w:w="1260"/>
        <w:gridCol w:w="1585"/>
        <w:gridCol w:w="1115"/>
        <w:gridCol w:w="1440"/>
      </w:tblGrid>
      <w:tr>
        <w:tblPrEx>
          <w:tblLayout w:type="fixed"/>
          <w:tblCellMar>
            <w:top w:w="0" w:type="dxa"/>
            <w:left w:w="108" w:type="dxa"/>
            <w:bottom w:w="0" w:type="dxa"/>
            <w:right w:w="108" w:type="dxa"/>
          </w:tblCellMar>
        </w:tblPrEx>
        <w:trPr>
          <w:trHeight w:val="375" w:hRule="atLeast"/>
        </w:trPr>
        <w:tc>
          <w:tcPr>
            <w:tcW w:w="14054" w:type="dxa"/>
            <w:gridSpan w:val="11"/>
            <w:tcBorders>
              <w:top w:val="nil"/>
              <w:left w:val="nil"/>
              <w:bottom w:val="nil"/>
              <w:right w:val="nil"/>
            </w:tcBorders>
            <w:shd w:val="clear" w:color="auto" w:fill="FFFFFF"/>
            <w:noWrap/>
            <w:vAlign w:val="center"/>
          </w:tcPr>
          <w:p>
            <w:pPr>
              <w:widowControl/>
              <w:ind w:right="578" w:rightChars="275"/>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收入决算表</w:t>
            </w:r>
          </w:p>
        </w:tc>
      </w:tr>
      <w:tr>
        <w:tblPrEx>
          <w:tblLayout w:type="fixed"/>
          <w:tblCellMar>
            <w:top w:w="0" w:type="dxa"/>
            <w:left w:w="108" w:type="dxa"/>
            <w:bottom w:w="0" w:type="dxa"/>
            <w:right w:w="108" w:type="dxa"/>
          </w:tblCellMar>
        </w:tblPrEx>
        <w:trPr>
          <w:trHeight w:val="300" w:hRule="atLeast"/>
        </w:trPr>
        <w:tc>
          <w:tcPr>
            <w:tcW w:w="304" w:type="dxa"/>
            <w:tcBorders>
              <w:top w:val="nil"/>
              <w:left w:val="nil"/>
              <w:bottom w:val="nil"/>
              <w:right w:val="nil"/>
            </w:tcBorders>
            <w:shd w:val="clear" w:color="auto" w:fill="FFFFFF"/>
            <w:noWrap/>
            <w:vAlign w:val="center"/>
          </w:tcPr>
          <w:p>
            <w:pPr>
              <w:widowControl/>
              <w:jc w:val="left"/>
              <w:rPr>
                <w:rFonts w:ascii="宋体" w:cs="Arial"/>
                <w:kern w:val="0"/>
                <w:sz w:val="22"/>
                <w:szCs w:val="22"/>
              </w:rPr>
            </w:pPr>
            <w:r>
              <w:rPr>
                <w:rFonts w:hint="eastAsia" w:ascii="宋体" w:hAnsi="宋体" w:cs="Arial"/>
                <w:kern w:val="0"/>
                <w:sz w:val="22"/>
                <w:szCs w:val="22"/>
              </w:rPr>
              <w:t>　</w:t>
            </w:r>
          </w:p>
        </w:tc>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51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2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0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0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26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58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1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4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r>
      <w:tr>
        <w:tblPrEx>
          <w:tblLayout w:type="fixed"/>
          <w:tblCellMar>
            <w:top w:w="0" w:type="dxa"/>
            <w:left w:w="108" w:type="dxa"/>
            <w:bottom w:w="0" w:type="dxa"/>
            <w:right w:w="108" w:type="dxa"/>
          </w:tblCellMar>
        </w:tblPrEx>
        <w:trPr>
          <w:trHeight w:val="300" w:hRule="atLeast"/>
        </w:trPr>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51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2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0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0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26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58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1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440"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02</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3434" w:type="dxa"/>
            <w:gridSpan w:val="4"/>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部门：黄石市黄石港区妇女联合会</w:t>
            </w:r>
          </w:p>
        </w:tc>
        <w:tc>
          <w:tcPr>
            <w:tcW w:w="162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800"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180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26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585"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115"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440"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3434"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162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本年收入合计</w:t>
            </w:r>
          </w:p>
        </w:tc>
        <w:tc>
          <w:tcPr>
            <w:tcW w:w="180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财政拨款收入</w:t>
            </w:r>
          </w:p>
        </w:tc>
        <w:tc>
          <w:tcPr>
            <w:tcW w:w="180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上级补助收入</w:t>
            </w:r>
          </w:p>
        </w:tc>
        <w:tc>
          <w:tcPr>
            <w:tcW w:w="126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事业收入</w:t>
            </w:r>
          </w:p>
        </w:tc>
        <w:tc>
          <w:tcPr>
            <w:tcW w:w="1585"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经营收入</w:t>
            </w:r>
          </w:p>
        </w:tc>
        <w:tc>
          <w:tcPr>
            <w:tcW w:w="1115"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附属单位上缴收入</w:t>
            </w:r>
          </w:p>
        </w:tc>
        <w:tc>
          <w:tcPr>
            <w:tcW w:w="144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其他收入</w:t>
            </w:r>
          </w:p>
        </w:tc>
      </w:tr>
      <w:tr>
        <w:tblPrEx>
          <w:tblLayout w:type="fixed"/>
          <w:tblCellMar>
            <w:top w:w="0" w:type="dxa"/>
            <w:left w:w="108" w:type="dxa"/>
            <w:bottom w:w="0" w:type="dxa"/>
            <w:right w:w="108" w:type="dxa"/>
          </w:tblCellMar>
        </w:tblPrEx>
        <w:trPr>
          <w:trHeight w:val="312" w:hRule="atLeast"/>
        </w:trPr>
        <w:tc>
          <w:tcPr>
            <w:tcW w:w="916"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功能分类科目编码</w:t>
            </w:r>
          </w:p>
        </w:tc>
        <w:tc>
          <w:tcPr>
            <w:tcW w:w="2518" w:type="dxa"/>
            <w:vMerge w:val="restart"/>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62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26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585"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15"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4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251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2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26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585"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15"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4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251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2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0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26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585"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15"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44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3434"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栏次</w:t>
            </w:r>
          </w:p>
        </w:tc>
        <w:tc>
          <w:tcPr>
            <w:tcW w:w="162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w:t>
            </w:r>
          </w:p>
        </w:tc>
        <w:tc>
          <w:tcPr>
            <w:tcW w:w="180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2</w:t>
            </w:r>
          </w:p>
        </w:tc>
        <w:tc>
          <w:tcPr>
            <w:tcW w:w="180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3</w:t>
            </w:r>
          </w:p>
        </w:tc>
        <w:tc>
          <w:tcPr>
            <w:tcW w:w="126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4</w:t>
            </w:r>
          </w:p>
        </w:tc>
        <w:tc>
          <w:tcPr>
            <w:tcW w:w="1585"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5</w:t>
            </w:r>
          </w:p>
        </w:tc>
        <w:tc>
          <w:tcPr>
            <w:tcW w:w="1115"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6</w:t>
            </w:r>
          </w:p>
        </w:tc>
        <w:tc>
          <w:tcPr>
            <w:tcW w:w="144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7</w:t>
            </w:r>
          </w:p>
        </w:tc>
      </w:tr>
      <w:tr>
        <w:tblPrEx>
          <w:tblLayout w:type="fixed"/>
          <w:tblCellMar>
            <w:top w:w="0" w:type="dxa"/>
            <w:left w:w="108" w:type="dxa"/>
            <w:bottom w:w="0" w:type="dxa"/>
            <w:right w:w="108" w:type="dxa"/>
          </w:tblCellMar>
        </w:tblPrEx>
        <w:trPr>
          <w:trHeight w:val="300" w:hRule="atLeast"/>
        </w:trPr>
        <w:tc>
          <w:tcPr>
            <w:tcW w:w="3434"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合计</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276,276.31</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276,276.31</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26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58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1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w:t>
            </w:r>
          </w:p>
        </w:tc>
        <w:tc>
          <w:tcPr>
            <w:tcW w:w="251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一般公共服务支出</w:t>
            </w:r>
          </w:p>
        </w:tc>
        <w:tc>
          <w:tcPr>
            <w:tcW w:w="162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276,276.31</w:t>
            </w:r>
          </w:p>
        </w:tc>
        <w:tc>
          <w:tcPr>
            <w:tcW w:w="180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276,276.31</w:t>
            </w:r>
          </w:p>
        </w:tc>
        <w:tc>
          <w:tcPr>
            <w:tcW w:w="180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26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585"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115"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44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20129</w:t>
            </w:r>
          </w:p>
        </w:tc>
        <w:tc>
          <w:tcPr>
            <w:tcW w:w="2518"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群众团体事务</w:t>
            </w:r>
          </w:p>
        </w:tc>
        <w:tc>
          <w:tcPr>
            <w:tcW w:w="162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276,276.31</w:t>
            </w:r>
          </w:p>
        </w:tc>
        <w:tc>
          <w:tcPr>
            <w:tcW w:w="180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276,276.31</w:t>
            </w:r>
          </w:p>
        </w:tc>
        <w:tc>
          <w:tcPr>
            <w:tcW w:w="180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26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585"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115"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44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ascii="宋体" w:hAnsi="宋体" w:cs="Arial"/>
                <w:kern w:val="0"/>
                <w:sz w:val="20"/>
                <w:szCs w:val="20"/>
              </w:rPr>
              <w:t>2012901</w:t>
            </w:r>
          </w:p>
        </w:tc>
        <w:tc>
          <w:tcPr>
            <w:tcW w:w="2518" w:type="dxa"/>
            <w:tcBorders>
              <w:top w:val="nil"/>
              <w:left w:val="nil"/>
              <w:bottom w:val="single" w:color="000000" w:sz="4" w:space="0"/>
              <w:right w:val="single" w:color="000000" w:sz="4" w:space="0"/>
            </w:tcBorders>
            <w:shd w:val="clear" w:color="auto" w:fill="CCFFFF"/>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行政运行</w:t>
            </w:r>
          </w:p>
        </w:tc>
        <w:tc>
          <w:tcPr>
            <w:tcW w:w="16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c>
          <w:tcPr>
            <w:tcW w:w="180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6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58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11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4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4054" w:type="dxa"/>
            <w:gridSpan w:val="11"/>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注：本表反映部门本年度取得的各项收入情况。</w:t>
            </w:r>
          </w:p>
        </w:tc>
      </w:tr>
    </w:tbl>
    <w:p>
      <w:pPr>
        <w:pStyle w:val="7"/>
        <w:widowControl/>
        <w:spacing w:before="76" w:beforeAutospacing="0" w:after="76" w:afterAutospacing="0" w:line="450" w:lineRule="atLeast"/>
        <w:rPr>
          <w:color w:val="333333"/>
        </w:rPr>
      </w:pPr>
    </w:p>
    <w:tbl>
      <w:tblPr>
        <w:tblStyle w:val="10"/>
        <w:tblW w:w="14054" w:type="dxa"/>
        <w:tblInd w:w="94" w:type="dxa"/>
        <w:tblLayout w:type="fixed"/>
        <w:tblCellMar>
          <w:top w:w="0" w:type="dxa"/>
          <w:left w:w="108" w:type="dxa"/>
          <w:bottom w:w="0" w:type="dxa"/>
          <w:right w:w="108" w:type="dxa"/>
        </w:tblCellMar>
      </w:tblPr>
      <w:tblGrid>
        <w:gridCol w:w="304"/>
        <w:gridCol w:w="304"/>
        <w:gridCol w:w="308"/>
        <w:gridCol w:w="3059"/>
        <w:gridCol w:w="2140"/>
        <w:gridCol w:w="1819"/>
        <w:gridCol w:w="1602"/>
        <w:gridCol w:w="1293"/>
        <w:gridCol w:w="1342"/>
        <w:gridCol w:w="1883"/>
      </w:tblGrid>
      <w:tr>
        <w:tblPrEx>
          <w:tblLayout w:type="fixed"/>
          <w:tblCellMar>
            <w:top w:w="0" w:type="dxa"/>
            <w:left w:w="108" w:type="dxa"/>
            <w:bottom w:w="0" w:type="dxa"/>
            <w:right w:w="108" w:type="dxa"/>
          </w:tblCellMar>
        </w:tblPrEx>
        <w:trPr>
          <w:trHeight w:val="375" w:hRule="atLeast"/>
        </w:trPr>
        <w:tc>
          <w:tcPr>
            <w:tcW w:w="14054" w:type="dxa"/>
            <w:gridSpan w:val="10"/>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支出决算表</w:t>
            </w:r>
          </w:p>
        </w:tc>
      </w:tr>
      <w:tr>
        <w:tblPrEx>
          <w:tblLayout w:type="fixed"/>
          <w:tblCellMar>
            <w:top w:w="0" w:type="dxa"/>
            <w:left w:w="108" w:type="dxa"/>
            <w:bottom w:w="0" w:type="dxa"/>
            <w:right w:w="108" w:type="dxa"/>
          </w:tblCellMar>
        </w:tblPrEx>
        <w:trPr>
          <w:trHeight w:val="300" w:hRule="atLeast"/>
        </w:trPr>
        <w:tc>
          <w:tcPr>
            <w:tcW w:w="304" w:type="dxa"/>
            <w:tcBorders>
              <w:top w:val="nil"/>
              <w:left w:val="nil"/>
              <w:bottom w:val="nil"/>
              <w:right w:val="nil"/>
            </w:tcBorders>
            <w:shd w:val="clear" w:color="auto" w:fill="FFFFFF"/>
            <w:noWrap/>
            <w:vAlign w:val="center"/>
          </w:tcPr>
          <w:p>
            <w:pPr>
              <w:widowControl/>
              <w:jc w:val="left"/>
              <w:rPr>
                <w:rFonts w:ascii="宋体" w:cs="Arial"/>
                <w:kern w:val="0"/>
                <w:sz w:val="22"/>
                <w:szCs w:val="22"/>
              </w:rPr>
            </w:pPr>
            <w:r>
              <w:rPr>
                <w:rFonts w:hint="eastAsia" w:ascii="宋体" w:hAnsi="宋体" w:cs="Arial"/>
                <w:kern w:val="0"/>
                <w:sz w:val="22"/>
                <w:szCs w:val="22"/>
              </w:rPr>
              <w:t>　</w:t>
            </w:r>
          </w:p>
        </w:tc>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59"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14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19"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02"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29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342"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8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r>
      <w:tr>
        <w:tblPrEx>
          <w:tblLayout w:type="fixed"/>
          <w:tblCellMar>
            <w:top w:w="0" w:type="dxa"/>
            <w:left w:w="108" w:type="dxa"/>
            <w:bottom w:w="0" w:type="dxa"/>
            <w:right w:w="108" w:type="dxa"/>
          </w:tblCellMar>
        </w:tblPrEx>
        <w:trPr>
          <w:trHeight w:val="300" w:hRule="atLeast"/>
        </w:trPr>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059"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14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19"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602"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29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342"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83"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03</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3975" w:type="dxa"/>
            <w:gridSpan w:val="4"/>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部门：黄石市黄石港区妇女联合会</w:t>
            </w:r>
          </w:p>
        </w:tc>
        <w:tc>
          <w:tcPr>
            <w:tcW w:w="2140"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1819"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602"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293"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342"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883"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397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214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本年支出合计</w:t>
            </w:r>
          </w:p>
        </w:tc>
        <w:tc>
          <w:tcPr>
            <w:tcW w:w="1819"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基本支出</w:t>
            </w:r>
          </w:p>
        </w:tc>
        <w:tc>
          <w:tcPr>
            <w:tcW w:w="1602"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项目支出</w:t>
            </w:r>
          </w:p>
        </w:tc>
        <w:tc>
          <w:tcPr>
            <w:tcW w:w="1293"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上缴上级支出</w:t>
            </w:r>
          </w:p>
        </w:tc>
        <w:tc>
          <w:tcPr>
            <w:tcW w:w="1342"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经营支出</w:t>
            </w:r>
          </w:p>
        </w:tc>
        <w:tc>
          <w:tcPr>
            <w:tcW w:w="1883"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对附属单位补助支出</w:t>
            </w:r>
          </w:p>
        </w:tc>
      </w:tr>
      <w:tr>
        <w:tblPrEx>
          <w:tblLayout w:type="fixed"/>
          <w:tblCellMar>
            <w:top w:w="0" w:type="dxa"/>
            <w:left w:w="108" w:type="dxa"/>
            <w:bottom w:w="0" w:type="dxa"/>
            <w:right w:w="108" w:type="dxa"/>
          </w:tblCellMar>
        </w:tblPrEx>
        <w:trPr>
          <w:trHeight w:val="312" w:hRule="atLeast"/>
        </w:trPr>
        <w:tc>
          <w:tcPr>
            <w:tcW w:w="916"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功能分类科目编码</w:t>
            </w:r>
          </w:p>
        </w:tc>
        <w:tc>
          <w:tcPr>
            <w:tcW w:w="3059" w:type="dxa"/>
            <w:vMerge w:val="restart"/>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214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19"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02"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29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342"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8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3059"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14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19"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02"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29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342"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8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3059"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14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19"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602"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29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342"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8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397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栏次</w:t>
            </w:r>
          </w:p>
        </w:tc>
        <w:tc>
          <w:tcPr>
            <w:tcW w:w="2140"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w:t>
            </w:r>
          </w:p>
        </w:tc>
        <w:tc>
          <w:tcPr>
            <w:tcW w:w="1819"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2</w:t>
            </w:r>
          </w:p>
        </w:tc>
        <w:tc>
          <w:tcPr>
            <w:tcW w:w="1602"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3</w:t>
            </w:r>
          </w:p>
        </w:tc>
        <w:tc>
          <w:tcPr>
            <w:tcW w:w="1293"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4</w:t>
            </w:r>
          </w:p>
        </w:tc>
        <w:tc>
          <w:tcPr>
            <w:tcW w:w="1342"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5</w:t>
            </w:r>
          </w:p>
        </w:tc>
        <w:tc>
          <w:tcPr>
            <w:tcW w:w="1883"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6</w:t>
            </w:r>
          </w:p>
        </w:tc>
      </w:tr>
      <w:tr>
        <w:tblPrEx>
          <w:tblLayout w:type="fixed"/>
          <w:tblCellMar>
            <w:top w:w="0" w:type="dxa"/>
            <w:left w:w="108" w:type="dxa"/>
            <w:bottom w:w="0" w:type="dxa"/>
            <w:right w:w="108" w:type="dxa"/>
          </w:tblCellMar>
        </w:tblPrEx>
        <w:trPr>
          <w:trHeight w:val="300" w:hRule="atLeast"/>
        </w:trPr>
        <w:tc>
          <w:tcPr>
            <w:tcW w:w="3975" w:type="dxa"/>
            <w:gridSpan w:val="4"/>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合计</w:t>
            </w:r>
          </w:p>
        </w:tc>
        <w:tc>
          <w:tcPr>
            <w:tcW w:w="21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276,276.31</w:t>
            </w:r>
          </w:p>
        </w:tc>
        <w:tc>
          <w:tcPr>
            <w:tcW w:w="18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276,276.31</w:t>
            </w:r>
          </w:p>
        </w:tc>
        <w:tc>
          <w:tcPr>
            <w:tcW w:w="160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2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34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88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w:t>
            </w:r>
          </w:p>
        </w:tc>
        <w:tc>
          <w:tcPr>
            <w:tcW w:w="305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一般公共服务支出</w:t>
            </w:r>
          </w:p>
        </w:tc>
        <w:tc>
          <w:tcPr>
            <w:tcW w:w="214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276,276.31</w:t>
            </w:r>
          </w:p>
        </w:tc>
        <w:tc>
          <w:tcPr>
            <w:tcW w:w="1819"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276,276.31</w:t>
            </w:r>
          </w:p>
        </w:tc>
        <w:tc>
          <w:tcPr>
            <w:tcW w:w="1602"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293"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342"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883"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20129</w:t>
            </w:r>
          </w:p>
        </w:tc>
        <w:tc>
          <w:tcPr>
            <w:tcW w:w="305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群众团体事务</w:t>
            </w:r>
          </w:p>
        </w:tc>
        <w:tc>
          <w:tcPr>
            <w:tcW w:w="2140"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276,276.31</w:t>
            </w:r>
          </w:p>
        </w:tc>
        <w:tc>
          <w:tcPr>
            <w:tcW w:w="1819"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276,276.31</w:t>
            </w:r>
          </w:p>
        </w:tc>
        <w:tc>
          <w:tcPr>
            <w:tcW w:w="1602"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293"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342"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c>
          <w:tcPr>
            <w:tcW w:w="1883"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ascii="宋体" w:hAnsi="宋体" w:cs="Arial"/>
                <w:kern w:val="0"/>
                <w:sz w:val="20"/>
                <w:szCs w:val="20"/>
              </w:rPr>
              <w:t>2012901</w:t>
            </w:r>
          </w:p>
        </w:tc>
        <w:tc>
          <w:tcPr>
            <w:tcW w:w="3059" w:type="dxa"/>
            <w:tcBorders>
              <w:top w:val="nil"/>
              <w:left w:val="nil"/>
              <w:bottom w:val="single" w:color="000000" w:sz="4" w:space="0"/>
              <w:right w:val="single" w:color="000000" w:sz="4" w:space="0"/>
            </w:tcBorders>
            <w:shd w:val="clear" w:color="auto" w:fill="CCFFFF"/>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行政运行</w:t>
            </w:r>
          </w:p>
        </w:tc>
        <w:tc>
          <w:tcPr>
            <w:tcW w:w="214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c>
          <w:tcPr>
            <w:tcW w:w="18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c>
          <w:tcPr>
            <w:tcW w:w="160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34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88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4054" w:type="dxa"/>
            <w:gridSpan w:val="10"/>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注：本表反映部门本年度各项支出情况。</w:t>
            </w:r>
          </w:p>
        </w:tc>
      </w:tr>
    </w:tbl>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rPr>
          <w:color w:val="333333"/>
        </w:rPr>
      </w:pPr>
    </w:p>
    <w:tbl>
      <w:tblPr>
        <w:tblStyle w:val="10"/>
        <w:tblW w:w="13514" w:type="dxa"/>
        <w:tblInd w:w="94" w:type="dxa"/>
        <w:tblLayout w:type="fixed"/>
        <w:tblCellMar>
          <w:top w:w="0" w:type="dxa"/>
          <w:left w:w="108" w:type="dxa"/>
          <w:bottom w:w="0" w:type="dxa"/>
          <w:right w:w="108" w:type="dxa"/>
        </w:tblCellMar>
      </w:tblPr>
      <w:tblGrid>
        <w:gridCol w:w="3145"/>
        <w:gridCol w:w="416"/>
        <w:gridCol w:w="1319"/>
        <w:gridCol w:w="3749"/>
        <w:gridCol w:w="416"/>
        <w:gridCol w:w="1230"/>
        <w:gridCol w:w="1296"/>
        <w:gridCol w:w="1943"/>
      </w:tblGrid>
      <w:tr>
        <w:tblPrEx>
          <w:tblLayout w:type="fixed"/>
          <w:tblCellMar>
            <w:top w:w="0" w:type="dxa"/>
            <w:left w:w="108" w:type="dxa"/>
            <w:bottom w:w="0" w:type="dxa"/>
            <w:right w:w="108" w:type="dxa"/>
          </w:tblCellMar>
        </w:tblPrEx>
        <w:trPr>
          <w:trHeight w:val="375" w:hRule="atLeast"/>
        </w:trPr>
        <w:tc>
          <w:tcPr>
            <w:tcW w:w="13514" w:type="dxa"/>
            <w:gridSpan w:val="8"/>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财政拨款收入支出决算总表</w:t>
            </w:r>
          </w:p>
        </w:tc>
      </w:tr>
      <w:tr>
        <w:tblPrEx>
          <w:tblLayout w:type="fixed"/>
          <w:tblCellMar>
            <w:top w:w="0" w:type="dxa"/>
            <w:left w:w="108" w:type="dxa"/>
            <w:bottom w:w="0" w:type="dxa"/>
            <w:right w:w="108" w:type="dxa"/>
          </w:tblCellMar>
        </w:tblPrEx>
        <w:trPr>
          <w:trHeight w:val="300" w:hRule="atLeast"/>
        </w:trPr>
        <w:tc>
          <w:tcPr>
            <w:tcW w:w="314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4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319"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749"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4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23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29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43"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04</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4880" w:type="dxa"/>
            <w:gridSpan w:val="3"/>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部门：黄石市黄石港区妇女联合会</w:t>
            </w:r>
          </w:p>
        </w:tc>
        <w:tc>
          <w:tcPr>
            <w:tcW w:w="3749"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416"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23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296"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943"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4880"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收</w:t>
            </w:r>
            <w:r>
              <w:rPr>
                <w:rFonts w:ascii="宋体" w:hAnsi="宋体" w:cs="Arial"/>
                <w:kern w:val="0"/>
                <w:sz w:val="20"/>
                <w:szCs w:val="20"/>
              </w:rPr>
              <w:t xml:space="preserve">     </w:t>
            </w:r>
            <w:r>
              <w:rPr>
                <w:rFonts w:hint="eastAsia" w:ascii="宋体" w:hAnsi="宋体" w:cs="Arial"/>
                <w:kern w:val="0"/>
                <w:sz w:val="20"/>
                <w:szCs w:val="20"/>
              </w:rPr>
              <w:t>入</w:t>
            </w:r>
          </w:p>
        </w:tc>
        <w:tc>
          <w:tcPr>
            <w:tcW w:w="8634" w:type="dxa"/>
            <w:gridSpan w:val="5"/>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支</w:t>
            </w:r>
            <w:r>
              <w:rPr>
                <w:rFonts w:ascii="宋体" w:hAnsi="宋体" w:cs="Arial"/>
                <w:kern w:val="0"/>
                <w:sz w:val="20"/>
                <w:szCs w:val="20"/>
              </w:rPr>
              <w:t xml:space="preserve">     </w:t>
            </w:r>
            <w:r>
              <w:rPr>
                <w:rFonts w:hint="eastAsia" w:ascii="宋体" w:hAnsi="宋体" w:cs="Arial"/>
                <w:kern w:val="0"/>
                <w:sz w:val="20"/>
                <w:szCs w:val="20"/>
              </w:rPr>
              <w:t>出</w:t>
            </w:r>
          </w:p>
        </w:tc>
      </w:tr>
      <w:tr>
        <w:tblPrEx>
          <w:tblLayout w:type="fixed"/>
          <w:tblCellMar>
            <w:top w:w="0" w:type="dxa"/>
            <w:left w:w="108" w:type="dxa"/>
            <w:bottom w:w="0" w:type="dxa"/>
            <w:right w:w="108" w:type="dxa"/>
          </w:tblCellMar>
        </w:tblPrEx>
        <w:trPr>
          <w:trHeight w:val="312" w:hRule="atLeast"/>
        </w:trPr>
        <w:tc>
          <w:tcPr>
            <w:tcW w:w="3145" w:type="dxa"/>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41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行次</w:t>
            </w:r>
          </w:p>
        </w:tc>
        <w:tc>
          <w:tcPr>
            <w:tcW w:w="1319"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金额</w:t>
            </w:r>
          </w:p>
        </w:tc>
        <w:tc>
          <w:tcPr>
            <w:tcW w:w="3749" w:type="dxa"/>
            <w:vMerge w:val="restart"/>
            <w:tcBorders>
              <w:top w:val="nil"/>
              <w:left w:val="nil"/>
              <w:bottom w:val="single" w:color="000000" w:sz="4" w:space="0"/>
              <w:right w:val="single" w:color="000000" w:sz="4" w:space="0"/>
            </w:tcBorders>
            <w:shd w:val="clear" w:color="auto" w:fill="C0C0C0"/>
            <w:vAlign w:val="bottom"/>
          </w:tcPr>
          <w:p>
            <w:pPr>
              <w:widowControl/>
              <w:jc w:val="left"/>
              <w:rPr>
                <w:rFonts w:ascii="宋体" w:cs="Arial"/>
                <w:kern w:val="0"/>
                <w:sz w:val="20"/>
                <w:szCs w:val="20"/>
              </w:rPr>
            </w:pPr>
            <w:r>
              <w:rPr>
                <w:rFonts w:hint="eastAsia" w:ascii="宋体" w:hAnsi="宋体" w:cs="Arial"/>
                <w:kern w:val="0"/>
                <w:sz w:val="20"/>
                <w:szCs w:val="20"/>
              </w:rPr>
              <w:t>项目</w:t>
            </w:r>
          </w:p>
        </w:tc>
        <w:tc>
          <w:tcPr>
            <w:tcW w:w="41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行次</w:t>
            </w:r>
          </w:p>
        </w:tc>
        <w:tc>
          <w:tcPr>
            <w:tcW w:w="1230" w:type="dxa"/>
            <w:vMerge w:val="restart"/>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合计</w:t>
            </w:r>
          </w:p>
        </w:tc>
        <w:tc>
          <w:tcPr>
            <w:tcW w:w="129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一般公共预算财政拨款</w:t>
            </w:r>
          </w:p>
        </w:tc>
        <w:tc>
          <w:tcPr>
            <w:tcW w:w="1943"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政府性基金预算财政拨款</w:t>
            </w:r>
          </w:p>
        </w:tc>
      </w:tr>
      <w:tr>
        <w:tblPrEx>
          <w:tblLayout w:type="fixed"/>
          <w:tblCellMar>
            <w:top w:w="0" w:type="dxa"/>
            <w:left w:w="108" w:type="dxa"/>
            <w:bottom w:w="0" w:type="dxa"/>
            <w:right w:w="108" w:type="dxa"/>
          </w:tblCellMar>
        </w:tblPrEx>
        <w:trPr>
          <w:trHeight w:val="600" w:hRule="atLeast"/>
        </w:trPr>
        <w:tc>
          <w:tcPr>
            <w:tcW w:w="314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41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319"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3749"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41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23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29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94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栏次</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319"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3749" w:type="dxa"/>
            <w:tcBorders>
              <w:top w:val="nil"/>
              <w:left w:val="nil"/>
              <w:bottom w:val="single" w:color="000000" w:sz="4" w:space="0"/>
              <w:right w:val="single" w:color="000000" w:sz="4" w:space="0"/>
            </w:tcBorders>
            <w:shd w:val="clear" w:color="auto" w:fill="C0C0C0"/>
            <w:noWrap/>
            <w:vAlign w:val="bottom"/>
          </w:tcPr>
          <w:p>
            <w:pPr>
              <w:widowControl/>
              <w:jc w:val="left"/>
              <w:rPr>
                <w:rFonts w:ascii="宋体" w:cs="Arial"/>
                <w:kern w:val="0"/>
                <w:sz w:val="20"/>
                <w:szCs w:val="20"/>
              </w:rPr>
            </w:pPr>
            <w:r>
              <w:rPr>
                <w:rFonts w:hint="eastAsia" w:ascii="宋体" w:hAnsi="宋体" w:cs="Arial"/>
                <w:kern w:val="0"/>
                <w:sz w:val="20"/>
                <w:szCs w:val="20"/>
              </w:rPr>
              <w:t>栏次</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230"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c>
          <w:tcPr>
            <w:tcW w:w="129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w:t>
            </w:r>
          </w:p>
        </w:tc>
        <w:tc>
          <w:tcPr>
            <w:tcW w:w="194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一、一般公共预算财政拨款</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一、一般公共服务支出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30</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二、政府性基金预算财政拨款</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二、外交支出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31</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三、国防支出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32</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四、公共安全支出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33</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五、教育支出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34</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6</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六、科学技术支出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35</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7</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七、文化旅游体育与传媒支出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36</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8</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八、社会保障和就业支出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37</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9</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九、卫生健康支出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38</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10</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十、节能环保支出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39</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11</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十一、城乡社区支出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40</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12</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十二、农林水支出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41</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13</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十三、交通运输支出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42</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14</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十四、资源勘探信息等支出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43</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15</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十五、商业服务业等支出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44</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16</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十六、金融支出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45</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17</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十七、援助其他地区支出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46</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18</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十八、自然资源海洋气象等支出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47</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19</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十九、住房保障支出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48</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20</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二十、粮油物资储备支出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49</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21</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二十一、灾害防治及应急管理支出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50</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22</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二十二、其他支出</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51</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23</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52</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b/>
                <w:bCs/>
                <w:kern w:val="0"/>
                <w:sz w:val="20"/>
                <w:szCs w:val="20"/>
              </w:rPr>
            </w:pPr>
            <w:r>
              <w:rPr>
                <w:rFonts w:hint="eastAsia" w:ascii="宋体" w:hAnsi="宋体" w:cs="Arial"/>
                <w:b/>
                <w:bCs/>
                <w:kern w:val="0"/>
                <w:sz w:val="20"/>
                <w:szCs w:val="20"/>
              </w:rPr>
              <w:t>本年收入合计</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24</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b/>
                <w:bCs/>
                <w:kern w:val="0"/>
                <w:sz w:val="20"/>
                <w:szCs w:val="20"/>
              </w:rPr>
            </w:pPr>
            <w:r>
              <w:rPr>
                <w:rFonts w:hint="eastAsia" w:ascii="宋体" w:hAnsi="宋体" w:cs="Arial"/>
                <w:b/>
                <w:bCs/>
                <w:kern w:val="0"/>
                <w:sz w:val="20"/>
                <w:szCs w:val="20"/>
              </w:rPr>
              <w:t>本年支出合计</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53</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年初财政拨款结转和结余</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25</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年末财政拨款结转和结余</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54</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一、一般公共预算财政拨款</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26</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55</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二、政府性基金预算财政拨款</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27</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56</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28</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57</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3145"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总计</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29</w:t>
            </w:r>
          </w:p>
        </w:tc>
        <w:tc>
          <w:tcPr>
            <w:tcW w:w="131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c>
          <w:tcPr>
            <w:tcW w:w="3749"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总计</w:t>
            </w:r>
          </w:p>
        </w:tc>
        <w:tc>
          <w:tcPr>
            <w:tcW w:w="416"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58</w:t>
            </w:r>
          </w:p>
        </w:tc>
        <w:tc>
          <w:tcPr>
            <w:tcW w:w="123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c>
          <w:tcPr>
            <w:tcW w:w="129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c>
          <w:tcPr>
            <w:tcW w:w="194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3514" w:type="dxa"/>
            <w:gridSpan w:val="8"/>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注：本表反映部门本年度一般公共预算财政拨款和政府性基金预算财政拨款的总收支和年末结转结余情况。</w:t>
            </w:r>
          </w:p>
        </w:tc>
      </w:tr>
    </w:tbl>
    <w:p>
      <w:pPr>
        <w:pStyle w:val="7"/>
        <w:widowControl/>
        <w:spacing w:before="76" w:beforeAutospacing="0" w:after="76" w:afterAutospacing="0" w:line="450" w:lineRule="atLeast"/>
      </w:pPr>
    </w:p>
    <w:tbl>
      <w:tblPr>
        <w:tblStyle w:val="10"/>
        <w:tblW w:w="13553" w:type="dxa"/>
        <w:tblInd w:w="94" w:type="dxa"/>
        <w:tblLayout w:type="fixed"/>
        <w:tblCellMar>
          <w:top w:w="0" w:type="dxa"/>
          <w:left w:w="108" w:type="dxa"/>
          <w:bottom w:w="0" w:type="dxa"/>
          <w:right w:w="108" w:type="dxa"/>
        </w:tblCellMar>
      </w:tblPr>
      <w:tblGrid>
        <w:gridCol w:w="1109"/>
        <w:gridCol w:w="1109"/>
        <w:gridCol w:w="1110"/>
        <w:gridCol w:w="286"/>
        <w:gridCol w:w="1980"/>
        <w:gridCol w:w="3373"/>
        <w:gridCol w:w="2758"/>
        <w:gridCol w:w="1828"/>
      </w:tblGrid>
      <w:tr>
        <w:tblPrEx>
          <w:tblLayout w:type="fixed"/>
          <w:tblCellMar>
            <w:top w:w="0" w:type="dxa"/>
            <w:left w:w="108" w:type="dxa"/>
            <w:bottom w:w="0" w:type="dxa"/>
            <w:right w:w="108" w:type="dxa"/>
          </w:tblCellMar>
        </w:tblPrEx>
        <w:trPr>
          <w:trHeight w:val="375" w:hRule="atLeast"/>
        </w:trPr>
        <w:tc>
          <w:tcPr>
            <w:tcW w:w="13553" w:type="dxa"/>
            <w:gridSpan w:val="8"/>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一般公共预算财政拨款支出决算表</w:t>
            </w:r>
          </w:p>
        </w:tc>
      </w:tr>
      <w:tr>
        <w:tblPrEx>
          <w:tblLayout w:type="fixed"/>
          <w:tblCellMar>
            <w:top w:w="0" w:type="dxa"/>
            <w:left w:w="108" w:type="dxa"/>
            <w:bottom w:w="0" w:type="dxa"/>
            <w:right w:w="108" w:type="dxa"/>
          </w:tblCellMar>
        </w:tblPrEx>
        <w:trPr>
          <w:trHeight w:val="300" w:hRule="atLeast"/>
        </w:trPr>
        <w:tc>
          <w:tcPr>
            <w:tcW w:w="1109" w:type="dxa"/>
            <w:tcBorders>
              <w:top w:val="nil"/>
              <w:left w:val="nil"/>
              <w:bottom w:val="nil"/>
              <w:right w:val="nil"/>
            </w:tcBorders>
            <w:shd w:val="clear" w:color="auto" w:fill="FFFFFF"/>
            <w:noWrap/>
            <w:vAlign w:val="center"/>
          </w:tcPr>
          <w:p>
            <w:pPr>
              <w:widowControl/>
              <w:jc w:val="left"/>
              <w:rPr>
                <w:rFonts w:ascii="宋体" w:cs="Arial"/>
                <w:kern w:val="0"/>
                <w:sz w:val="22"/>
                <w:szCs w:val="22"/>
              </w:rPr>
            </w:pPr>
            <w:r>
              <w:rPr>
                <w:rFonts w:hint="eastAsia" w:ascii="宋体" w:hAnsi="宋体" w:cs="Arial"/>
                <w:kern w:val="0"/>
                <w:sz w:val="22"/>
                <w:szCs w:val="22"/>
              </w:rPr>
              <w:t>　</w:t>
            </w:r>
          </w:p>
        </w:tc>
        <w:tc>
          <w:tcPr>
            <w:tcW w:w="1109"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396" w:type="dxa"/>
            <w:gridSpan w:val="2"/>
            <w:tcBorders>
              <w:top w:val="nil"/>
              <w:left w:val="nil"/>
              <w:bottom w:val="nil"/>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980" w:type="dxa"/>
            <w:tcBorders>
              <w:top w:val="nil"/>
              <w:left w:val="nil"/>
              <w:bottom w:val="nil"/>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3373" w:type="dxa"/>
            <w:tcBorders>
              <w:top w:val="nil"/>
              <w:left w:val="nil"/>
              <w:bottom w:val="nil"/>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75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2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r>
      <w:tr>
        <w:tblPrEx>
          <w:tblLayout w:type="fixed"/>
          <w:tblCellMar>
            <w:top w:w="0" w:type="dxa"/>
            <w:left w:w="108" w:type="dxa"/>
            <w:bottom w:w="0" w:type="dxa"/>
            <w:right w:w="108" w:type="dxa"/>
          </w:tblCellMar>
        </w:tblPrEx>
        <w:trPr>
          <w:trHeight w:val="300" w:hRule="atLeast"/>
        </w:trPr>
        <w:tc>
          <w:tcPr>
            <w:tcW w:w="1109"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09"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396"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98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373"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75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828"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05</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3614" w:type="dxa"/>
            <w:gridSpan w:val="4"/>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部门：黄石市黄石港区妇女联合会</w:t>
            </w:r>
          </w:p>
        </w:tc>
        <w:tc>
          <w:tcPr>
            <w:tcW w:w="1980"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3373"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758"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828" w:type="dxa"/>
            <w:tcBorders>
              <w:top w:val="nil"/>
              <w:left w:val="nil"/>
              <w:bottom w:val="single" w:color="000000" w:sz="4" w:space="0"/>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5594" w:type="dxa"/>
            <w:gridSpan w:val="5"/>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项目</w:t>
            </w:r>
          </w:p>
        </w:tc>
        <w:tc>
          <w:tcPr>
            <w:tcW w:w="7959" w:type="dxa"/>
            <w:gridSpan w:val="3"/>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本年支出</w:t>
            </w:r>
          </w:p>
        </w:tc>
      </w:tr>
      <w:tr>
        <w:tblPrEx>
          <w:tblLayout w:type="fixed"/>
          <w:tblCellMar>
            <w:top w:w="0" w:type="dxa"/>
            <w:left w:w="108" w:type="dxa"/>
            <w:bottom w:w="0" w:type="dxa"/>
            <w:right w:w="108" w:type="dxa"/>
          </w:tblCellMar>
        </w:tblPrEx>
        <w:trPr>
          <w:trHeight w:val="312" w:hRule="atLeast"/>
        </w:trPr>
        <w:tc>
          <w:tcPr>
            <w:tcW w:w="332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功能分类科目编码</w:t>
            </w:r>
          </w:p>
        </w:tc>
        <w:tc>
          <w:tcPr>
            <w:tcW w:w="2266" w:type="dxa"/>
            <w:gridSpan w:val="2"/>
            <w:vMerge w:val="restart"/>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3373"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小计</w:t>
            </w:r>
          </w:p>
        </w:tc>
        <w:tc>
          <w:tcPr>
            <w:tcW w:w="2758"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基本支出</w:t>
            </w:r>
          </w:p>
        </w:tc>
        <w:tc>
          <w:tcPr>
            <w:tcW w:w="1828"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项目支出</w:t>
            </w:r>
          </w:p>
        </w:tc>
      </w:tr>
      <w:tr>
        <w:tblPrEx>
          <w:tblLayout w:type="fixed"/>
          <w:tblCellMar>
            <w:top w:w="0" w:type="dxa"/>
            <w:left w:w="108" w:type="dxa"/>
            <w:bottom w:w="0" w:type="dxa"/>
            <w:right w:w="108" w:type="dxa"/>
          </w:tblCellMar>
        </w:tblPrEx>
        <w:trPr>
          <w:trHeight w:val="312" w:hRule="atLeast"/>
        </w:trPr>
        <w:tc>
          <w:tcPr>
            <w:tcW w:w="332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2266"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337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75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2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12" w:hRule="atLeast"/>
        </w:trPr>
        <w:tc>
          <w:tcPr>
            <w:tcW w:w="332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2266"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3373"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75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82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5594" w:type="dxa"/>
            <w:gridSpan w:val="5"/>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栏次</w:t>
            </w:r>
          </w:p>
        </w:tc>
        <w:tc>
          <w:tcPr>
            <w:tcW w:w="3373"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1</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2</w:t>
            </w:r>
          </w:p>
        </w:tc>
        <w:tc>
          <w:tcPr>
            <w:tcW w:w="1828" w:type="dxa"/>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ascii="宋体" w:hAnsi="宋体" w:cs="Arial"/>
                <w:kern w:val="0"/>
                <w:sz w:val="20"/>
                <w:szCs w:val="20"/>
              </w:rPr>
              <w:t>3</w:t>
            </w:r>
          </w:p>
        </w:tc>
      </w:tr>
      <w:tr>
        <w:tblPrEx>
          <w:tblLayout w:type="fixed"/>
          <w:tblCellMar>
            <w:top w:w="0" w:type="dxa"/>
            <w:left w:w="108" w:type="dxa"/>
            <w:bottom w:w="0" w:type="dxa"/>
            <w:right w:w="108" w:type="dxa"/>
          </w:tblCellMar>
        </w:tblPrEx>
        <w:trPr>
          <w:trHeight w:val="300" w:hRule="atLeast"/>
        </w:trPr>
        <w:tc>
          <w:tcPr>
            <w:tcW w:w="5594" w:type="dxa"/>
            <w:gridSpan w:val="5"/>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合计</w:t>
            </w:r>
          </w:p>
        </w:tc>
        <w:tc>
          <w:tcPr>
            <w:tcW w:w="337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276,276.31</w:t>
            </w:r>
          </w:p>
        </w:tc>
        <w:tc>
          <w:tcPr>
            <w:tcW w:w="275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276,276.31</w:t>
            </w:r>
          </w:p>
        </w:tc>
        <w:tc>
          <w:tcPr>
            <w:tcW w:w="182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3328"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w:t>
            </w:r>
          </w:p>
        </w:tc>
        <w:tc>
          <w:tcPr>
            <w:tcW w:w="226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一般公共服务支出</w:t>
            </w:r>
          </w:p>
        </w:tc>
        <w:tc>
          <w:tcPr>
            <w:tcW w:w="3373"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276,276.31</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276,276.31</w:t>
            </w:r>
          </w:p>
        </w:tc>
        <w:tc>
          <w:tcPr>
            <w:tcW w:w="1828"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3328"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ascii="宋体" w:hAnsi="宋体" w:cs="Arial"/>
                <w:b/>
                <w:bCs/>
                <w:kern w:val="0"/>
                <w:sz w:val="20"/>
                <w:szCs w:val="20"/>
              </w:rPr>
              <w:t>20129</w:t>
            </w:r>
          </w:p>
        </w:tc>
        <w:tc>
          <w:tcPr>
            <w:tcW w:w="2266" w:type="dxa"/>
            <w:gridSpan w:val="2"/>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b/>
                <w:bCs/>
                <w:kern w:val="0"/>
                <w:sz w:val="20"/>
                <w:szCs w:val="20"/>
              </w:rPr>
            </w:pPr>
            <w:r>
              <w:rPr>
                <w:rFonts w:hint="eastAsia" w:ascii="宋体" w:hAnsi="宋体" w:cs="Arial"/>
                <w:b/>
                <w:bCs/>
                <w:kern w:val="0"/>
                <w:sz w:val="20"/>
                <w:szCs w:val="20"/>
              </w:rPr>
              <w:t>群众团体事务</w:t>
            </w:r>
          </w:p>
        </w:tc>
        <w:tc>
          <w:tcPr>
            <w:tcW w:w="3373"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276,276.31</w:t>
            </w:r>
          </w:p>
        </w:tc>
        <w:tc>
          <w:tcPr>
            <w:tcW w:w="2758"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276,276.31</w:t>
            </w:r>
          </w:p>
        </w:tc>
        <w:tc>
          <w:tcPr>
            <w:tcW w:w="1828" w:type="dxa"/>
            <w:tcBorders>
              <w:top w:val="nil"/>
              <w:left w:val="nil"/>
              <w:bottom w:val="single" w:color="000000" w:sz="4" w:space="0"/>
              <w:right w:val="single" w:color="000000" w:sz="4" w:space="0"/>
            </w:tcBorders>
            <w:shd w:val="clear" w:color="auto" w:fill="C0C0C0"/>
            <w:noWrap/>
            <w:vAlign w:val="center"/>
          </w:tcPr>
          <w:p>
            <w:pPr>
              <w:widowControl/>
              <w:jc w:val="right"/>
              <w:rPr>
                <w:rFonts w:ascii="宋体" w:cs="Arial"/>
                <w:b/>
                <w:bCs/>
                <w:kern w:val="0"/>
                <w:sz w:val="20"/>
                <w:szCs w:val="20"/>
              </w:rPr>
            </w:pPr>
            <w:r>
              <w:rPr>
                <w:rFonts w:ascii="宋体" w:hAnsi="宋体" w:cs="Arial"/>
                <w:b/>
                <w:bCs/>
                <w:kern w:val="0"/>
                <w:sz w:val="20"/>
                <w:szCs w:val="20"/>
              </w:rPr>
              <w:t>0.00</w:t>
            </w:r>
          </w:p>
        </w:tc>
      </w:tr>
      <w:tr>
        <w:tblPrEx>
          <w:tblLayout w:type="fixed"/>
          <w:tblCellMar>
            <w:top w:w="0" w:type="dxa"/>
            <w:left w:w="108" w:type="dxa"/>
            <w:bottom w:w="0" w:type="dxa"/>
            <w:right w:w="108" w:type="dxa"/>
          </w:tblCellMar>
        </w:tblPrEx>
        <w:trPr>
          <w:trHeight w:val="300" w:hRule="atLeast"/>
        </w:trPr>
        <w:tc>
          <w:tcPr>
            <w:tcW w:w="3328"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cs="Arial"/>
                <w:kern w:val="0"/>
                <w:sz w:val="20"/>
                <w:szCs w:val="20"/>
              </w:rPr>
            </w:pPr>
            <w:r>
              <w:rPr>
                <w:rFonts w:ascii="宋体" w:hAnsi="宋体" w:cs="Arial"/>
                <w:kern w:val="0"/>
                <w:sz w:val="20"/>
                <w:szCs w:val="20"/>
              </w:rPr>
              <w:t>2012901</w:t>
            </w:r>
          </w:p>
        </w:tc>
        <w:tc>
          <w:tcPr>
            <w:tcW w:w="2266" w:type="dxa"/>
            <w:gridSpan w:val="2"/>
            <w:tcBorders>
              <w:top w:val="nil"/>
              <w:left w:val="nil"/>
              <w:bottom w:val="single" w:color="000000" w:sz="4" w:space="0"/>
              <w:right w:val="single" w:color="000000" w:sz="4" w:space="0"/>
            </w:tcBorders>
            <w:shd w:val="clear" w:color="auto" w:fill="CCFFFF"/>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行政运行</w:t>
            </w:r>
          </w:p>
        </w:tc>
        <w:tc>
          <w:tcPr>
            <w:tcW w:w="337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c>
          <w:tcPr>
            <w:tcW w:w="275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276,276.31</w:t>
            </w:r>
          </w:p>
        </w:tc>
        <w:tc>
          <w:tcPr>
            <w:tcW w:w="182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13553" w:type="dxa"/>
            <w:gridSpan w:val="8"/>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注：本表反映部门本年度一般公共预算财政拨款支出情况。</w:t>
            </w:r>
          </w:p>
        </w:tc>
      </w:tr>
    </w:tbl>
    <w:p>
      <w:pPr>
        <w:pStyle w:val="7"/>
        <w:widowControl/>
        <w:spacing w:before="76" w:beforeAutospacing="0" w:after="76" w:afterAutospacing="0" w:line="450" w:lineRule="atLeast"/>
      </w:pPr>
    </w:p>
    <w:tbl>
      <w:tblPr>
        <w:tblStyle w:val="10"/>
        <w:tblW w:w="13576" w:type="dxa"/>
        <w:tblInd w:w="94" w:type="dxa"/>
        <w:tblLayout w:type="fixed"/>
        <w:tblCellMar>
          <w:top w:w="0" w:type="dxa"/>
          <w:left w:w="108" w:type="dxa"/>
          <w:bottom w:w="0" w:type="dxa"/>
          <w:right w:w="108" w:type="dxa"/>
        </w:tblCellMar>
      </w:tblPr>
      <w:tblGrid>
        <w:gridCol w:w="716"/>
        <w:gridCol w:w="2685"/>
        <w:gridCol w:w="1255"/>
        <w:gridCol w:w="750"/>
        <w:gridCol w:w="2170"/>
        <w:gridCol w:w="1177"/>
        <w:gridCol w:w="1026"/>
        <w:gridCol w:w="2677"/>
        <w:gridCol w:w="1120"/>
      </w:tblGrid>
      <w:tr>
        <w:tblPrEx>
          <w:tblLayout w:type="fixed"/>
          <w:tblCellMar>
            <w:top w:w="0" w:type="dxa"/>
            <w:left w:w="108" w:type="dxa"/>
            <w:bottom w:w="0" w:type="dxa"/>
            <w:right w:w="108" w:type="dxa"/>
          </w:tblCellMar>
        </w:tblPrEx>
        <w:trPr>
          <w:trHeight w:val="624" w:hRule="atLeast"/>
        </w:trPr>
        <w:tc>
          <w:tcPr>
            <w:tcW w:w="13576" w:type="dxa"/>
            <w:gridSpan w:val="9"/>
            <w:vMerge w:val="restart"/>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一般公共预算财政拨款基本支出决算表</w:t>
            </w:r>
          </w:p>
        </w:tc>
      </w:tr>
      <w:tr>
        <w:tblPrEx>
          <w:tblLayout w:type="fixed"/>
          <w:tblCellMar>
            <w:top w:w="0" w:type="dxa"/>
            <w:left w:w="108" w:type="dxa"/>
            <w:bottom w:w="0" w:type="dxa"/>
            <w:right w:w="108" w:type="dxa"/>
          </w:tblCellMar>
        </w:tblPrEx>
        <w:trPr>
          <w:trHeight w:val="312" w:hRule="atLeast"/>
        </w:trPr>
        <w:tc>
          <w:tcPr>
            <w:tcW w:w="13576" w:type="dxa"/>
            <w:gridSpan w:val="9"/>
            <w:vMerge w:val="continue"/>
            <w:tcBorders>
              <w:top w:val="nil"/>
              <w:left w:val="nil"/>
              <w:bottom w:val="nil"/>
              <w:right w:val="nil"/>
            </w:tcBorders>
            <w:vAlign w:val="center"/>
          </w:tcPr>
          <w:p>
            <w:pPr>
              <w:widowControl/>
              <w:jc w:val="left"/>
              <w:rPr>
                <w:rFonts w:ascii="黑体" w:hAnsi="Arial" w:eastAsia="黑体" w:cs="Arial"/>
                <w:color w:val="000000"/>
                <w:kern w:val="0"/>
                <w:sz w:val="30"/>
                <w:szCs w:val="30"/>
              </w:rPr>
            </w:pPr>
          </w:p>
        </w:tc>
      </w:tr>
      <w:tr>
        <w:tblPrEx>
          <w:tblLayout w:type="fixed"/>
          <w:tblCellMar>
            <w:top w:w="0" w:type="dxa"/>
            <w:left w:w="108" w:type="dxa"/>
            <w:bottom w:w="0" w:type="dxa"/>
            <w:right w:w="108" w:type="dxa"/>
          </w:tblCellMar>
        </w:tblPrEx>
        <w:trPr>
          <w:trHeight w:val="300" w:hRule="atLeast"/>
        </w:trPr>
        <w:tc>
          <w:tcPr>
            <w:tcW w:w="71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68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25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75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2170"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7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2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3797" w:type="dxa"/>
            <w:gridSpan w:val="2"/>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06</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300" w:hRule="atLeast"/>
        </w:trPr>
        <w:tc>
          <w:tcPr>
            <w:tcW w:w="4656" w:type="dxa"/>
            <w:gridSpan w:val="3"/>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部门：黄石市黄石港区妇女联合会</w:t>
            </w:r>
          </w:p>
        </w:tc>
        <w:tc>
          <w:tcPr>
            <w:tcW w:w="750"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2170" w:type="dxa"/>
            <w:tcBorders>
              <w:top w:val="nil"/>
              <w:left w:val="nil"/>
              <w:bottom w:val="single" w:color="000000" w:sz="4" w:space="0"/>
              <w:right w:val="nil"/>
            </w:tcBorders>
            <w:shd w:val="clear" w:color="auto" w:fill="FFFFFF"/>
            <w:noWrap/>
            <w:vAlign w:val="center"/>
          </w:tcPr>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tc>
        <w:tc>
          <w:tcPr>
            <w:tcW w:w="1177"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026"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3797" w:type="dxa"/>
            <w:gridSpan w:val="2"/>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p>
            <w:pPr>
              <w:widowControl/>
              <w:jc w:val="right"/>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4656" w:type="dxa"/>
            <w:gridSpan w:val="3"/>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人员经费</w:t>
            </w:r>
          </w:p>
        </w:tc>
        <w:tc>
          <w:tcPr>
            <w:tcW w:w="8920" w:type="dxa"/>
            <w:gridSpan w:val="6"/>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公用经费</w:t>
            </w:r>
          </w:p>
        </w:tc>
      </w:tr>
      <w:tr>
        <w:tblPrEx>
          <w:tblLayout w:type="fixed"/>
          <w:tblCellMar>
            <w:top w:w="0" w:type="dxa"/>
            <w:left w:w="108" w:type="dxa"/>
            <w:bottom w:w="0" w:type="dxa"/>
            <w:right w:w="108" w:type="dxa"/>
          </w:tblCellMar>
        </w:tblPrEx>
        <w:trPr>
          <w:trHeight w:val="312" w:hRule="atLeast"/>
        </w:trPr>
        <w:tc>
          <w:tcPr>
            <w:tcW w:w="716" w:type="dxa"/>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科目编码</w:t>
            </w:r>
          </w:p>
        </w:tc>
        <w:tc>
          <w:tcPr>
            <w:tcW w:w="2685"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255"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决算数</w:t>
            </w:r>
          </w:p>
        </w:tc>
        <w:tc>
          <w:tcPr>
            <w:tcW w:w="75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科目编码</w:t>
            </w:r>
          </w:p>
        </w:tc>
        <w:tc>
          <w:tcPr>
            <w:tcW w:w="217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177"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决算数</w:t>
            </w:r>
          </w:p>
        </w:tc>
        <w:tc>
          <w:tcPr>
            <w:tcW w:w="102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科目编码</w:t>
            </w:r>
          </w:p>
        </w:tc>
        <w:tc>
          <w:tcPr>
            <w:tcW w:w="2677"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科目名称</w:t>
            </w:r>
          </w:p>
        </w:tc>
        <w:tc>
          <w:tcPr>
            <w:tcW w:w="1120"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决算数</w:t>
            </w:r>
          </w:p>
        </w:tc>
      </w:tr>
      <w:tr>
        <w:tblPrEx>
          <w:tblLayout w:type="fixed"/>
          <w:tblCellMar>
            <w:top w:w="0" w:type="dxa"/>
            <w:left w:w="108" w:type="dxa"/>
            <w:bottom w:w="0" w:type="dxa"/>
            <w:right w:w="108" w:type="dxa"/>
          </w:tblCellMar>
        </w:tblPrEx>
        <w:trPr>
          <w:trHeight w:val="312" w:hRule="atLeast"/>
        </w:trPr>
        <w:tc>
          <w:tcPr>
            <w:tcW w:w="71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2685"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255"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75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17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7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2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2677"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20"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工资福利支出</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180,960.91</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商品和服务支出</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95,315.40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307</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债务利息及费用支出</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30101</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基本工资</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41,586.00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30201</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办公费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24,299.00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30701</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国内债务付息</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30102</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津贴补贴</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32,772.00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30202</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印刷费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30702</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国外债务付息</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30103</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奖金</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52,349.00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30203</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咨询费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资本性支出</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30106</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伙食补助费</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30204</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手续费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31001</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房屋建筑物购建</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30107</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绩效工资</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30205</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水费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31002</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办公设备购置</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30108</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机关事业单位基本养老保险缴费</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14,537.44</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30206</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电费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31003</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专用设备购置</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30109</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职业年金缴费</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8,156.48</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30207</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邮电费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2,307.40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31005</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基础设施建设</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30110</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职工基本医疗保险缴费</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16,989.99</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30208</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取暖费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31006</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大型修缮</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30111</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公务员医疗补助缴费</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30209</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物业管理费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31007</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信息网络及软件购置更新</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30112</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其他社会保障缴费</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30211</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差旅费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798.00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31008</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物资储备</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30113</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住房公积金</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14,570.00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30212</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因公出国（境）费用</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31009</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土地补偿</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30114</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医疗费</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30213</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维修（护）费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440.00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31010</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安置补助</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30199</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其他工资福利支出</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30214</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租赁费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31011</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地上附着物和青苗补偿</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对个人和家庭的补助</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30215</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会议费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31012</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拆迁补偿</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30301</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离休费</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30216</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培训费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31013</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公务用车购置</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30302</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退休费</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30217</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公务接待费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31019</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其他交通工具购置</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30303</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退职（役）费</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30218</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专用材料费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31021</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文物和陈列品购置</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30304</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抚恤金</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30224</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被装购置费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31022</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无形资产购置</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30305</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生活补助</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30225</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专用燃料费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31099</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其他资本性支出</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30306</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救济费</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30226</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劳务费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15,188.00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其他支出</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30307</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医疗费补助</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30227</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委托业务费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35,580.00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39906</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赠与</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30308</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助学金</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30228</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工会经费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2,327.00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39907</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国家赔偿费用支出</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30309</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奖励金</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30229</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福利费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39908</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对民间非营利组织和群众性自治组织补贴</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30310</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个人农业生产补贴</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30231</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公务用车运行维护费</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39999</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其他支出</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30399</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其他对个人和家庭的补助</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30239</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其他交通费用</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8,142.00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30240</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税金及附加费用</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2685"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75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30299</w:t>
            </w:r>
          </w:p>
        </w:tc>
        <w:tc>
          <w:tcPr>
            <w:tcW w:w="2170"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ascii="宋体" w:hAnsi="宋体" w:cs="Arial"/>
                <w:kern w:val="0"/>
                <w:sz w:val="20"/>
                <w:szCs w:val="20"/>
              </w:rPr>
              <w:t xml:space="preserve">  </w:t>
            </w:r>
            <w:r>
              <w:rPr>
                <w:rFonts w:hint="eastAsia" w:ascii="宋体" w:hAnsi="宋体" w:cs="Arial"/>
                <w:kern w:val="0"/>
                <w:sz w:val="20"/>
                <w:szCs w:val="20"/>
              </w:rPr>
              <w:t>其他商品和服务支出</w:t>
            </w:r>
          </w:p>
        </w:tc>
        <w:tc>
          <w:tcPr>
            <w:tcW w:w="117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6,234.00</w:t>
            </w:r>
          </w:p>
        </w:tc>
        <w:tc>
          <w:tcPr>
            <w:tcW w:w="1026"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2677" w:type="dxa"/>
            <w:tcBorders>
              <w:top w:val="nil"/>
              <w:left w:val="nil"/>
              <w:bottom w:val="single" w:color="000000" w:sz="4" w:space="0"/>
              <w:right w:val="single" w:color="000000" w:sz="4" w:space="0"/>
            </w:tcBorders>
            <w:shd w:val="clear" w:color="auto" w:fill="C0C0C0"/>
            <w:noWrap/>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300" w:hRule="atLeast"/>
        </w:trPr>
        <w:tc>
          <w:tcPr>
            <w:tcW w:w="3401" w:type="dxa"/>
            <w:gridSpan w:val="2"/>
            <w:tcBorders>
              <w:top w:val="nil"/>
              <w:left w:val="single" w:color="000000" w:sz="4" w:space="0"/>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人员经费合计</w:t>
            </w:r>
          </w:p>
        </w:tc>
        <w:tc>
          <w:tcPr>
            <w:tcW w:w="125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180,960.91</w:t>
            </w:r>
          </w:p>
        </w:tc>
        <w:tc>
          <w:tcPr>
            <w:tcW w:w="7800" w:type="dxa"/>
            <w:gridSpan w:val="5"/>
            <w:tcBorders>
              <w:top w:val="nil"/>
              <w:left w:val="nil"/>
              <w:bottom w:val="single" w:color="000000" w:sz="4" w:space="0"/>
              <w:right w:val="single" w:color="000000" w:sz="4" w:space="0"/>
            </w:tcBorders>
            <w:shd w:val="clear" w:color="auto" w:fill="C0C0C0"/>
            <w:noWrap/>
            <w:vAlign w:val="center"/>
          </w:tcPr>
          <w:p>
            <w:pPr>
              <w:widowControl/>
              <w:jc w:val="center"/>
              <w:rPr>
                <w:rFonts w:ascii="宋体" w:cs="Arial"/>
                <w:kern w:val="0"/>
                <w:sz w:val="20"/>
                <w:szCs w:val="20"/>
              </w:rPr>
            </w:pPr>
            <w:r>
              <w:rPr>
                <w:rFonts w:hint="eastAsia" w:ascii="宋体" w:hAnsi="宋体" w:cs="Arial"/>
                <w:kern w:val="0"/>
                <w:sz w:val="20"/>
                <w:szCs w:val="20"/>
              </w:rPr>
              <w:t>公用经费合计</w:t>
            </w:r>
          </w:p>
        </w:tc>
        <w:tc>
          <w:tcPr>
            <w:tcW w:w="112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95,315.40</w:t>
            </w:r>
          </w:p>
        </w:tc>
      </w:tr>
      <w:tr>
        <w:tblPrEx>
          <w:tblLayout w:type="fixed"/>
          <w:tblCellMar>
            <w:top w:w="0" w:type="dxa"/>
            <w:left w:w="108" w:type="dxa"/>
            <w:bottom w:w="0" w:type="dxa"/>
            <w:right w:w="108" w:type="dxa"/>
          </w:tblCellMar>
        </w:tblPrEx>
        <w:trPr>
          <w:trHeight w:val="300" w:hRule="atLeast"/>
        </w:trPr>
        <w:tc>
          <w:tcPr>
            <w:tcW w:w="13576" w:type="dxa"/>
            <w:gridSpan w:val="9"/>
            <w:tcBorders>
              <w:top w:val="nil"/>
              <w:left w:val="nil"/>
              <w:bottom w:val="nil"/>
              <w:right w:val="nil"/>
            </w:tcBorders>
            <w:shd w:val="clear" w:color="auto" w:fill="FFFFFF"/>
            <w:noWrap/>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注：本表反映部门本年度一般公共预算财政拨款基本支出明细情况。</w:t>
            </w:r>
          </w:p>
        </w:tc>
      </w:tr>
    </w:tbl>
    <w:p>
      <w:pPr>
        <w:pStyle w:val="7"/>
        <w:widowControl/>
        <w:spacing w:before="76" w:beforeAutospacing="0" w:after="76" w:afterAutospacing="0" w:line="450" w:lineRule="atLeast"/>
      </w:pPr>
    </w:p>
    <w:tbl>
      <w:tblPr>
        <w:tblStyle w:val="10"/>
        <w:tblW w:w="14440" w:type="dxa"/>
        <w:tblInd w:w="94" w:type="dxa"/>
        <w:tblLayout w:type="fixed"/>
        <w:tblCellMar>
          <w:top w:w="0" w:type="dxa"/>
          <w:left w:w="108" w:type="dxa"/>
          <w:bottom w:w="0" w:type="dxa"/>
          <w:right w:w="108" w:type="dxa"/>
        </w:tblCellMar>
      </w:tblPr>
      <w:tblGrid>
        <w:gridCol w:w="1397"/>
        <w:gridCol w:w="1169"/>
        <w:gridCol w:w="1162"/>
        <w:gridCol w:w="1201"/>
        <w:gridCol w:w="1162"/>
        <w:gridCol w:w="1236"/>
        <w:gridCol w:w="1064"/>
        <w:gridCol w:w="1228"/>
        <w:gridCol w:w="1064"/>
        <w:gridCol w:w="1185"/>
        <w:gridCol w:w="1224"/>
        <w:gridCol w:w="1348"/>
      </w:tblGrid>
      <w:tr>
        <w:tblPrEx>
          <w:tblLayout w:type="fixed"/>
          <w:tblCellMar>
            <w:top w:w="0" w:type="dxa"/>
            <w:left w:w="108" w:type="dxa"/>
            <w:bottom w:w="0" w:type="dxa"/>
            <w:right w:w="108" w:type="dxa"/>
          </w:tblCellMar>
        </w:tblPrEx>
        <w:trPr>
          <w:trHeight w:val="375" w:hRule="atLeast"/>
        </w:trPr>
        <w:tc>
          <w:tcPr>
            <w:tcW w:w="14440" w:type="dxa"/>
            <w:gridSpan w:val="12"/>
            <w:tcBorders>
              <w:top w:val="nil"/>
              <w:left w:val="nil"/>
              <w:bottom w:val="nil"/>
              <w:right w:val="nil"/>
            </w:tcBorders>
            <w:shd w:val="clear" w:color="auto" w:fill="FFFFFF"/>
            <w:noWrap/>
            <w:vAlign w:val="center"/>
          </w:tcPr>
          <w:p>
            <w:pPr>
              <w:widowControl/>
              <w:jc w:val="center"/>
              <w:rPr>
                <w:rFonts w:ascii="黑体" w:hAnsi="Arial" w:eastAsia="黑体" w:cs="Arial"/>
                <w:color w:val="000000"/>
                <w:kern w:val="0"/>
                <w:sz w:val="30"/>
                <w:szCs w:val="30"/>
              </w:rPr>
            </w:pPr>
            <w:r>
              <w:rPr>
                <w:rFonts w:hint="eastAsia" w:ascii="黑体" w:hAnsi="Arial" w:eastAsia="黑体" w:cs="Arial"/>
                <w:color w:val="000000"/>
                <w:kern w:val="0"/>
                <w:sz w:val="30"/>
                <w:szCs w:val="30"/>
              </w:rPr>
              <w:t>财政拨款“三公”经费支出决算表</w:t>
            </w:r>
          </w:p>
        </w:tc>
      </w:tr>
      <w:tr>
        <w:tblPrEx>
          <w:tblLayout w:type="fixed"/>
          <w:tblCellMar>
            <w:top w:w="0" w:type="dxa"/>
            <w:left w:w="108" w:type="dxa"/>
            <w:bottom w:w="0" w:type="dxa"/>
            <w:right w:w="108" w:type="dxa"/>
          </w:tblCellMar>
        </w:tblPrEx>
        <w:trPr>
          <w:trHeight w:val="300" w:hRule="atLeast"/>
        </w:trPr>
        <w:tc>
          <w:tcPr>
            <w:tcW w:w="1397"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69"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62"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201"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62"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236"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6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228"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06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185"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224" w:type="dxa"/>
            <w:tcBorders>
              <w:top w:val="nil"/>
              <w:left w:val="nil"/>
              <w:bottom w:val="nil"/>
              <w:right w:val="nil"/>
            </w:tcBorders>
            <w:shd w:val="clear" w:color="auto" w:fill="FFFFFF"/>
            <w:noWrap/>
            <w:vAlign w:val="center"/>
          </w:tcPr>
          <w:p>
            <w:pPr>
              <w:widowControl/>
              <w:jc w:val="left"/>
              <w:rPr>
                <w:rFonts w:ascii="宋体" w:cs="Arial"/>
                <w:kern w:val="0"/>
                <w:sz w:val="18"/>
                <w:szCs w:val="18"/>
              </w:rPr>
            </w:pPr>
            <w:r>
              <w:rPr>
                <w:rFonts w:hint="eastAsia" w:ascii="宋体" w:hAnsi="宋体" w:cs="Arial"/>
                <w:kern w:val="0"/>
                <w:sz w:val="18"/>
                <w:szCs w:val="18"/>
              </w:rPr>
              <w:t>　</w:t>
            </w:r>
          </w:p>
        </w:tc>
        <w:tc>
          <w:tcPr>
            <w:tcW w:w="1348" w:type="dxa"/>
            <w:tcBorders>
              <w:top w:val="nil"/>
              <w:left w:val="nil"/>
              <w:bottom w:val="nil"/>
              <w:right w:val="nil"/>
            </w:tcBorders>
            <w:shd w:val="clear" w:color="auto" w:fill="FFFFFF"/>
            <w:noWrap/>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公开</w:t>
            </w:r>
            <w:r>
              <w:rPr>
                <w:rFonts w:ascii="宋体" w:hAnsi="宋体" w:cs="Arial"/>
                <w:color w:val="000000"/>
                <w:kern w:val="0"/>
                <w:sz w:val="22"/>
                <w:szCs w:val="22"/>
              </w:rPr>
              <w:t>07</w:t>
            </w:r>
            <w:r>
              <w:rPr>
                <w:rFonts w:hint="eastAsia" w:ascii="宋体" w:hAnsi="宋体" w:cs="Arial"/>
                <w:color w:val="000000"/>
                <w:kern w:val="0"/>
                <w:sz w:val="22"/>
                <w:szCs w:val="22"/>
              </w:rPr>
              <w:t>表</w:t>
            </w:r>
          </w:p>
        </w:tc>
      </w:tr>
      <w:tr>
        <w:tblPrEx>
          <w:tblLayout w:type="fixed"/>
          <w:tblCellMar>
            <w:top w:w="0" w:type="dxa"/>
            <w:left w:w="108" w:type="dxa"/>
            <w:bottom w:w="0" w:type="dxa"/>
            <w:right w:w="108" w:type="dxa"/>
          </w:tblCellMar>
        </w:tblPrEx>
        <w:trPr>
          <w:trHeight w:val="414" w:hRule="atLeast"/>
        </w:trPr>
        <w:tc>
          <w:tcPr>
            <w:tcW w:w="3728" w:type="dxa"/>
            <w:gridSpan w:val="3"/>
            <w:tcBorders>
              <w:top w:val="nil"/>
              <w:left w:val="nil"/>
              <w:bottom w:val="single" w:color="000000" w:sz="4" w:space="0"/>
              <w:right w:val="nil"/>
            </w:tcBorders>
            <w:shd w:val="clear" w:color="auto" w:fill="FFFFFF"/>
            <w:noWrap/>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部门：黄石市黄石港区妇女联合会</w:t>
            </w:r>
          </w:p>
        </w:tc>
        <w:tc>
          <w:tcPr>
            <w:tcW w:w="1201"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p>
        </w:tc>
        <w:tc>
          <w:tcPr>
            <w:tcW w:w="3462" w:type="dxa"/>
            <w:gridSpan w:val="3"/>
            <w:tcBorders>
              <w:top w:val="nil"/>
              <w:left w:val="nil"/>
              <w:bottom w:val="single" w:color="000000" w:sz="4" w:space="0"/>
              <w:right w:val="nil"/>
            </w:tcBorders>
            <w:shd w:val="clear" w:color="auto" w:fill="FFFFFF"/>
            <w:noWrap/>
            <w:vAlign w:val="center"/>
          </w:tcPr>
          <w:p>
            <w:pPr>
              <w:widowControl/>
              <w:jc w:val="center"/>
              <w:rPr>
                <w:rFonts w:ascii="宋体" w:hAnsi="宋体" w:cs="Arial"/>
                <w:color w:val="000000"/>
                <w:kern w:val="0"/>
                <w:sz w:val="24"/>
              </w:rPr>
            </w:pPr>
          </w:p>
          <w:p>
            <w:pPr>
              <w:widowControl/>
              <w:jc w:val="center"/>
              <w:rPr>
                <w:rFonts w:ascii="宋体" w:cs="Arial"/>
                <w:color w:val="000000"/>
                <w:kern w:val="0"/>
                <w:sz w:val="24"/>
              </w:rPr>
            </w:pPr>
            <w:r>
              <w:rPr>
                <w:rFonts w:ascii="宋体" w:hAnsi="宋体" w:cs="Arial"/>
                <w:color w:val="000000"/>
                <w:kern w:val="0"/>
                <w:sz w:val="24"/>
              </w:rPr>
              <w:t>2019</w:t>
            </w:r>
            <w:r>
              <w:rPr>
                <w:rFonts w:hint="eastAsia" w:ascii="宋体" w:hAnsi="宋体" w:cs="Arial"/>
                <w:color w:val="000000"/>
                <w:kern w:val="0"/>
                <w:sz w:val="24"/>
              </w:rPr>
              <w:t>年度</w:t>
            </w:r>
          </w:p>
          <w:p>
            <w:pPr>
              <w:widowControl/>
              <w:jc w:val="center"/>
              <w:rPr>
                <w:rFonts w:ascii="宋体" w:cs="Arial"/>
                <w:kern w:val="0"/>
                <w:sz w:val="18"/>
                <w:szCs w:val="18"/>
              </w:rPr>
            </w:pPr>
          </w:p>
        </w:tc>
        <w:tc>
          <w:tcPr>
            <w:tcW w:w="1228"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1064" w:type="dxa"/>
            <w:tcBorders>
              <w:top w:val="nil"/>
              <w:left w:val="nil"/>
              <w:bottom w:val="single" w:color="000000" w:sz="4" w:space="0"/>
              <w:right w:val="nil"/>
            </w:tcBorders>
            <w:shd w:val="clear" w:color="auto" w:fill="FFFFFF"/>
            <w:noWrap/>
            <w:vAlign w:val="center"/>
          </w:tcPr>
          <w:p>
            <w:pPr>
              <w:widowControl/>
              <w:jc w:val="center"/>
              <w:rPr>
                <w:rFonts w:ascii="宋体" w:cs="Arial"/>
                <w:kern w:val="0"/>
                <w:sz w:val="18"/>
                <w:szCs w:val="18"/>
              </w:rPr>
            </w:pPr>
            <w:r>
              <w:rPr>
                <w:rFonts w:hint="eastAsia" w:ascii="宋体" w:hAnsi="宋体" w:cs="Arial"/>
                <w:kern w:val="0"/>
                <w:sz w:val="18"/>
                <w:szCs w:val="18"/>
              </w:rPr>
              <w:t>　</w:t>
            </w:r>
          </w:p>
        </w:tc>
        <w:tc>
          <w:tcPr>
            <w:tcW w:w="3757" w:type="dxa"/>
            <w:gridSpan w:val="3"/>
            <w:tcBorders>
              <w:top w:val="nil"/>
              <w:left w:val="nil"/>
              <w:bottom w:val="single" w:color="000000" w:sz="4" w:space="0"/>
              <w:right w:val="nil"/>
            </w:tcBorders>
            <w:shd w:val="clear" w:color="auto" w:fill="FFFFFF"/>
            <w:noWrap/>
            <w:vAlign w:val="center"/>
          </w:tcPr>
          <w:p>
            <w:pPr>
              <w:widowControl/>
              <w:jc w:val="both"/>
              <w:rPr>
                <w:rFonts w:ascii="宋体" w:cs="Arial"/>
                <w:color w:val="000000"/>
                <w:kern w:val="0"/>
                <w:sz w:val="22"/>
                <w:szCs w:val="22"/>
              </w:rPr>
            </w:pPr>
            <w:r>
              <w:rPr>
                <w:rFonts w:hint="eastAsia" w:ascii="宋体" w:hAnsi="宋体" w:cs="Arial"/>
                <w:color w:val="000000"/>
                <w:kern w:val="0"/>
                <w:sz w:val="22"/>
                <w:szCs w:val="22"/>
              </w:rPr>
              <w:t>金额单位：元</w:t>
            </w:r>
          </w:p>
        </w:tc>
      </w:tr>
      <w:tr>
        <w:tblPrEx>
          <w:tblLayout w:type="fixed"/>
          <w:tblCellMar>
            <w:top w:w="0" w:type="dxa"/>
            <w:left w:w="108" w:type="dxa"/>
            <w:bottom w:w="0" w:type="dxa"/>
            <w:right w:w="108" w:type="dxa"/>
          </w:tblCellMar>
        </w:tblPrEx>
        <w:trPr>
          <w:trHeight w:val="300" w:hRule="atLeast"/>
        </w:trPr>
        <w:tc>
          <w:tcPr>
            <w:tcW w:w="7327" w:type="dxa"/>
            <w:gridSpan w:val="6"/>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预算数</w:t>
            </w:r>
          </w:p>
        </w:tc>
        <w:tc>
          <w:tcPr>
            <w:tcW w:w="7113" w:type="dxa"/>
            <w:gridSpan w:val="6"/>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决算数</w:t>
            </w:r>
          </w:p>
        </w:tc>
      </w:tr>
      <w:tr>
        <w:tblPrEx>
          <w:tblLayout w:type="fixed"/>
          <w:tblCellMar>
            <w:top w:w="0" w:type="dxa"/>
            <w:left w:w="108" w:type="dxa"/>
            <w:bottom w:w="0" w:type="dxa"/>
            <w:right w:w="108" w:type="dxa"/>
          </w:tblCellMar>
        </w:tblPrEx>
        <w:trPr>
          <w:trHeight w:val="300" w:hRule="atLeast"/>
        </w:trPr>
        <w:tc>
          <w:tcPr>
            <w:tcW w:w="1397" w:type="dxa"/>
            <w:vMerge w:val="restart"/>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合计</w:t>
            </w:r>
          </w:p>
        </w:tc>
        <w:tc>
          <w:tcPr>
            <w:tcW w:w="1169"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因公出国（境）费</w:t>
            </w:r>
          </w:p>
        </w:tc>
        <w:tc>
          <w:tcPr>
            <w:tcW w:w="3525" w:type="dxa"/>
            <w:gridSpan w:val="3"/>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公务用车购置及运行费</w:t>
            </w:r>
          </w:p>
        </w:tc>
        <w:tc>
          <w:tcPr>
            <w:tcW w:w="1236"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公务接待费</w:t>
            </w:r>
          </w:p>
        </w:tc>
        <w:tc>
          <w:tcPr>
            <w:tcW w:w="1064"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合计</w:t>
            </w:r>
          </w:p>
        </w:tc>
        <w:tc>
          <w:tcPr>
            <w:tcW w:w="1228"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因公出国（境）费</w:t>
            </w:r>
          </w:p>
        </w:tc>
        <w:tc>
          <w:tcPr>
            <w:tcW w:w="3473" w:type="dxa"/>
            <w:gridSpan w:val="3"/>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公务用车购置及运行费</w:t>
            </w:r>
          </w:p>
        </w:tc>
        <w:tc>
          <w:tcPr>
            <w:tcW w:w="1348" w:type="dxa"/>
            <w:vMerge w:val="restart"/>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公务接待费</w:t>
            </w:r>
          </w:p>
        </w:tc>
      </w:tr>
      <w:tr>
        <w:tblPrEx>
          <w:tblLayout w:type="fixed"/>
          <w:tblCellMar>
            <w:top w:w="0" w:type="dxa"/>
            <w:left w:w="108" w:type="dxa"/>
            <w:bottom w:w="0" w:type="dxa"/>
            <w:right w:w="108" w:type="dxa"/>
          </w:tblCellMar>
        </w:tblPrEx>
        <w:trPr>
          <w:trHeight w:val="600" w:hRule="atLeast"/>
        </w:trPr>
        <w:tc>
          <w:tcPr>
            <w:tcW w:w="139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Arial"/>
                <w:kern w:val="0"/>
                <w:sz w:val="20"/>
                <w:szCs w:val="20"/>
              </w:rPr>
            </w:pPr>
          </w:p>
        </w:tc>
        <w:tc>
          <w:tcPr>
            <w:tcW w:w="1169"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162"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小计</w:t>
            </w:r>
          </w:p>
        </w:tc>
        <w:tc>
          <w:tcPr>
            <w:tcW w:w="1201"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公务用车购置费</w:t>
            </w:r>
          </w:p>
        </w:tc>
        <w:tc>
          <w:tcPr>
            <w:tcW w:w="1162"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公务用车运行费</w:t>
            </w:r>
          </w:p>
        </w:tc>
        <w:tc>
          <w:tcPr>
            <w:tcW w:w="1236"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64"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22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c>
          <w:tcPr>
            <w:tcW w:w="106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小计</w:t>
            </w:r>
          </w:p>
        </w:tc>
        <w:tc>
          <w:tcPr>
            <w:tcW w:w="1185"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公务用车购置费</w:t>
            </w:r>
          </w:p>
        </w:tc>
        <w:tc>
          <w:tcPr>
            <w:tcW w:w="122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hint="eastAsia" w:ascii="宋体" w:hAnsi="宋体" w:cs="Arial"/>
                <w:kern w:val="0"/>
                <w:sz w:val="20"/>
                <w:szCs w:val="20"/>
              </w:rPr>
              <w:t>公务用车运行费</w:t>
            </w:r>
          </w:p>
        </w:tc>
        <w:tc>
          <w:tcPr>
            <w:tcW w:w="1348" w:type="dxa"/>
            <w:vMerge w:val="continue"/>
            <w:tcBorders>
              <w:top w:val="nil"/>
              <w:left w:val="nil"/>
              <w:bottom w:val="single" w:color="000000" w:sz="4" w:space="0"/>
              <w:right w:val="single" w:color="000000" w:sz="4" w:space="0"/>
            </w:tcBorders>
            <w:vAlign w:val="center"/>
          </w:tcPr>
          <w:p>
            <w:pPr>
              <w:widowControl/>
              <w:jc w:val="left"/>
              <w:rPr>
                <w:rFonts w:ascii="宋体" w:cs="Arial"/>
                <w:kern w:val="0"/>
                <w:sz w:val="20"/>
                <w:szCs w:val="20"/>
              </w:rPr>
            </w:pPr>
          </w:p>
        </w:tc>
      </w:tr>
      <w:tr>
        <w:tblPrEx>
          <w:tblLayout w:type="fixed"/>
          <w:tblCellMar>
            <w:top w:w="0" w:type="dxa"/>
            <w:left w:w="108" w:type="dxa"/>
            <w:bottom w:w="0" w:type="dxa"/>
            <w:right w:w="108" w:type="dxa"/>
          </w:tblCellMar>
        </w:tblPrEx>
        <w:trPr>
          <w:trHeight w:val="300" w:hRule="atLeast"/>
        </w:trPr>
        <w:tc>
          <w:tcPr>
            <w:tcW w:w="1397" w:type="dxa"/>
            <w:tcBorders>
              <w:top w:val="nil"/>
              <w:left w:val="single" w:color="000000" w:sz="4" w:space="0"/>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w:t>
            </w:r>
          </w:p>
        </w:tc>
        <w:tc>
          <w:tcPr>
            <w:tcW w:w="1169"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2</w:t>
            </w:r>
          </w:p>
        </w:tc>
        <w:tc>
          <w:tcPr>
            <w:tcW w:w="1162"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3</w:t>
            </w:r>
          </w:p>
        </w:tc>
        <w:tc>
          <w:tcPr>
            <w:tcW w:w="1201"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4</w:t>
            </w:r>
          </w:p>
        </w:tc>
        <w:tc>
          <w:tcPr>
            <w:tcW w:w="1162"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5</w:t>
            </w:r>
          </w:p>
        </w:tc>
        <w:tc>
          <w:tcPr>
            <w:tcW w:w="1236"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6</w:t>
            </w:r>
          </w:p>
        </w:tc>
        <w:tc>
          <w:tcPr>
            <w:tcW w:w="106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7</w:t>
            </w:r>
          </w:p>
        </w:tc>
        <w:tc>
          <w:tcPr>
            <w:tcW w:w="1228"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8</w:t>
            </w:r>
          </w:p>
        </w:tc>
        <w:tc>
          <w:tcPr>
            <w:tcW w:w="106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9</w:t>
            </w:r>
          </w:p>
        </w:tc>
        <w:tc>
          <w:tcPr>
            <w:tcW w:w="1185"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10</w:t>
            </w:r>
          </w:p>
        </w:tc>
        <w:tc>
          <w:tcPr>
            <w:tcW w:w="1224"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11</w:t>
            </w:r>
          </w:p>
        </w:tc>
        <w:tc>
          <w:tcPr>
            <w:tcW w:w="1348" w:type="dxa"/>
            <w:tcBorders>
              <w:top w:val="nil"/>
              <w:left w:val="nil"/>
              <w:bottom w:val="single" w:color="000000" w:sz="4" w:space="0"/>
              <w:right w:val="single" w:color="000000" w:sz="4" w:space="0"/>
            </w:tcBorders>
            <w:shd w:val="clear" w:color="auto" w:fill="C0C0C0"/>
            <w:vAlign w:val="center"/>
          </w:tcPr>
          <w:p>
            <w:pPr>
              <w:widowControl/>
              <w:jc w:val="center"/>
              <w:rPr>
                <w:rFonts w:ascii="宋体" w:cs="Arial"/>
                <w:kern w:val="0"/>
                <w:sz w:val="20"/>
                <w:szCs w:val="20"/>
              </w:rPr>
            </w:pPr>
            <w:r>
              <w:rPr>
                <w:rFonts w:ascii="宋体" w:hAnsi="宋体" w:cs="Arial"/>
                <w:kern w:val="0"/>
                <w:sz w:val="20"/>
                <w:szCs w:val="20"/>
              </w:rPr>
              <w:t>12</w:t>
            </w:r>
          </w:p>
        </w:tc>
      </w:tr>
      <w:tr>
        <w:tblPrEx>
          <w:tblLayout w:type="fixed"/>
          <w:tblCellMar>
            <w:top w:w="0" w:type="dxa"/>
            <w:left w:w="108" w:type="dxa"/>
            <w:bottom w:w="0" w:type="dxa"/>
            <w:right w:w="108" w:type="dxa"/>
          </w:tblCellMar>
        </w:tblPrEx>
        <w:trPr>
          <w:trHeight w:val="300" w:hRule="atLeast"/>
        </w:trPr>
        <w:tc>
          <w:tcPr>
            <w:tcW w:w="1397" w:type="dxa"/>
            <w:tcBorders>
              <w:top w:val="nil"/>
              <w:left w:val="single" w:color="000000" w:sz="4" w:space="0"/>
              <w:bottom w:val="single" w:color="000000" w:sz="4" w:space="0"/>
              <w:right w:val="single" w:color="000000" w:sz="4" w:space="0"/>
            </w:tcBorders>
            <w:shd w:val="clear" w:color="auto" w:fill="00FF00"/>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16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162" w:type="dxa"/>
            <w:tcBorders>
              <w:top w:val="nil"/>
              <w:left w:val="nil"/>
              <w:bottom w:val="single" w:color="000000" w:sz="4" w:space="0"/>
              <w:right w:val="single" w:color="000000" w:sz="4" w:space="0"/>
            </w:tcBorders>
            <w:shd w:val="clear" w:color="auto" w:fill="00FF00"/>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20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162"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236"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06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22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06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185"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2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c>
          <w:tcPr>
            <w:tcW w:w="1348"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cs="Arial"/>
                <w:kern w:val="0"/>
                <w:sz w:val="20"/>
                <w:szCs w:val="20"/>
              </w:rPr>
            </w:pPr>
            <w:r>
              <w:rPr>
                <w:rFonts w:ascii="宋体" w:hAnsi="宋体" w:cs="Arial"/>
                <w:kern w:val="0"/>
                <w:sz w:val="20"/>
                <w:szCs w:val="20"/>
              </w:rPr>
              <w:t>0.00</w:t>
            </w:r>
          </w:p>
        </w:tc>
      </w:tr>
      <w:tr>
        <w:tblPrEx>
          <w:tblLayout w:type="fixed"/>
          <w:tblCellMar>
            <w:top w:w="0" w:type="dxa"/>
            <w:left w:w="108" w:type="dxa"/>
            <w:bottom w:w="0" w:type="dxa"/>
            <w:right w:w="108" w:type="dxa"/>
          </w:tblCellMar>
        </w:tblPrEx>
        <w:trPr>
          <w:trHeight w:val="600" w:hRule="atLeast"/>
        </w:trPr>
        <w:tc>
          <w:tcPr>
            <w:tcW w:w="14440" w:type="dxa"/>
            <w:gridSpan w:val="12"/>
            <w:tcBorders>
              <w:top w:val="nil"/>
              <w:left w:val="nil"/>
              <w:bottom w:val="nil"/>
              <w:right w:val="nil"/>
            </w:tcBorders>
            <w:shd w:val="clear" w:color="auto" w:fill="FFFFFF"/>
            <w:vAlign w:val="center"/>
          </w:tcPr>
          <w:p>
            <w:pPr>
              <w:widowControl/>
              <w:jc w:val="left"/>
              <w:rPr>
                <w:rFonts w:ascii="宋体" w:cs="Arial"/>
                <w:kern w:val="0"/>
                <w:sz w:val="20"/>
                <w:szCs w:val="20"/>
              </w:rPr>
            </w:pPr>
            <w:r>
              <w:rPr>
                <w:rFonts w:hint="eastAsia" w:ascii="宋体" w:hAnsi="宋体" w:cs="Arial"/>
                <w:kern w:val="0"/>
                <w:sz w:val="20"/>
                <w:szCs w:val="20"/>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7"/>
        <w:widowControl/>
        <w:spacing w:before="76" w:beforeAutospacing="0" w:after="76" w:afterAutospacing="0" w:line="450" w:lineRule="atLeast"/>
      </w:pPr>
    </w:p>
    <w:p>
      <w:pPr>
        <w:pStyle w:val="7"/>
        <w:widowControl/>
        <w:spacing w:before="76" w:beforeAutospacing="0" w:after="76" w:afterAutospacing="0" w:line="450" w:lineRule="atLeast"/>
      </w:pPr>
    </w:p>
    <w:p>
      <w:pPr>
        <w:pStyle w:val="7"/>
        <w:widowControl/>
        <w:spacing w:before="76" w:beforeAutospacing="0" w:after="76" w:afterAutospacing="0" w:line="450" w:lineRule="atLeast"/>
      </w:pPr>
    </w:p>
    <w:p>
      <w:pPr>
        <w:pStyle w:val="7"/>
        <w:widowControl/>
        <w:spacing w:before="76" w:beforeAutospacing="0" w:after="76" w:afterAutospacing="0" w:line="450" w:lineRule="atLeast"/>
      </w:pPr>
    </w:p>
    <w:p>
      <w:pPr>
        <w:pStyle w:val="7"/>
        <w:widowControl/>
        <w:spacing w:before="76" w:beforeAutospacing="0" w:after="76" w:afterAutospacing="0" w:line="450" w:lineRule="atLeast"/>
      </w:pPr>
    </w:p>
    <w:p>
      <w:pPr>
        <w:pStyle w:val="7"/>
        <w:widowControl/>
        <w:spacing w:before="76" w:beforeAutospacing="0" w:after="76" w:afterAutospacing="0" w:line="450" w:lineRule="atLeast"/>
      </w:pPr>
    </w:p>
    <w:tbl>
      <w:tblPr>
        <w:tblStyle w:val="10"/>
        <w:tblW w:w="13760" w:type="dxa"/>
        <w:jc w:val="center"/>
        <w:tblInd w:w="0" w:type="dxa"/>
        <w:shd w:val="clear" w:color="auto" w:fill="auto"/>
        <w:tblLayout w:type="fixed"/>
        <w:tblCellMar>
          <w:top w:w="0" w:type="dxa"/>
          <w:left w:w="0" w:type="dxa"/>
          <w:bottom w:w="0" w:type="dxa"/>
          <w:right w:w="0" w:type="dxa"/>
        </w:tblCellMar>
      </w:tblPr>
      <w:tblGrid>
        <w:gridCol w:w="2641"/>
        <w:gridCol w:w="2076"/>
        <w:gridCol w:w="2313"/>
        <w:gridCol w:w="1150"/>
        <w:gridCol w:w="1197"/>
        <w:gridCol w:w="1231"/>
        <w:gridCol w:w="1288"/>
        <w:gridCol w:w="1864"/>
      </w:tblGrid>
      <w:tr>
        <w:tblPrEx>
          <w:shd w:val="clear" w:color="auto" w:fill="auto"/>
          <w:tblLayout w:type="fixed"/>
          <w:tblCellMar>
            <w:top w:w="0" w:type="dxa"/>
            <w:left w:w="0" w:type="dxa"/>
            <w:bottom w:w="0" w:type="dxa"/>
            <w:right w:w="0" w:type="dxa"/>
          </w:tblCellMar>
        </w:tblPrEx>
        <w:trPr>
          <w:trHeight w:val="659" w:hRule="atLeast"/>
          <w:jc w:val="center"/>
        </w:trPr>
        <w:tc>
          <w:tcPr>
            <w:tcW w:w="1376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337" w:hRule="atLeast"/>
          <w:jc w:val="center"/>
        </w:trPr>
        <w:tc>
          <w:tcPr>
            <w:tcW w:w="1376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337" w:hRule="atLeast"/>
          <w:jc w:val="center"/>
        </w:trPr>
        <w:tc>
          <w:tcPr>
            <w:tcW w:w="4717"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Arial"/>
                <w:color w:val="000000"/>
                <w:kern w:val="0"/>
                <w:sz w:val="22"/>
                <w:szCs w:val="22"/>
              </w:rPr>
              <w:t>黄石市黄石港区妇女联合会</w:t>
            </w:r>
          </w:p>
        </w:tc>
        <w:tc>
          <w:tcPr>
            <w:tcW w:w="231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9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4"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347" w:hRule="atLeast"/>
          <w:jc w:val="center"/>
        </w:trPr>
        <w:tc>
          <w:tcPr>
            <w:tcW w:w="4717"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31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71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47" w:hRule="atLeast"/>
          <w:jc w:val="center"/>
        </w:trPr>
        <w:tc>
          <w:tcPr>
            <w:tcW w:w="2641"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076"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31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3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47" w:hRule="atLeast"/>
          <w:jc w:val="center"/>
        </w:trPr>
        <w:tc>
          <w:tcPr>
            <w:tcW w:w="264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76"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1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47" w:hRule="atLeast"/>
          <w:jc w:val="center"/>
        </w:trPr>
        <w:tc>
          <w:tcPr>
            <w:tcW w:w="2641"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76"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1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47" w:hRule="atLeast"/>
          <w:jc w:val="center"/>
        </w:trPr>
        <w:tc>
          <w:tcPr>
            <w:tcW w:w="47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31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3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347" w:hRule="atLeast"/>
          <w:jc w:val="center"/>
        </w:trPr>
        <w:tc>
          <w:tcPr>
            <w:tcW w:w="4717"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347" w:hRule="atLeast"/>
          <w:jc w:val="center"/>
        </w:trPr>
        <w:tc>
          <w:tcPr>
            <w:tcW w:w="264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47" w:hRule="atLeast"/>
          <w:jc w:val="center"/>
        </w:trPr>
        <w:tc>
          <w:tcPr>
            <w:tcW w:w="1376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7"/>
        <w:widowControl/>
        <w:spacing w:before="76" w:beforeAutospacing="0" w:after="76" w:afterAutospacing="0" w:line="450" w:lineRule="atLeast"/>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pPr>
    </w:p>
    <w:p>
      <w:pPr>
        <w:pStyle w:val="7"/>
        <w:widowControl/>
        <w:spacing w:before="76" w:beforeAutospacing="0" w:after="76" w:afterAutospacing="0" w:line="450" w:lineRule="atLeast"/>
        <w:ind w:firstLine="240" w:firstLineChars="100"/>
        <w:rPr>
          <w:rStyle w:val="9"/>
          <w:rFonts w:ascii="微软雅黑" w:hAnsi="微软雅黑" w:eastAsia="微软雅黑" w:cs="微软雅黑"/>
          <w:color w:val="333333"/>
          <w:shd w:val="clear" w:color="auto" w:fill="FFFFFF"/>
        </w:rPr>
      </w:pPr>
      <w:r>
        <w:rPr>
          <w:rStyle w:val="9"/>
          <w:rFonts w:hint="eastAsia" w:ascii="微软雅黑" w:hAnsi="微软雅黑" w:eastAsia="微软雅黑" w:cs="微软雅黑"/>
          <w:color w:val="333333"/>
          <w:shd w:val="clear" w:color="auto" w:fill="FFFFFF"/>
        </w:rPr>
        <w:t>第三部分</w:t>
      </w:r>
      <w:r>
        <w:rPr>
          <w:rStyle w:val="9"/>
          <w:rFonts w:ascii="微软雅黑" w:hAnsi="微软雅黑" w:eastAsia="微软雅黑" w:cs="微软雅黑"/>
          <w:color w:val="333333"/>
          <w:shd w:val="clear" w:color="auto" w:fill="FFFFFF"/>
        </w:rPr>
        <w:t xml:space="preserve"> 2019</w:t>
      </w:r>
      <w:r>
        <w:rPr>
          <w:rStyle w:val="9"/>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宋体" w:cs="宋体"/>
          <w:b/>
          <w:bCs/>
          <w:color w:val="333333"/>
          <w:sz w:val="28"/>
          <w:szCs w:val="28"/>
          <w:shd w:val="clear" w:color="auto" w:fill="FFFFFF"/>
        </w:rPr>
      </w:pPr>
      <w:r>
        <w:rPr>
          <w:rFonts w:hint="eastAsia"/>
          <w:b/>
          <w:sz w:val="28"/>
          <w:szCs w:val="28"/>
          <w:shd w:val="clear" w:color="auto" w:fill="FFFFFF"/>
        </w:rPr>
        <w:t>（一）预算执行情况分析</w:t>
      </w:r>
    </w:p>
    <w:p>
      <w:pPr>
        <w:shd w:val="clear" w:color="auto" w:fill="FFFFFF"/>
        <w:snapToGrid w:val="0"/>
        <w:spacing w:line="560" w:lineRule="atLeast"/>
        <w:ind w:firstLine="560" w:firstLineChars="200"/>
        <w:rPr>
          <w:rFonts w:ascii="宋体" w:cs="宋体"/>
          <w:color w:val="333333"/>
          <w:sz w:val="28"/>
          <w:szCs w:val="28"/>
        </w:rPr>
      </w:pPr>
      <w:r>
        <w:rPr>
          <w:rFonts w:ascii="宋体" w:hAnsi="宋体" w:cs="宋体"/>
          <w:color w:val="333333"/>
          <w:sz w:val="28"/>
          <w:szCs w:val="28"/>
        </w:rPr>
        <w:t>1</w:t>
      </w:r>
      <w:r>
        <w:rPr>
          <w:rFonts w:hint="eastAsia" w:ascii="宋体" w:hAnsi="宋体" w:cs="宋体"/>
          <w:color w:val="333333"/>
          <w:sz w:val="28"/>
          <w:szCs w:val="28"/>
        </w:rPr>
        <w:t>、收入分析：</w:t>
      </w:r>
    </w:p>
    <w:p>
      <w:pPr>
        <w:shd w:val="clear" w:color="auto" w:fill="FFFFFF"/>
        <w:snapToGrid w:val="0"/>
        <w:spacing w:line="560" w:lineRule="atLeast"/>
        <w:ind w:firstLine="560" w:firstLineChars="200"/>
        <w:rPr>
          <w:rFonts w:hint="eastAsia" w:ascii="宋体" w:eastAsia="宋体" w:cs="宋体"/>
          <w:color w:val="333333"/>
          <w:sz w:val="28"/>
          <w:szCs w:val="28"/>
          <w:lang w:eastAsia="zh-CN"/>
        </w:rPr>
      </w:pPr>
      <w:r>
        <w:rPr>
          <w:rFonts w:hint="eastAsia" w:ascii="宋体" w:hAnsi="宋体" w:cs="宋体"/>
          <w:color w:val="333333"/>
          <w:sz w:val="28"/>
          <w:szCs w:val="28"/>
        </w:rPr>
        <w:t>本年总收入</w:t>
      </w:r>
      <w:r>
        <w:rPr>
          <w:rFonts w:ascii="宋体" w:hAnsi="宋体" w:cs="宋体"/>
          <w:color w:val="333333"/>
          <w:sz w:val="28"/>
          <w:szCs w:val="28"/>
        </w:rPr>
        <w:t>27.63</w:t>
      </w:r>
      <w:r>
        <w:rPr>
          <w:rFonts w:hint="eastAsia" w:ascii="宋体" w:hAnsi="宋体" w:cs="宋体"/>
          <w:color w:val="333333"/>
          <w:sz w:val="28"/>
          <w:szCs w:val="28"/>
        </w:rPr>
        <w:t>万元。比去年的</w:t>
      </w:r>
      <w:r>
        <w:rPr>
          <w:rFonts w:ascii="宋体" w:hAnsi="宋体" w:cs="宋体"/>
          <w:color w:val="333333"/>
          <w:sz w:val="28"/>
          <w:szCs w:val="28"/>
        </w:rPr>
        <w:t>33.11</w:t>
      </w:r>
      <w:r>
        <w:rPr>
          <w:rFonts w:hint="eastAsia" w:ascii="宋体" w:hAnsi="宋体" w:cs="宋体"/>
          <w:color w:val="333333"/>
          <w:sz w:val="28"/>
          <w:szCs w:val="28"/>
        </w:rPr>
        <w:t>万元减少</w:t>
      </w:r>
      <w:r>
        <w:rPr>
          <w:rFonts w:ascii="宋体" w:hAnsi="宋体" w:cs="宋体"/>
          <w:color w:val="333333"/>
          <w:sz w:val="28"/>
          <w:szCs w:val="28"/>
        </w:rPr>
        <w:t>5.48</w:t>
      </w:r>
      <w:r>
        <w:rPr>
          <w:rFonts w:hint="eastAsia" w:ascii="宋体" w:hAnsi="宋体" w:cs="宋体"/>
          <w:color w:val="333333"/>
          <w:sz w:val="28"/>
          <w:szCs w:val="28"/>
        </w:rPr>
        <w:t>万元，</w:t>
      </w:r>
      <w:r>
        <w:rPr>
          <w:rFonts w:ascii="宋体" w:hAnsi="宋体" w:eastAsia="宋体" w:cs="宋体"/>
          <w:sz w:val="24"/>
          <w:szCs w:val="24"/>
        </w:rPr>
        <w:t>减少原因就是节约开支，增加就是事务增加</w:t>
      </w:r>
      <w:r>
        <w:rPr>
          <w:rFonts w:hint="eastAsia" w:ascii="宋体" w:hAnsi="宋体" w:cs="宋体"/>
          <w:sz w:val="24"/>
          <w:szCs w:val="24"/>
          <w:lang w:eastAsia="zh-CN"/>
        </w:rPr>
        <w:t>。</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其中全部为财政拨款收入。</w:t>
      </w:r>
    </w:p>
    <w:p>
      <w:pPr>
        <w:shd w:val="clear" w:color="auto" w:fill="FFFFFF"/>
        <w:snapToGrid w:val="0"/>
        <w:spacing w:line="560" w:lineRule="atLeast"/>
        <w:ind w:firstLine="560" w:firstLineChars="200"/>
        <w:rPr>
          <w:rFonts w:ascii="宋体" w:cs="宋体"/>
          <w:color w:val="333333"/>
          <w:sz w:val="28"/>
          <w:szCs w:val="28"/>
        </w:rPr>
      </w:pPr>
      <w:r>
        <w:rPr>
          <w:rFonts w:ascii="宋体" w:hAnsi="宋体" w:cs="宋体"/>
          <w:color w:val="333333"/>
          <w:sz w:val="28"/>
          <w:szCs w:val="28"/>
        </w:rPr>
        <w:t>2</w:t>
      </w:r>
      <w:r>
        <w:rPr>
          <w:rFonts w:hint="eastAsia" w:ascii="宋体" w:hAnsi="宋体" w:cs="宋体"/>
          <w:color w:val="333333"/>
          <w:sz w:val="28"/>
          <w:szCs w:val="28"/>
        </w:rPr>
        <w:t>、支出分析：</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本年总支出为</w:t>
      </w:r>
      <w:r>
        <w:rPr>
          <w:rFonts w:ascii="宋体" w:hAnsi="宋体" w:cs="宋体"/>
          <w:color w:val="333333"/>
          <w:sz w:val="28"/>
          <w:szCs w:val="28"/>
        </w:rPr>
        <w:t>27.63</w:t>
      </w:r>
      <w:r>
        <w:rPr>
          <w:rFonts w:hint="eastAsia" w:ascii="宋体" w:hAnsi="宋体" w:cs="宋体"/>
          <w:color w:val="333333"/>
          <w:sz w:val="28"/>
          <w:szCs w:val="28"/>
        </w:rPr>
        <w:t>万元。比去年的</w:t>
      </w:r>
      <w:r>
        <w:rPr>
          <w:rFonts w:ascii="宋体" w:hAnsi="宋体" w:cs="宋体"/>
          <w:color w:val="333333"/>
          <w:sz w:val="28"/>
          <w:szCs w:val="28"/>
        </w:rPr>
        <w:t>33.11</w:t>
      </w:r>
      <w:r>
        <w:rPr>
          <w:rFonts w:hint="eastAsia" w:ascii="宋体" w:hAnsi="宋体" w:cs="宋体"/>
          <w:color w:val="333333"/>
          <w:sz w:val="28"/>
          <w:szCs w:val="28"/>
        </w:rPr>
        <w:t>万元减少</w:t>
      </w:r>
      <w:r>
        <w:rPr>
          <w:rFonts w:ascii="宋体" w:hAnsi="宋体" w:cs="宋体"/>
          <w:color w:val="333333"/>
          <w:sz w:val="28"/>
          <w:szCs w:val="28"/>
        </w:rPr>
        <w:t>5.48</w:t>
      </w:r>
      <w:r>
        <w:rPr>
          <w:rFonts w:hint="eastAsia" w:ascii="宋体" w:hAnsi="宋体" w:cs="宋体"/>
          <w:color w:val="333333"/>
          <w:sz w:val="28"/>
          <w:szCs w:val="28"/>
        </w:rPr>
        <w:t>万元，其中一般公共预算财政拨款支出</w:t>
      </w:r>
      <w:r>
        <w:rPr>
          <w:rFonts w:ascii="宋体" w:hAnsi="宋体" w:cs="宋体"/>
          <w:color w:val="333333"/>
          <w:sz w:val="28"/>
          <w:szCs w:val="28"/>
        </w:rPr>
        <w:t>27.63</w:t>
      </w:r>
      <w:r>
        <w:rPr>
          <w:rFonts w:hint="eastAsia" w:ascii="宋体" w:hAnsi="宋体" w:cs="宋体"/>
          <w:color w:val="333333"/>
          <w:sz w:val="28"/>
          <w:szCs w:val="28"/>
        </w:rPr>
        <w:t>万元，具体构成如下：</w:t>
      </w:r>
    </w:p>
    <w:p>
      <w:pPr>
        <w:shd w:val="clear" w:color="auto" w:fill="FFFFFF"/>
        <w:snapToGrid w:val="0"/>
        <w:spacing w:line="560" w:lineRule="atLeast"/>
        <w:ind w:firstLine="560" w:firstLineChars="200"/>
        <w:rPr>
          <w:rFonts w:ascii="宋体" w:hAns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1</w:t>
      </w:r>
      <w:r>
        <w:rPr>
          <w:rFonts w:hint="eastAsia" w:ascii="宋体" w:hAnsi="宋体" w:cs="宋体"/>
          <w:color w:val="333333"/>
          <w:sz w:val="28"/>
          <w:szCs w:val="28"/>
        </w:rPr>
        <w:t>）工资福利支出</w:t>
      </w:r>
      <w:r>
        <w:rPr>
          <w:rFonts w:ascii="宋体" w:hAnsi="宋体" w:cs="宋体"/>
          <w:color w:val="333333"/>
          <w:sz w:val="28"/>
          <w:szCs w:val="28"/>
        </w:rPr>
        <w:t>18.10</w:t>
      </w:r>
      <w:r>
        <w:rPr>
          <w:rFonts w:hint="eastAsia" w:ascii="宋体" w:hAnsi="宋体" w:cs="宋体"/>
          <w:color w:val="333333"/>
          <w:sz w:val="28"/>
          <w:szCs w:val="28"/>
        </w:rPr>
        <w:t>万元。占比</w:t>
      </w:r>
      <w:r>
        <w:rPr>
          <w:rFonts w:ascii="宋体" w:hAnsi="宋体" w:cs="宋体"/>
          <w:color w:val="333333"/>
          <w:sz w:val="28"/>
          <w:szCs w:val="28"/>
        </w:rPr>
        <w:t>65.51%</w:t>
      </w:r>
    </w:p>
    <w:p>
      <w:pPr>
        <w:shd w:val="clear" w:color="auto" w:fill="FFFFFF"/>
        <w:snapToGrid w:val="0"/>
        <w:spacing w:line="560" w:lineRule="atLeast"/>
        <w:ind w:firstLine="560" w:firstLineChars="200"/>
        <w:rPr>
          <w:rFonts w:ascii="宋体" w:hAns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2</w:t>
      </w:r>
      <w:r>
        <w:rPr>
          <w:rFonts w:hint="eastAsia" w:ascii="宋体" w:hAnsi="宋体" w:cs="宋体"/>
          <w:color w:val="333333"/>
          <w:sz w:val="28"/>
          <w:szCs w:val="28"/>
        </w:rPr>
        <w:t>）商品和服务支出</w:t>
      </w:r>
      <w:r>
        <w:rPr>
          <w:rFonts w:ascii="宋体" w:hAnsi="宋体" w:cs="宋体"/>
          <w:color w:val="333333"/>
          <w:sz w:val="28"/>
          <w:szCs w:val="28"/>
        </w:rPr>
        <w:t>9.53</w:t>
      </w:r>
      <w:r>
        <w:rPr>
          <w:rFonts w:hint="eastAsia" w:ascii="宋体" w:hAnsi="宋体" w:cs="宋体"/>
          <w:color w:val="333333"/>
          <w:sz w:val="28"/>
          <w:szCs w:val="28"/>
        </w:rPr>
        <w:t>万元。占比</w:t>
      </w:r>
      <w:r>
        <w:rPr>
          <w:rFonts w:ascii="宋体" w:hAnsi="宋体" w:cs="宋体"/>
          <w:color w:val="333333"/>
          <w:sz w:val="28"/>
          <w:szCs w:val="28"/>
        </w:rPr>
        <w:t>34.49%</w:t>
      </w:r>
    </w:p>
    <w:p>
      <w:pPr>
        <w:shd w:val="clear" w:color="auto" w:fill="FFFFFF"/>
        <w:snapToGrid w:val="0"/>
        <w:spacing w:line="560" w:lineRule="atLeast"/>
        <w:ind w:firstLine="560" w:firstLineChars="200"/>
        <w:rPr>
          <w:rFonts w:ascii="宋体" w:cs="宋体"/>
          <w:color w:val="333333"/>
          <w:sz w:val="28"/>
          <w:szCs w:val="28"/>
        </w:rPr>
      </w:pPr>
    </w:p>
    <w:p>
      <w:pPr>
        <w:pStyle w:val="7"/>
        <w:widowControl/>
        <w:spacing w:before="76" w:beforeAutospacing="0" w:after="76" w:afterAutospacing="0" w:line="450" w:lineRule="atLeast"/>
        <w:ind w:firstLine="281" w:firstLineChars="10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（二）关于“三公”经费支出说明</w:t>
      </w:r>
    </w:p>
    <w:p>
      <w:pPr>
        <w:pStyle w:val="7"/>
        <w:widowControl/>
        <w:spacing w:before="76" w:beforeAutospacing="0" w:after="76" w:afterAutospacing="0" w:line="450" w:lineRule="atLeast"/>
        <w:ind w:firstLine="420"/>
        <w:rPr>
          <w:rFonts w:ascii="宋体" w:cs="宋体"/>
          <w:color w:val="333333"/>
          <w:sz w:val="28"/>
          <w:szCs w:val="28"/>
          <w:shd w:val="clear" w:color="auto" w:fill="FFFFFF"/>
        </w:rPr>
      </w:pPr>
      <w:r>
        <w:rPr>
          <w:rFonts w:hint="eastAsia" w:ascii="宋体" w:hAnsi="宋体" w:cs="仿宋_GB2312"/>
          <w:color w:val="000000"/>
          <w:sz w:val="28"/>
          <w:szCs w:val="28"/>
        </w:rPr>
        <w:t>本单位</w:t>
      </w:r>
      <w:r>
        <w:rPr>
          <w:rFonts w:hint="eastAsia" w:ascii="宋体" w:hAnsi="宋体" w:cs="宋体"/>
          <w:color w:val="333333"/>
          <w:sz w:val="28"/>
          <w:szCs w:val="28"/>
        </w:rPr>
        <w:t>本年度三公经费无支出</w:t>
      </w:r>
      <w:r>
        <w:rPr>
          <w:rFonts w:hint="eastAsia" w:ascii="仿宋_GB2312" w:hAnsi="宋体" w:eastAsia="仿宋_GB2312" w:cs="宋体"/>
          <w:color w:val="333333"/>
          <w:sz w:val="28"/>
          <w:szCs w:val="28"/>
        </w:rPr>
        <w:t>。</w:t>
      </w:r>
      <w:r>
        <w:rPr>
          <w:rFonts w:hint="eastAsia" w:ascii="宋体" w:hAnsi="宋体" w:cs="宋体"/>
          <w:color w:val="333333"/>
          <w:sz w:val="28"/>
          <w:szCs w:val="28"/>
          <w:shd w:val="clear" w:color="auto" w:fill="FFFFFF"/>
        </w:rPr>
        <w:t>。</w:t>
      </w:r>
    </w:p>
    <w:p>
      <w:pPr>
        <w:pStyle w:val="7"/>
        <w:widowControl/>
        <w:spacing w:before="76" w:beforeAutospacing="0" w:after="76" w:afterAutospacing="0" w:line="450" w:lineRule="atLeast"/>
        <w:ind w:firstLine="281" w:firstLineChars="10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（三）关于机关运行经费支出说明</w:t>
      </w:r>
    </w:p>
    <w:p>
      <w:pPr>
        <w:shd w:val="clear" w:color="auto" w:fill="FFFFFF"/>
        <w:spacing w:line="360" w:lineRule="auto"/>
        <w:ind w:firstLine="700" w:firstLineChars="250"/>
        <w:rPr>
          <w:rFonts w:ascii="宋体" w:cs="仿宋"/>
          <w:bCs/>
          <w:color w:val="000000"/>
          <w:sz w:val="28"/>
          <w:szCs w:val="28"/>
        </w:rPr>
      </w:pPr>
      <w:r>
        <w:rPr>
          <w:rFonts w:hint="eastAsia" w:ascii="宋体" w:hAnsi="宋体" w:cs="仿宋"/>
          <w:bCs/>
          <w:color w:val="000000"/>
          <w:sz w:val="28"/>
          <w:szCs w:val="28"/>
        </w:rPr>
        <w:t>本单位机关运行经费本年支出</w:t>
      </w:r>
      <w:r>
        <w:rPr>
          <w:rFonts w:ascii="宋体" w:hAnsi="宋体" w:cs="仿宋"/>
          <w:bCs/>
          <w:color w:val="000000"/>
          <w:sz w:val="28"/>
          <w:szCs w:val="28"/>
        </w:rPr>
        <w:t>9.53</w:t>
      </w:r>
      <w:r>
        <w:rPr>
          <w:rFonts w:hint="eastAsia" w:ascii="宋体" w:hAnsi="宋体" w:cs="仿宋"/>
          <w:bCs/>
          <w:color w:val="000000"/>
          <w:sz w:val="28"/>
          <w:szCs w:val="28"/>
        </w:rPr>
        <w:t>万元，去年支出为</w:t>
      </w:r>
      <w:r>
        <w:rPr>
          <w:rFonts w:ascii="宋体" w:hAnsi="宋体" w:cs="仿宋"/>
          <w:bCs/>
          <w:color w:val="000000"/>
          <w:sz w:val="28"/>
          <w:szCs w:val="28"/>
        </w:rPr>
        <w:t>16.08</w:t>
      </w:r>
      <w:r>
        <w:rPr>
          <w:rFonts w:hint="eastAsia" w:ascii="宋体" w:hAnsi="宋体" w:cs="仿宋"/>
          <w:bCs/>
          <w:color w:val="000000"/>
          <w:sz w:val="28"/>
          <w:szCs w:val="28"/>
        </w:rPr>
        <w:t>万元，对比减少</w:t>
      </w:r>
      <w:r>
        <w:rPr>
          <w:rFonts w:ascii="宋体" w:hAnsi="宋体" w:cs="仿宋"/>
          <w:bCs/>
          <w:color w:val="000000"/>
          <w:sz w:val="28"/>
          <w:szCs w:val="28"/>
        </w:rPr>
        <w:t>6.55</w:t>
      </w:r>
      <w:r>
        <w:rPr>
          <w:rFonts w:hint="eastAsia" w:ascii="宋体" w:hAnsi="宋体" w:cs="仿宋"/>
          <w:bCs/>
          <w:color w:val="000000"/>
          <w:sz w:val="28"/>
          <w:szCs w:val="28"/>
        </w:rPr>
        <w:t>万元，主要原因为节约开支所致。</w:t>
      </w:r>
    </w:p>
    <w:p>
      <w:pPr>
        <w:pStyle w:val="7"/>
        <w:widowControl/>
        <w:spacing w:before="76" w:beforeAutospacing="0" w:after="76" w:afterAutospacing="0" w:line="450" w:lineRule="atLeast"/>
        <w:ind w:firstLine="560" w:firstLineChars="200"/>
        <w:rPr>
          <w:rFonts w:ascii="宋体" w:cs="宋体"/>
          <w:color w:val="333333"/>
          <w:sz w:val="28"/>
          <w:szCs w:val="28"/>
          <w:shd w:val="clear" w:color="auto" w:fill="FFFFFF"/>
        </w:rPr>
      </w:pPr>
    </w:p>
    <w:p>
      <w:pPr>
        <w:pStyle w:val="7"/>
        <w:widowControl/>
        <w:spacing w:before="76" w:beforeAutospacing="0" w:after="76" w:afterAutospacing="0" w:line="450" w:lineRule="atLeast"/>
        <w:ind w:firstLine="42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（四）关于政府采购支出说明</w:t>
      </w:r>
    </w:p>
    <w:p>
      <w:pPr>
        <w:pStyle w:val="16"/>
        <w:rPr>
          <w:rFonts w:ascii="宋体"/>
          <w:sz w:val="28"/>
          <w:szCs w:val="28"/>
        </w:rPr>
      </w:pPr>
      <w:r>
        <w:rPr>
          <w:rFonts w:hint="eastAsia" w:ascii="宋体" w:hAnsi="宋体" w:cs="仿宋"/>
          <w:bCs/>
          <w:sz w:val="28"/>
          <w:szCs w:val="28"/>
        </w:rPr>
        <w:t>本部门本年度无政府采购支出。</w:t>
      </w:r>
    </w:p>
    <w:p>
      <w:pPr>
        <w:pStyle w:val="7"/>
        <w:widowControl/>
        <w:spacing w:before="76" w:beforeAutospacing="0" w:after="76" w:afterAutospacing="0" w:line="450" w:lineRule="atLeast"/>
        <w:ind w:firstLine="281" w:firstLineChars="100"/>
        <w:rPr>
          <w:rFonts w:ascii="宋体" w:cs="宋体"/>
          <w:b/>
          <w:bCs/>
          <w:color w:val="333333"/>
          <w:sz w:val="28"/>
          <w:szCs w:val="28"/>
          <w:shd w:val="clear" w:color="auto" w:fill="FFFFFF"/>
        </w:rPr>
      </w:pPr>
      <w:r>
        <w:rPr>
          <w:rFonts w:hint="eastAsia" w:ascii="宋体" w:hAnsi="宋体" w:cs="宋体"/>
          <w:b/>
          <w:bCs/>
          <w:color w:val="333333"/>
          <w:sz w:val="28"/>
          <w:szCs w:val="28"/>
          <w:shd w:val="clear" w:color="auto" w:fill="FFFFFF"/>
        </w:rPr>
        <w:t>（五）关于国有资产占用情况说明</w:t>
      </w:r>
    </w:p>
    <w:p>
      <w:pPr>
        <w:pStyle w:val="16"/>
        <w:rPr>
          <w:rFonts w:hint="eastAsia" w:ascii="宋体" w:hAnsi="宋体"/>
          <w:sz w:val="28"/>
          <w:szCs w:val="28"/>
        </w:rPr>
      </w:pPr>
      <w:r>
        <w:rPr>
          <w:rFonts w:hint="eastAsia" w:ascii="宋体" w:hAnsi="宋体"/>
          <w:sz w:val="28"/>
          <w:szCs w:val="28"/>
        </w:rPr>
        <w:t>截至</w:t>
      </w:r>
      <w:r>
        <w:rPr>
          <w:rFonts w:ascii="宋体" w:hAnsi="宋体"/>
          <w:sz w:val="28"/>
          <w:szCs w:val="28"/>
        </w:rPr>
        <w:t>2019</w:t>
      </w:r>
      <w:r>
        <w:rPr>
          <w:rFonts w:hint="eastAsia" w:ascii="宋体" w:hAnsi="宋体"/>
          <w:sz w:val="28"/>
          <w:szCs w:val="28"/>
        </w:rPr>
        <w:t>年</w:t>
      </w:r>
      <w:r>
        <w:rPr>
          <w:rFonts w:ascii="宋体" w:hAnsi="宋体"/>
          <w:sz w:val="28"/>
          <w:szCs w:val="28"/>
        </w:rPr>
        <w:t>12</w:t>
      </w:r>
      <w:r>
        <w:rPr>
          <w:rFonts w:hint="eastAsia" w:ascii="宋体" w:hAnsi="宋体"/>
          <w:sz w:val="28"/>
          <w:szCs w:val="28"/>
        </w:rPr>
        <w:t>月</w:t>
      </w:r>
      <w:r>
        <w:rPr>
          <w:rFonts w:ascii="宋体" w:hAnsi="宋体"/>
          <w:sz w:val="28"/>
          <w:szCs w:val="28"/>
        </w:rPr>
        <w:t>31</w:t>
      </w:r>
      <w:r>
        <w:rPr>
          <w:rFonts w:hint="eastAsia" w:ascii="宋体" w:hAnsi="宋体"/>
          <w:sz w:val="28"/>
          <w:szCs w:val="28"/>
        </w:rPr>
        <w:t>日，本部门无公务用车。</w:t>
      </w:r>
    </w:p>
    <w:p>
      <w:pPr>
        <w:pStyle w:val="7"/>
        <w:widowControl/>
        <w:spacing w:before="76" w:beforeAutospacing="0" w:after="76" w:afterAutospacing="0" w:line="450" w:lineRule="atLeast"/>
        <w:ind w:firstLine="281" w:firstLineChars="100"/>
        <w:rPr>
          <w:rFonts w:hint="eastAsia" w:ascii="宋体" w:hAnsi="宋体" w:cs="宋体"/>
          <w:b/>
          <w:bCs/>
          <w:color w:val="333333"/>
          <w:sz w:val="28"/>
          <w:szCs w:val="28"/>
          <w:shd w:val="clear" w:color="auto" w:fill="FFFFFF"/>
          <w:lang w:val="en-US" w:eastAsia="zh-CN"/>
        </w:rPr>
      </w:pPr>
      <w:r>
        <w:rPr>
          <w:rFonts w:hint="eastAsia" w:ascii="宋体" w:hAnsi="宋体" w:cs="宋体"/>
          <w:b/>
          <w:bCs/>
          <w:color w:val="333333"/>
          <w:sz w:val="28"/>
          <w:szCs w:val="28"/>
          <w:shd w:val="clear" w:color="auto" w:fill="FFFFFF"/>
          <w:lang w:val="en-US" w:eastAsia="zh-CN"/>
        </w:rPr>
        <w:t>（六）重点绩效评价结果等预算绩效情况说明</w:t>
      </w:r>
    </w:p>
    <w:p>
      <w:pPr>
        <w:pStyle w:val="16"/>
        <w:rPr>
          <w:rFonts w:hint="eastAsia" w:ascii="宋体" w:hAnsi="宋体"/>
          <w:sz w:val="28"/>
          <w:szCs w:val="28"/>
          <w:lang w:eastAsia="zh-CN"/>
        </w:rPr>
      </w:pPr>
      <w:r>
        <w:rPr>
          <w:rFonts w:hint="eastAsia" w:ascii="宋体" w:hAnsi="宋体"/>
          <w:sz w:val="28"/>
          <w:szCs w:val="28"/>
          <w:lang w:val="en-US" w:eastAsia="zh-CN"/>
        </w:rPr>
        <w:t>2019年， 根据预算绩效管理要求，我单位组织2019年度一般公共预算项目支出全面开展绩效自评，共涉及项目1个，资金5万元。 2019年项目资金投入5万元，已使用5万元，使用率达100%。使用从评价结果看，项目立项程序完整、规范，预算执行及时、有效，绩效目标得</w:t>
      </w:r>
      <w:bookmarkStart w:id="0" w:name="_GoBack"/>
      <w:bookmarkEnd w:id="0"/>
      <w:r>
        <w:rPr>
          <w:rFonts w:hint="eastAsia" w:ascii="宋体" w:hAnsi="宋体"/>
          <w:sz w:val="28"/>
          <w:szCs w:val="28"/>
          <w:lang w:val="en-US" w:eastAsia="zh-CN"/>
        </w:rPr>
        <w:t>到较好实现，绩效管理水平不断提高，绩效指标体系建设逐渐丰富和完善。</w:t>
      </w:r>
    </w:p>
    <w:p>
      <w:pPr>
        <w:pStyle w:val="16"/>
        <w:rPr>
          <w:rFonts w:hint="eastAsia" w:ascii="宋体" w:hAnsi="宋体"/>
          <w:sz w:val="28"/>
          <w:szCs w:val="28"/>
        </w:rPr>
      </w:pPr>
    </w:p>
    <w:p>
      <w:pPr>
        <w:pStyle w:val="7"/>
        <w:widowControl/>
        <w:spacing w:beforeAutospacing="0" w:afterAutospacing="0" w:line="560" w:lineRule="exact"/>
        <w:rPr>
          <w:rFonts w:ascii="宋体" w:cs="宋体"/>
          <w:sz w:val="28"/>
          <w:szCs w:val="28"/>
        </w:rPr>
      </w:pPr>
    </w:p>
    <w:p>
      <w:pPr>
        <w:pStyle w:val="7"/>
        <w:widowControl/>
        <w:spacing w:beforeAutospacing="0" w:afterAutospacing="0" w:line="560" w:lineRule="exact"/>
        <w:rPr>
          <w:rFonts w:ascii="宋体" w:cs="宋体"/>
          <w:sz w:val="28"/>
          <w:szCs w:val="28"/>
        </w:rPr>
      </w:pPr>
    </w:p>
    <w:p>
      <w:pPr>
        <w:pStyle w:val="7"/>
        <w:widowControl/>
        <w:spacing w:beforeAutospacing="0" w:afterAutospacing="0" w:line="560" w:lineRule="exact"/>
        <w:rPr>
          <w:rFonts w:ascii="宋体" w:cs="宋体"/>
          <w:sz w:val="28"/>
          <w:szCs w:val="28"/>
        </w:rPr>
      </w:pPr>
    </w:p>
    <w:p>
      <w:pPr>
        <w:pStyle w:val="7"/>
        <w:widowControl/>
        <w:spacing w:beforeAutospacing="0" w:afterAutospacing="0" w:line="560" w:lineRule="exact"/>
        <w:rPr>
          <w:rFonts w:ascii="宋体" w:cs="宋体"/>
          <w:sz w:val="28"/>
          <w:szCs w:val="28"/>
        </w:rPr>
      </w:pPr>
    </w:p>
    <w:p>
      <w:pPr>
        <w:pStyle w:val="7"/>
        <w:widowControl/>
        <w:spacing w:beforeAutospacing="0" w:afterAutospacing="0" w:line="560" w:lineRule="exact"/>
        <w:rPr>
          <w:rFonts w:ascii="宋体" w:cs="宋体"/>
          <w:sz w:val="28"/>
          <w:szCs w:val="28"/>
        </w:rPr>
      </w:pPr>
    </w:p>
    <w:p>
      <w:pPr>
        <w:pStyle w:val="7"/>
        <w:widowControl/>
        <w:spacing w:before="76" w:beforeAutospacing="0" w:after="76" w:afterAutospacing="0" w:line="450" w:lineRule="atLeast"/>
        <w:ind w:firstLine="420"/>
        <w:rPr>
          <w:rFonts w:ascii="微软雅黑" w:hAnsi="微软雅黑" w:eastAsia="微软雅黑" w:cs="微软雅黑"/>
          <w:b/>
          <w:bCs/>
          <w:color w:val="333333"/>
        </w:rPr>
      </w:pPr>
      <w:r>
        <w:rPr>
          <w:rFonts w:ascii="微软雅黑" w:hAnsi="微软雅黑" w:eastAsia="微软雅黑" w:cs="微软雅黑"/>
          <w:b/>
          <w:bCs/>
        </w:rPr>
        <w:t xml:space="preserve"> </w:t>
      </w:r>
      <w:r>
        <w:rPr>
          <w:rStyle w:val="9"/>
          <w:rFonts w:hint="eastAsia" w:ascii="微软雅黑" w:hAnsi="微软雅黑" w:eastAsia="微软雅黑" w:cs="微软雅黑"/>
          <w:bCs/>
          <w:color w:val="333333"/>
          <w:shd w:val="clear" w:color="auto" w:fill="FFFFFF"/>
        </w:rPr>
        <w:t>第四部分</w:t>
      </w:r>
      <w:r>
        <w:rPr>
          <w:rStyle w:val="9"/>
          <w:rFonts w:ascii="微软雅黑" w:hAnsi="微软雅黑" w:eastAsia="微软雅黑" w:cs="微软雅黑"/>
          <w:bCs/>
          <w:color w:val="333333"/>
          <w:shd w:val="clear" w:color="auto" w:fill="FFFFFF"/>
        </w:rPr>
        <w:t xml:space="preserve"> </w:t>
      </w:r>
      <w:r>
        <w:rPr>
          <w:rStyle w:val="9"/>
          <w:rFonts w:hint="eastAsia" w:ascii="微软雅黑" w:hAnsi="微软雅黑" w:eastAsia="微软雅黑" w:cs="微软雅黑"/>
          <w:bCs/>
          <w:color w:val="333333"/>
          <w:shd w:val="clear" w:color="auto" w:fill="FFFFFF"/>
        </w:rPr>
        <w:t>名词解释</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一、财政补助收入：指县级财政当年拨付的资金。</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二、其他收入：指除“财政拨款收入”、“上级补助收入”、“事业收入”、“经营收入”等以外的收入。主要是存款利息收入等。</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三、年初结转和结余：指以前年度尚未完成、结转到本年按有关规定继续使用的资金。</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四、一般公共服务（类）行政运行（项）：指县行政单位及参照公务员管理事业单位用于保障机构正常运行、开展日常工作的基本支出。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六、一般公共服务（类）机关服务（项）：指县黄石港区妇联服务中心为机关提供办公楼日常维修、维护等后勤保障服务的支出。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七、一般公共服务（类）其他一般公共服务支出（款）其他一般公共服务支出（项）：指黄石港区妇联用于其他一般公共服务方面的支出。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八、教育（类）普通教育（款）高等教育（项）：指黄石港区妇联厅支持地方高校的重点发展和特色办学，组织专家对省属院校申报的建设规划和项目预算进行评审等相关工作的支出。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九、社会保障和就业</w:t>
      </w:r>
      <w:r>
        <w:rPr>
          <w:rFonts w:ascii="宋体" w:hAnsi="宋体" w:cs="宋体"/>
          <w:color w:val="333333"/>
          <w:sz w:val="28"/>
          <w:szCs w:val="28"/>
          <w:shd w:val="clear" w:color="auto" w:fill="FFFFFF"/>
        </w:rPr>
        <w:t>(</w:t>
      </w:r>
      <w:r>
        <w:rPr>
          <w:rFonts w:hint="eastAsia" w:ascii="宋体" w:hAnsi="宋体" w:cs="宋体"/>
          <w:color w:val="333333"/>
          <w:sz w:val="28"/>
          <w:szCs w:val="28"/>
          <w:shd w:val="clear" w:color="auto" w:fill="FFFFFF"/>
        </w:rPr>
        <w:t>类</w:t>
      </w:r>
      <w:r>
        <w:rPr>
          <w:rFonts w:ascii="宋体" w:hAnsi="宋体" w:cs="宋体"/>
          <w:color w:val="333333"/>
          <w:sz w:val="28"/>
          <w:szCs w:val="28"/>
          <w:shd w:val="clear" w:color="auto" w:fill="FFFFFF"/>
        </w:rPr>
        <w:t>)</w:t>
      </w:r>
      <w:r>
        <w:rPr>
          <w:rFonts w:hint="eastAsia" w:ascii="宋体" w:hAnsi="宋体" w:cs="宋体"/>
          <w:color w:val="333333"/>
          <w:sz w:val="28"/>
          <w:szCs w:val="28"/>
          <w:shd w:val="clear" w:color="auto" w:fill="FFFFFF"/>
        </w:rPr>
        <w:t>行政事业单位离退休（款）归口管理的行政单位离退休（项）：指黄石港区妇联用于离退休人员的支出、退休人员支出，以及提供管理服务工作的离退休干部处的支出。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十、社会保障和就业</w:t>
      </w:r>
      <w:r>
        <w:rPr>
          <w:rFonts w:ascii="宋体" w:hAnsi="宋体" w:cs="宋体"/>
          <w:color w:val="333333"/>
          <w:sz w:val="28"/>
          <w:szCs w:val="28"/>
          <w:shd w:val="clear" w:color="auto" w:fill="FFFFFF"/>
        </w:rPr>
        <w:t>(</w:t>
      </w:r>
      <w:r>
        <w:rPr>
          <w:rFonts w:hint="eastAsia" w:ascii="宋体" w:hAnsi="宋体" w:cs="宋体"/>
          <w:color w:val="333333"/>
          <w:sz w:val="28"/>
          <w:szCs w:val="28"/>
          <w:shd w:val="clear" w:color="auto" w:fill="FFFFFF"/>
        </w:rPr>
        <w:t>类</w:t>
      </w:r>
      <w:r>
        <w:rPr>
          <w:rFonts w:ascii="宋体" w:hAnsi="宋体" w:cs="宋体"/>
          <w:color w:val="333333"/>
          <w:sz w:val="28"/>
          <w:szCs w:val="28"/>
          <w:shd w:val="clear" w:color="auto" w:fill="FFFFFF"/>
        </w:rPr>
        <w:t>)</w:t>
      </w:r>
      <w:r>
        <w:rPr>
          <w:rFonts w:hint="eastAsia" w:ascii="宋体" w:hAnsi="宋体" w:cs="宋体"/>
          <w:color w:val="333333"/>
          <w:sz w:val="28"/>
          <w:szCs w:val="28"/>
          <w:shd w:val="clear" w:color="auto" w:fill="FFFFFF"/>
        </w:rPr>
        <w:t>行政事业单位离退休（款）其他行政事业单位离退休支出（项）：指黄石港区妇联用于离退休方面的其他支出。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十一、医疗卫生与计划生育（类）医疗保障（款）行政单位医疗（项）：指黄石港区妇联用于机关干部职工及离退休人员医疗方面的支出。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十二、住房保障（类）住房改革支出（款）购房补贴（项）：指按照相关住房分配货币化改革的政策规定和标准，对无房和住房未达标职工发放的住房分配货币化补贴资金。</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十三、年末结转和结余：指本年度或以前年度预算安排、因客观条件发生变化无法按原计划实施，需要延迟到以后年度按有关规定继续使用的资金。</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十四、基本支出：指为保障机构正常运转、完成日常工作任务而发生的人员支出（包括基本工资、津贴补贴等）和公用支出（包括办公费、水电费、邮电费、交通费、差旅费等）。</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十五、项目支出：指在基本支出之外为完成特定行政任务和事业发展目标所发生的支出。</w:t>
      </w:r>
    </w:p>
    <w:p>
      <w:pPr>
        <w:pStyle w:val="7"/>
        <w:widowControl/>
        <w:spacing w:before="76" w:beforeAutospacing="0" w:after="76" w:afterAutospacing="0" w:line="450" w:lineRule="atLeast"/>
        <w:ind w:firstLine="420"/>
        <w:rPr>
          <w:rFonts w:ascii="宋体" w:cs="宋体"/>
          <w:color w:val="333333"/>
          <w:sz w:val="28"/>
          <w:szCs w:val="28"/>
        </w:rPr>
      </w:pPr>
      <w:r>
        <w:rPr>
          <w:rFonts w:hint="eastAsia" w:ascii="宋体" w:hAnsi="宋体" w:cs="宋体"/>
          <w:color w:val="333333"/>
          <w:sz w:val="28"/>
          <w:szCs w:val="28"/>
          <w:shd w:val="clear" w:color="auto" w:fill="FFFFFF"/>
        </w:rPr>
        <w:t>十六、“三公”经费：是指用财政拨款安排的因公出国（境）费、公务用车购置及运行维护费、公务接待费。</w:t>
      </w:r>
    </w:p>
    <w:p>
      <w:pPr>
        <w:rPr>
          <w:rFonts w:ascii="宋体" w:cs="宋体"/>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EAA6F"/>
    <w:multiLevelType w:val="singleLevel"/>
    <w:tmpl w:val="51CEAA6F"/>
    <w:lvl w:ilvl="0" w:tentative="0">
      <w:start w:val="2"/>
      <w:numFmt w:val="chineseCounting"/>
      <w:suff w:val="nothing"/>
      <w:lvlText w:val="（%1）"/>
      <w:lvlJc w:val="left"/>
      <w:pPr>
        <w:ind w:left="28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D2"/>
    <w:rsid w:val="000802A7"/>
    <w:rsid w:val="00080D3B"/>
    <w:rsid w:val="00097917"/>
    <w:rsid w:val="000B1200"/>
    <w:rsid w:val="000C4D80"/>
    <w:rsid w:val="00131190"/>
    <w:rsid w:val="00170DD2"/>
    <w:rsid w:val="00196C10"/>
    <w:rsid w:val="00197A58"/>
    <w:rsid w:val="001B1AED"/>
    <w:rsid w:val="00203A55"/>
    <w:rsid w:val="00214019"/>
    <w:rsid w:val="00231659"/>
    <w:rsid w:val="0023530E"/>
    <w:rsid w:val="00253AE8"/>
    <w:rsid w:val="00260CAD"/>
    <w:rsid w:val="00317DE9"/>
    <w:rsid w:val="003755B4"/>
    <w:rsid w:val="003C766E"/>
    <w:rsid w:val="003F728D"/>
    <w:rsid w:val="004D4FD1"/>
    <w:rsid w:val="004F2605"/>
    <w:rsid w:val="00583A54"/>
    <w:rsid w:val="0059077F"/>
    <w:rsid w:val="006B05F9"/>
    <w:rsid w:val="006D3EAB"/>
    <w:rsid w:val="006D6E7A"/>
    <w:rsid w:val="006F1C98"/>
    <w:rsid w:val="00746A94"/>
    <w:rsid w:val="007817E9"/>
    <w:rsid w:val="007F2B2B"/>
    <w:rsid w:val="0081133D"/>
    <w:rsid w:val="00826C35"/>
    <w:rsid w:val="00881634"/>
    <w:rsid w:val="008F2E79"/>
    <w:rsid w:val="00914803"/>
    <w:rsid w:val="0097113B"/>
    <w:rsid w:val="009731EC"/>
    <w:rsid w:val="00A03566"/>
    <w:rsid w:val="00A07FB6"/>
    <w:rsid w:val="00A301CB"/>
    <w:rsid w:val="00A73EB1"/>
    <w:rsid w:val="00A770A0"/>
    <w:rsid w:val="00AE0C19"/>
    <w:rsid w:val="00B3672D"/>
    <w:rsid w:val="00B74B2C"/>
    <w:rsid w:val="00BA751A"/>
    <w:rsid w:val="00C46D24"/>
    <w:rsid w:val="00CA1FCA"/>
    <w:rsid w:val="00CC1016"/>
    <w:rsid w:val="00DD145B"/>
    <w:rsid w:val="00E602A3"/>
    <w:rsid w:val="00ED32C3"/>
    <w:rsid w:val="00EF7E83"/>
    <w:rsid w:val="00F225F2"/>
    <w:rsid w:val="00FA3DF1"/>
    <w:rsid w:val="00FB722C"/>
    <w:rsid w:val="0664587B"/>
    <w:rsid w:val="09FF39B4"/>
    <w:rsid w:val="10157CA5"/>
    <w:rsid w:val="10253966"/>
    <w:rsid w:val="11411182"/>
    <w:rsid w:val="13FA6E94"/>
    <w:rsid w:val="1DA72E01"/>
    <w:rsid w:val="219E41B4"/>
    <w:rsid w:val="25417524"/>
    <w:rsid w:val="255E033E"/>
    <w:rsid w:val="27390172"/>
    <w:rsid w:val="2CCE2491"/>
    <w:rsid w:val="2F081AB6"/>
    <w:rsid w:val="312D0D0E"/>
    <w:rsid w:val="401A2F36"/>
    <w:rsid w:val="457D21A1"/>
    <w:rsid w:val="507C1CF5"/>
    <w:rsid w:val="57193076"/>
    <w:rsid w:val="61773BFF"/>
    <w:rsid w:val="621B3808"/>
    <w:rsid w:val="67E4782B"/>
    <w:rsid w:val="72B959FA"/>
    <w:rsid w:val="735F6AA0"/>
    <w:rsid w:val="746766E2"/>
    <w:rsid w:val="74EA7B66"/>
    <w:rsid w:val="78186405"/>
    <w:rsid w:val="7A80107D"/>
    <w:rsid w:val="7AB8546C"/>
    <w:rsid w:val="7D417A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1"/>
    <w:qFormat/>
    <w:uiPriority w:val="99"/>
    <w:pPr>
      <w:spacing w:beforeAutospacing="1" w:afterAutospacing="1"/>
      <w:jc w:val="left"/>
      <w:outlineLvl w:val="4"/>
    </w:pPr>
    <w:rPr>
      <w:rFonts w:ascii="宋体" w:hAnsi="宋体"/>
      <w:b/>
      <w:kern w:val="0"/>
      <w:sz w:val="20"/>
      <w:szCs w:val="20"/>
    </w:rPr>
  </w:style>
  <w:style w:type="character" w:default="1" w:styleId="8">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2"/>
    <w:qFormat/>
    <w:uiPriority w:val="99"/>
    <w:pPr>
      <w:spacing w:line="500" w:lineRule="exact"/>
      <w:ind w:firstLine="640" w:firstLineChars="200"/>
    </w:pPr>
    <w:rPr>
      <w:rFonts w:ascii="宋体"/>
      <w:sz w:val="32"/>
    </w:rPr>
  </w:style>
  <w:style w:type="paragraph" w:styleId="4">
    <w:name w:val="Plain Text"/>
    <w:basedOn w:val="1"/>
    <w:link w:val="13"/>
    <w:qFormat/>
    <w:uiPriority w:val="99"/>
    <w:rPr>
      <w:rFonts w:ascii="宋体" w:hAnsi="Courier New" w:cs="Courier New"/>
      <w:szCs w:val="21"/>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9">
    <w:name w:val="Strong"/>
    <w:basedOn w:val="8"/>
    <w:qFormat/>
    <w:uiPriority w:val="99"/>
    <w:rPr>
      <w:rFonts w:cs="Times New Roman"/>
      <w:b/>
    </w:rPr>
  </w:style>
  <w:style w:type="character" w:customStyle="1" w:styleId="11">
    <w:name w:val="Heading 5 Char"/>
    <w:basedOn w:val="8"/>
    <w:link w:val="2"/>
    <w:semiHidden/>
    <w:qFormat/>
    <w:locked/>
    <w:uiPriority w:val="99"/>
    <w:rPr>
      <w:rFonts w:ascii="Calibri" w:hAnsi="Calibri" w:cs="Times New Roman"/>
      <w:b/>
      <w:bCs/>
      <w:sz w:val="28"/>
      <w:szCs w:val="28"/>
    </w:rPr>
  </w:style>
  <w:style w:type="character" w:customStyle="1" w:styleId="12">
    <w:name w:val="Body Text Indent Char"/>
    <w:basedOn w:val="8"/>
    <w:link w:val="3"/>
    <w:semiHidden/>
    <w:qFormat/>
    <w:locked/>
    <w:uiPriority w:val="99"/>
    <w:rPr>
      <w:rFonts w:ascii="Calibri" w:hAnsi="Calibri" w:cs="Times New Roman"/>
      <w:sz w:val="24"/>
      <w:szCs w:val="24"/>
    </w:rPr>
  </w:style>
  <w:style w:type="character" w:customStyle="1" w:styleId="13">
    <w:name w:val="Plain Text Char"/>
    <w:basedOn w:val="8"/>
    <w:link w:val="4"/>
    <w:semiHidden/>
    <w:qFormat/>
    <w:locked/>
    <w:uiPriority w:val="99"/>
    <w:rPr>
      <w:rFonts w:ascii="宋体" w:hAnsi="Courier New" w:cs="Courier New"/>
      <w:sz w:val="21"/>
      <w:szCs w:val="21"/>
    </w:rPr>
  </w:style>
  <w:style w:type="character" w:customStyle="1" w:styleId="14">
    <w:name w:val="Footer Char"/>
    <w:basedOn w:val="8"/>
    <w:link w:val="5"/>
    <w:semiHidden/>
    <w:qFormat/>
    <w:locked/>
    <w:uiPriority w:val="99"/>
    <w:rPr>
      <w:rFonts w:ascii="Calibri" w:hAnsi="Calibri" w:cs="Times New Roman"/>
      <w:sz w:val="18"/>
      <w:szCs w:val="18"/>
    </w:rPr>
  </w:style>
  <w:style w:type="character" w:customStyle="1" w:styleId="15">
    <w:name w:val="Header Char"/>
    <w:basedOn w:val="8"/>
    <w:link w:val="6"/>
    <w:semiHidden/>
    <w:qFormat/>
    <w:locked/>
    <w:uiPriority w:val="99"/>
    <w:rPr>
      <w:rFonts w:ascii="Calibri" w:hAnsi="Calibri" w:cs="Times New Roman"/>
      <w:sz w:val="18"/>
      <w:szCs w:val="18"/>
    </w:rPr>
  </w:style>
  <w:style w:type="paragraph" w:customStyle="1" w:styleId="16">
    <w:name w:val="正文缩进 + 首行缩进:  2 字符"/>
    <w:basedOn w:val="1"/>
    <w:qFormat/>
    <w:uiPriority w:val="99"/>
    <w:pPr>
      <w:spacing w:line="560" w:lineRule="exact"/>
      <w:ind w:firstLine="640"/>
    </w:pPr>
    <w:rPr>
      <w:rFonts w:ascii="仿宋" w:hAnsi="仿宋" w:cs="宋体"/>
      <w:sz w:val="32"/>
      <w:szCs w:val="32"/>
    </w:rPr>
  </w:style>
  <w:style w:type="character" w:customStyle="1" w:styleId="17">
    <w:name w:val="ca-2"/>
    <w:basedOn w:val="8"/>
    <w:qFormat/>
    <w:uiPriority w:val="99"/>
    <w:rPr>
      <w:rFonts w:cs="Times New Roman"/>
    </w:rPr>
  </w:style>
  <w:style w:type="paragraph" w:customStyle="1" w:styleId="18">
    <w:name w:val="Normal (Web)1"/>
    <w:basedOn w:val="1"/>
    <w:qFormat/>
    <w:uiPriority w:val="99"/>
    <w:pPr>
      <w:widowControl/>
      <w:spacing w:before="100" w:beforeAutospacing="1" w:after="100" w:afterAutospacing="1"/>
      <w:jc w:val="left"/>
    </w:pPr>
    <w:rPr>
      <w:rFonts w:ascii="宋体" w:hAnsi="宋体" w:cs="宋体"/>
      <w:kern w:val="0"/>
      <w:sz w:val="24"/>
    </w:rPr>
  </w:style>
  <w:style w:type="character" w:customStyle="1" w:styleId="19">
    <w:name w:val="ca-3"/>
    <w:basedOn w:val="8"/>
    <w:qFormat/>
    <w:uiPriority w:val="99"/>
    <w:rPr>
      <w:rFonts w:cs="Times New Roman"/>
    </w:rPr>
  </w:style>
  <w:style w:type="character" w:customStyle="1" w:styleId="20">
    <w:name w:val="apple-converted-space"/>
    <w:basedOn w:val="8"/>
    <w:qFormat/>
    <w:uiPriority w:val="99"/>
    <w:rPr>
      <w:rFonts w:cs="Times New Roman"/>
    </w:rPr>
  </w:style>
  <w:style w:type="paragraph" w:customStyle="1" w:styleId="21">
    <w:name w:val="pa-1"/>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17</Pages>
  <Words>1200</Words>
  <Characters>6845</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2021-05-26T06:56:44Z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