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房征局</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黄石港区房征局</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widowControl/>
        <w:shd w:val="clear" w:color="auto" w:fill="FFFFFF"/>
        <w:jc w:val="left"/>
        <w:rPr>
          <w:rFonts w:hint="eastAsia" w:ascii="宋体" w:hAnsi="宋体"/>
          <w:b/>
          <w:sz w:val="28"/>
          <w:szCs w:val="28"/>
        </w:rPr>
      </w:pPr>
      <w:r>
        <w:rPr>
          <w:rFonts w:hint="eastAsia" w:ascii="宋体" w:hAnsi="宋体" w:cs="宋体"/>
          <w:color w:val="333333"/>
          <w:kern w:val="0"/>
          <w:sz w:val="24"/>
        </w:rPr>
        <w:t>　</w:t>
      </w:r>
      <w:r>
        <w:rPr>
          <w:rFonts w:hint="eastAsia" w:ascii="仿宋_GB2312" w:eastAsia="仿宋_GB2312"/>
          <w:sz w:val="27"/>
          <w:szCs w:val="27"/>
        </w:rPr>
        <w:t>（一）</w:t>
      </w:r>
      <w:r>
        <w:rPr>
          <w:rFonts w:hint="eastAsia" w:ascii="宋体" w:hAnsi="宋体"/>
          <w:b/>
          <w:sz w:val="28"/>
          <w:szCs w:val="28"/>
        </w:rPr>
        <w:t xml:space="preserve"> 部门职责</w:t>
      </w:r>
    </w:p>
    <w:p>
      <w:pPr>
        <w:overflowPunct w:val="0"/>
        <w:spacing w:line="560" w:lineRule="exact"/>
        <w:ind w:firstLine="560" w:firstLineChars="200"/>
        <w:jc w:val="left"/>
        <w:rPr>
          <w:rFonts w:hint="eastAsia"/>
          <w:color w:val="333333"/>
          <w:sz w:val="28"/>
          <w:szCs w:val="28"/>
        </w:rPr>
      </w:pPr>
      <w:r>
        <w:rPr>
          <w:rFonts w:hint="eastAsia"/>
          <w:color w:val="333333"/>
          <w:sz w:val="28"/>
          <w:szCs w:val="28"/>
        </w:rPr>
        <w:t>我局主要职责是：宣传、贯彻、执行国家及省、市有关住房保障、房屋征收与补偿的方针、政策和法律法规；负责辖区内住房保障和房屋征收的计划管理；负责建立和完善住房保障体系，推进公共租赁住房建设；负责协调组织社区对危旧房、城中村、棚改区改造项目的民意调查、房屋调查等级工作等。</w:t>
      </w:r>
    </w:p>
    <w:p>
      <w:pPr>
        <w:widowControl/>
        <w:spacing w:before="100" w:beforeAutospacing="1" w:after="100" w:afterAutospacing="1" w:line="408" w:lineRule="auto"/>
        <w:ind w:firstLine="405" w:firstLineChars="150"/>
        <w:jc w:val="left"/>
        <w:rPr>
          <w:rFonts w:hint="eastAsia" w:ascii="宋体" w:hAnsi="宋体"/>
          <w:b/>
          <w:sz w:val="28"/>
          <w:szCs w:val="28"/>
        </w:rPr>
      </w:pPr>
      <w:r>
        <w:rPr>
          <w:rFonts w:hint="eastAsia" w:ascii="仿宋_GB2312" w:eastAsia="仿宋_GB2312"/>
          <w:sz w:val="27"/>
          <w:szCs w:val="27"/>
        </w:rPr>
        <w:t>（二）</w:t>
      </w:r>
      <w:r>
        <w:rPr>
          <w:rFonts w:hint="eastAsia" w:ascii="宋体" w:hAnsi="宋体"/>
          <w:b/>
          <w:sz w:val="28"/>
          <w:szCs w:val="28"/>
        </w:rPr>
        <w:t xml:space="preserve"> 机构设置  </w:t>
      </w:r>
    </w:p>
    <w:p>
      <w:pPr>
        <w:widowControl/>
        <w:spacing w:before="100" w:beforeAutospacing="1" w:after="100" w:afterAutospacing="1" w:line="408" w:lineRule="auto"/>
        <w:ind w:firstLine="620"/>
        <w:jc w:val="left"/>
        <w:rPr>
          <w:rFonts w:hint="eastAsia"/>
          <w:color w:val="333333"/>
          <w:sz w:val="28"/>
          <w:szCs w:val="28"/>
        </w:rPr>
      </w:pPr>
      <w:r>
        <w:rPr>
          <w:rFonts w:hint="eastAsia"/>
          <w:color w:val="333333"/>
          <w:sz w:val="28"/>
          <w:szCs w:val="28"/>
        </w:rPr>
        <w:t>我局是负责全区住房保障、房屋征收及老楼危房管理的工作部门；局机关内设6个职能科室（党政办公室、前期科、征收科、保障科、房屋安全管理科、财务核算科），现有在职在编人员12人，实际行政编制5名，事业编制7名。</w:t>
      </w: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6026785" cy="5268595"/>
            <wp:effectExtent l="0" t="0" r="12065" b="8255"/>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pic:cNvPicPr>
                      <a:picLocks noChangeAspect="1"/>
                    </pic:cNvPicPr>
                  </pic:nvPicPr>
                  <pic:blipFill>
                    <a:blip r:embed="rId4"/>
                    <a:stretch>
                      <a:fillRect/>
                    </a:stretch>
                  </pic:blipFill>
                  <pic:spPr>
                    <a:xfrm>
                      <a:off x="0" y="0"/>
                      <a:ext cx="6026785" cy="5268595"/>
                    </a:xfrm>
                    <a:prstGeom prst="rect">
                      <a:avLst/>
                    </a:prstGeom>
                    <a:noFill/>
                    <a:ln w="9525">
                      <a:noFill/>
                    </a:ln>
                  </pic:spPr>
                </pic:pic>
              </a:graphicData>
            </a:graphic>
          </wp:inline>
        </w:drawing>
      </w:r>
      <w:r>
        <w:drawing>
          <wp:inline distT="0" distB="0" distL="114300" distR="114300">
            <wp:extent cx="8862695" cy="1991360"/>
            <wp:effectExtent l="0" t="0" r="14605" b="8890"/>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pic:cNvPicPr>
                      <a:picLocks noChangeAspect="1"/>
                    </pic:cNvPicPr>
                  </pic:nvPicPr>
                  <pic:blipFill>
                    <a:blip r:embed="rId5"/>
                    <a:stretch>
                      <a:fillRect/>
                    </a:stretch>
                  </pic:blipFill>
                  <pic:spPr>
                    <a:xfrm>
                      <a:off x="0" y="0"/>
                      <a:ext cx="8862695" cy="1991360"/>
                    </a:xfrm>
                    <a:prstGeom prst="rect">
                      <a:avLst/>
                    </a:prstGeom>
                    <a:noFill/>
                    <a:ln w="9525">
                      <a:noFill/>
                    </a:ln>
                  </pic:spPr>
                </pic:pic>
              </a:graphicData>
            </a:graphic>
          </wp:inline>
        </w:drawing>
      </w:r>
      <w:r>
        <w:drawing>
          <wp:inline distT="0" distB="0" distL="114300" distR="114300">
            <wp:extent cx="8856345" cy="2442210"/>
            <wp:effectExtent l="0" t="0" r="1905" b="1524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pic:cNvPicPr>
                      <a:picLocks noChangeAspect="1"/>
                    </pic:cNvPicPr>
                  </pic:nvPicPr>
                  <pic:blipFill>
                    <a:blip r:embed="rId6"/>
                    <a:stretch>
                      <a:fillRect/>
                    </a:stretch>
                  </pic:blipFill>
                  <pic:spPr>
                    <a:xfrm>
                      <a:off x="0" y="0"/>
                      <a:ext cx="8856345" cy="2442210"/>
                    </a:xfrm>
                    <a:prstGeom prst="rect">
                      <a:avLst/>
                    </a:prstGeom>
                    <a:noFill/>
                    <a:ln w="9525">
                      <a:noFill/>
                    </a:ln>
                  </pic:spPr>
                </pic:pic>
              </a:graphicData>
            </a:graphic>
          </wp:inline>
        </w:drawing>
      </w:r>
      <w:r>
        <w:drawing>
          <wp:inline distT="0" distB="0" distL="114300" distR="114300">
            <wp:extent cx="6467475" cy="5105400"/>
            <wp:effectExtent l="0" t="0" r="9525" b="0"/>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pic:cNvPicPr>
                      <a:picLocks noChangeAspect="1"/>
                    </pic:cNvPicPr>
                  </pic:nvPicPr>
                  <pic:blipFill>
                    <a:blip r:embed="rId7"/>
                    <a:stretch>
                      <a:fillRect/>
                    </a:stretch>
                  </pic:blipFill>
                  <pic:spPr>
                    <a:xfrm>
                      <a:off x="0" y="0"/>
                      <a:ext cx="6467475" cy="5105400"/>
                    </a:xfrm>
                    <a:prstGeom prst="rect">
                      <a:avLst/>
                    </a:prstGeom>
                    <a:noFill/>
                    <a:ln w="9525">
                      <a:noFill/>
                    </a:ln>
                  </pic:spPr>
                </pic:pic>
              </a:graphicData>
            </a:graphic>
          </wp:inline>
        </w:drawing>
      </w:r>
      <w:r>
        <w:drawing>
          <wp:inline distT="0" distB="0" distL="114300" distR="114300">
            <wp:extent cx="5953125" cy="2857500"/>
            <wp:effectExtent l="0" t="0" r="9525" b="0"/>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pic:cNvPicPr>
                      <a:picLocks noChangeAspect="1"/>
                    </pic:cNvPicPr>
                  </pic:nvPicPr>
                  <pic:blipFill>
                    <a:blip r:embed="rId8"/>
                    <a:stretch>
                      <a:fillRect/>
                    </a:stretch>
                  </pic:blipFill>
                  <pic:spPr>
                    <a:xfrm>
                      <a:off x="0" y="0"/>
                      <a:ext cx="5953125" cy="2857500"/>
                    </a:xfrm>
                    <a:prstGeom prst="rect">
                      <a:avLst/>
                    </a:prstGeom>
                    <a:noFill/>
                    <a:ln w="9525">
                      <a:noFill/>
                    </a:ln>
                  </pic:spPr>
                </pic:pic>
              </a:graphicData>
            </a:graphic>
          </wp:inline>
        </w:drawing>
      </w:r>
      <w:r>
        <w:drawing>
          <wp:inline distT="0" distB="0" distL="114300" distR="114300">
            <wp:extent cx="8855075" cy="5044440"/>
            <wp:effectExtent l="0" t="0" r="3175" b="3810"/>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pic:cNvPicPr>
                      <a:picLocks noChangeAspect="1"/>
                    </pic:cNvPicPr>
                  </pic:nvPicPr>
                  <pic:blipFill>
                    <a:blip r:embed="rId9"/>
                    <a:stretch>
                      <a:fillRect/>
                    </a:stretch>
                  </pic:blipFill>
                  <pic:spPr>
                    <a:xfrm>
                      <a:off x="0" y="0"/>
                      <a:ext cx="8855075" cy="5044440"/>
                    </a:xfrm>
                    <a:prstGeom prst="rect">
                      <a:avLst/>
                    </a:prstGeom>
                    <a:noFill/>
                    <a:ln w="9525">
                      <a:noFill/>
                    </a:ln>
                  </pic:spPr>
                </pic:pic>
              </a:graphicData>
            </a:graphic>
          </wp:inline>
        </w:drawing>
      </w:r>
      <w:r>
        <w:drawing>
          <wp:inline distT="0" distB="0" distL="114300" distR="114300">
            <wp:extent cx="8857615" cy="1831975"/>
            <wp:effectExtent l="0" t="0" r="635" b="15875"/>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spect="1"/>
                    </pic:cNvPicPr>
                  </pic:nvPicPr>
                  <pic:blipFill>
                    <a:blip r:embed="rId10"/>
                    <a:stretch>
                      <a:fillRect/>
                    </a:stretch>
                  </pic:blipFill>
                  <pic:spPr>
                    <a:xfrm>
                      <a:off x="0" y="0"/>
                      <a:ext cx="8857615" cy="1831975"/>
                    </a:xfrm>
                    <a:prstGeom prst="rect">
                      <a:avLst/>
                    </a:prstGeom>
                    <a:noFill/>
                    <a:ln w="9525">
                      <a:noFill/>
                    </a:ln>
                  </pic:spPr>
                </pic:pic>
              </a:graphicData>
            </a:graphic>
          </wp:inline>
        </w:drawing>
      </w:r>
      <w:r>
        <w:drawing>
          <wp:inline distT="0" distB="0" distL="114300" distR="114300">
            <wp:extent cx="8858885" cy="2305685"/>
            <wp:effectExtent l="0" t="0" r="18415" b="18415"/>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pic:cNvPicPr>
                      <a:picLocks noChangeAspect="1"/>
                    </pic:cNvPicPr>
                  </pic:nvPicPr>
                  <pic:blipFill>
                    <a:blip r:embed="rId11"/>
                    <a:stretch>
                      <a:fillRect/>
                    </a:stretch>
                  </pic:blipFill>
                  <pic:spPr>
                    <a:xfrm>
                      <a:off x="0" y="0"/>
                      <a:ext cx="8858885" cy="230568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widowControl/>
        <w:spacing w:before="100" w:beforeAutospacing="1" w:after="100" w:afterAutospacing="1" w:line="408" w:lineRule="auto"/>
        <w:ind w:firstLine="405" w:firstLineChars="150"/>
        <w:jc w:val="left"/>
        <w:rPr>
          <w:rFonts w:hint="eastAsia" w:ascii="仿宋_GB2312" w:eastAsia="仿宋_GB2312"/>
          <w:sz w:val="27"/>
          <w:szCs w:val="27"/>
        </w:rPr>
      </w:pPr>
      <w:r>
        <w:rPr>
          <w:rFonts w:hint="eastAsia" w:ascii="仿宋_GB2312" w:eastAsia="仿宋_GB2312"/>
          <w:sz w:val="27"/>
          <w:szCs w:val="27"/>
        </w:rPr>
        <w:t>（一）预算执行情况分析</w:t>
      </w:r>
    </w:p>
    <w:p>
      <w:pPr>
        <w:widowControl/>
        <w:shd w:val="clear" w:color="auto" w:fill="FFFFFF"/>
        <w:ind w:firstLine="480"/>
        <w:jc w:val="left"/>
        <w:rPr>
          <w:rFonts w:hint="eastAsia" w:ascii="仿宋_GB2312" w:eastAsia="仿宋_GB2312"/>
          <w:sz w:val="32"/>
          <w:szCs w:val="32"/>
        </w:rPr>
      </w:pPr>
      <w:r>
        <w:rPr>
          <w:sz w:val="32"/>
          <w:szCs w:val="32"/>
        </w:rPr>
        <w:t>2017年财政拨款收入共计</w:t>
      </w:r>
      <w:r>
        <w:rPr>
          <w:rFonts w:hint="eastAsia"/>
          <w:sz w:val="32"/>
          <w:szCs w:val="32"/>
        </w:rPr>
        <w:t>204.52</w:t>
      </w:r>
      <w:r>
        <w:rPr>
          <w:sz w:val="32"/>
          <w:szCs w:val="32"/>
        </w:rPr>
        <w:t>万元，较年初预算数</w:t>
      </w:r>
      <w:r>
        <w:rPr>
          <w:rFonts w:hint="eastAsia"/>
          <w:sz w:val="32"/>
          <w:szCs w:val="32"/>
        </w:rPr>
        <w:t>114.17</w:t>
      </w:r>
      <w:r>
        <w:rPr>
          <w:sz w:val="32"/>
          <w:szCs w:val="32"/>
        </w:rPr>
        <w:t>万元提高</w:t>
      </w:r>
      <w:r>
        <w:rPr>
          <w:rFonts w:hint="eastAsia"/>
          <w:sz w:val="32"/>
          <w:szCs w:val="32"/>
        </w:rPr>
        <w:t>90.35</w:t>
      </w:r>
      <w:r>
        <w:rPr>
          <w:sz w:val="32"/>
          <w:szCs w:val="32"/>
        </w:rPr>
        <w:t>万元，提高</w:t>
      </w:r>
      <w:r>
        <w:rPr>
          <w:rFonts w:hint="eastAsia"/>
          <w:sz w:val="32"/>
          <w:szCs w:val="32"/>
        </w:rPr>
        <w:t>79</w:t>
      </w:r>
      <w:r>
        <w:rPr>
          <w:sz w:val="32"/>
          <w:szCs w:val="32"/>
        </w:rPr>
        <w:t>%。较上年</w:t>
      </w:r>
      <w:r>
        <w:rPr>
          <w:rFonts w:hint="eastAsia"/>
          <w:sz w:val="32"/>
          <w:szCs w:val="32"/>
        </w:rPr>
        <w:t>82.53</w:t>
      </w:r>
      <w:r>
        <w:rPr>
          <w:sz w:val="32"/>
          <w:szCs w:val="32"/>
        </w:rPr>
        <w:t>万元提高</w:t>
      </w:r>
      <w:r>
        <w:rPr>
          <w:rFonts w:hint="eastAsia"/>
          <w:sz w:val="32"/>
          <w:szCs w:val="32"/>
        </w:rPr>
        <w:t>31.64</w:t>
      </w:r>
      <w:r>
        <w:rPr>
          <w:sz w:val="32"/>
          <w:szCs w:val="32"/>
        </w:rPr>
        <w:t>万元，同比上升</w:t>
      </w:r>
      <w:r>
        <w:rPr>
          <w:rFonts w:hint="eastAsia"/>
          <w:sz w:val="32"/>
          <w:szCs w:val="32"/>
        </w:rPr>
        <w:t>38.33</w:t>
      </w:r>
      <w:r>
        <w:rPr>
          <w:sz w:val="32"/>
          <w:szCs w:val="32"/>
        </w:rPr>
        <w:t>%，由于本年度增资、上级加大转移支付用于职工工资福利支出等方面。财政拨款总支出</w:t>
      </w:r>
      <w:r>
        <w:rPr>
          <w:rFonts w:hint="eastAsia"/>
          <w:sz w:val="32"/>
          <w:szCs w:val="32"/>
        </w:rPr>
        <w:t>204.52</w:t>
      </w:r>
      <w:r>
        <w:rPr>
          <w:sz w:val="32"/>
          <w:szCs w:val="32"/>
        </w:rPr>
        <w:t>万元</w:t>
      </w:r>
      <w:r>
        <w:rPr>
          <w:rFonts w:hint="eastAsia"/>
          <w:sz w:val="32"/>
          <w:szCs w:val="32"/>
        </w:rPr>
        <w:t>。工资福利支出109.47万元同比上升44.8%；</w:t>
      </w:r>
      <w:r>
        <w:rPr>
          <w:sz w:val="32"/>
          <w:szCs w:val="32"/>
        </w:rPr>
        <w:t>由于本年度提高绩效工资福利和晋级调资等造成。培训支出</w:t>
      </w:r>
      <w:r>
        <w:rPr>
          <w:rFonts w:hint="eastAsia"/>
          <w:sz w:val="32"/>
          <w:szCs w:val="32"/>
        </w:rPr>
        <w:t>0.21</w:t>
      </w:r>
      <w:r>
        <w:rPr>
          <w:sz w:val="32"/>
          <w:szCs w:val="32"/>
        </w:rPr>
        <w:t>万元；机关事业单位养老保险和职业年金</w:t>
      </w:r>
      <w:r>
        <w:rPr>
          <w:rFonts w:hint="eastAsia"/>
          <w:sz w:val="32"/>
          <w:szCs w:val="32"/>
        </w:rPr>
        <w:t>及</w:t>
      </w:r>
      <w:r>
        <w:rPr>
          <w:sz w:val="32"/>
          <w:szCs w:val="32"/>
        </w:rPr>
        <w:t>单位医疗支出</w:t>
      </w:r>
      <w:r>
        <w:rPr>
          <w:rFonts w:hint="eastAsia"/>
          <w:sz w:val="32"/>
          <w:szCs w:val="32"/>
        </w:rPr>
        <w:t>19.04</w:t>
      </w:r>
      <w:r>
        <w:rPr>
          <w:sz w:val="32"/>
          <w:szCs w:val="32"/>
        </w:rPr>
        <w:t>万元同比上升</w:t>
      </w:r>
      <w:r>
        <w:rPr>
          <w:rFonts w:hint="eastAsia"/>
          <w:sz w:val="32"/>
          <w:szCs w:val="32"/>
        </w:rPr>
        <w:t>65.8</w:t>
      </w:r>
      <w:r>
        <w:rPr>
          <w:sz w:val="32"/>
          <w:szCs w:val="32"/>
        </w:rPr>
        <w:t>5%；住房公积金支出</w:t>
      </w:r>
      <w:r>
        <w:rPr>
          <w:rFonts w:hint="eastAsia"/>
          <w:sz w:val="32"/>
          <w:szCs w:val="32"/>
        </w:rPr>
        <w:t>15.67</w:t>
      </w:r>
      <w:r>
        <w:rPr>
          <w:sz w:val="32"/>
          <w:szCs w:val="32"/>
        </w:rPr>
        <w:t>万元同比上升</w:t>
      </w:r>
      <w:r>
        <w:rPr>
          <w:rFonts w:hint="eastAsia"/>
          <w:sz w:val="32"/>
          <w:szCs w:val="32"/>
        </w:rPr>
        <w:t>32.45%。</w:t>
      </w:r>
    </w:p>
    <w:p>
      <w:pPr>
        <w:widowControl/>
        <w:shd w:val="clear" w:color="auto" w:fill="FFFFFF"/>
        <w:ind w:firstLine="480"/>
        <w:jc w:val="left"/>
        <w:rPr>
          <w:rFonts w:hint="eastAsia"/>
          <w:sz w:val="32"/>
          <w:szCs w:val="32"/>
        </w:rPr>
      </w:pPr>
      <w:r>
        <w:rPr>
          <w:sz w:val="32"/>
          <w:szCs w:val="32"/>
        </w:rPr>
        <w:t>本单位无政府性基金收入，也没有使用政府性基金安排的支出，故公开政府性基金预算财政拨款收入支出决算表无数据。</w:t>
      </w:r>
    </w:p>
    <w:p>
      <w:pPr>
        <w:widowControl/>
        <w:spacing w:before="100" w:beforeAutospacing="1" w:after="100" w:afterAutospacing="1" w:line="408" w:lineRule="auto"/>
        <w:ind w:firstLine="405" w:firstLineChars="150"/>
        <w:jc w:val="left"/>
        <w:rPr>
          <w:rFonts w:hint="eastAsia" w:ascii="仿宋_GB2312" w:eastAsia="仿宋_GB2312"/>
          <w:sz w:val="27"/>
          <w:szCs w:val="27"/>
        </w:rPr>
      </w:pPr>
      <w:r>
        <w:rPr>
          <w:rFonts w:hint="eastAsia" w:ascii="仿宋_GB2312" w:eastAsia="仿宋_GB2312"/>
          <w:sz w:val="27"/>
          <w:szCs w:val="27"/>
        </w:rPr>
        <w:t>（二）关于“三公”经费支出说明</w:t>
      </w:r>
    </w:p>
    <w:p>
      <w:pPr>
        <w:pStyle w:val="9"/>
        <w:ind w:firstLine="480" w:firstLineChars="150"/>
        <w:rPr>
          <w:rFonts w:hint="eastAsia" w:ascii="Times New Roman" w:hAnsi="Times New Roman" w:cs="Times New Roman"/>
        </w:rPr>
      </w:pPr>
      <w:r>
        <w:rPr>
          <w:rFonts w:ascii="Times New Roman" w:hAnsi="Times New Roman" w:cs="Times New Roman"/>
        </w:rPr>
        <w:t>2017年年末“三公”经费开支决算支出总额为</w:t>
      </w:r>
      <w:r>
        <w:rPr>
          <w:rFonts w:hint="eastAsia" w:ascii="Times New Roman" w:hAnsi="Times New Roman" w:cs="Times New Roman"/>
        </w:rPr>
        <w:t>0 。</w:t>
      </w:r>
    </w:p>
    <w:p>
      <w:pPr>
        <w:widowControl/>
        <w:spacing w:before="100" w:beforeAutospacing="1" w:after="100" w:afterAutospacing="1" w:line="408" w:lineRule="auto"/>
        <w:ind w:firstLine="405" w:firstLineChars="150"/>
        <w:jc w:val="left"/>
        <w:rPr>
          <w:rFonts w:hint="eastAsia" w:ascii="仿宋_GB2312" w:eastAsia="仿宋_GB2312"/>
          <w:sz w:val="27"/>
          <w:szCs w:val="27"/>
        </w:rPr>
      </w:pPr>
      <w:r>
        <w:rPr>
          <w:rFonts w:hint="eastAsia" w:ascii="仿宋_GB2312" w:eastAsia="仿宋_GB2312"/>
          <w:sz w:val="27"/>
          <w:szCs w:val="27"/>
        </w:rPr>
        <w:t>（三）关于机关运行经费支出说明</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本单位2017年度机关运行经费支出17.88万元（与部门决算中行政单位和参照公务员法管理事业单位一般公共预算财政拨款基本支出中公用经费之和保持一致），</w:t>
      </w:r>
      <w:r>
        <w:rPr>
          <w:sz w:val="32"/>
          <w:szCs w:val="32"/>
        </w:rPr>
        <w:t>同比</w:t>
      </w:r>
      <w:r>
        <w:rPr>
          <w:rFonts w:hint="eastAsia"/>
          <w:sz w:val="32"/>
          <w:szCs w:val="32"/>
        </w:rPr>
        <w:t>2016年下降48.41</w:t>
      </w:r>
      <w:r>
        <w:rPr>
          <w:sz w:val="32"/>
          <w:szCs w:val="32"/>
        </w:rPr>
        <w:t>%，</w:t>
      </w:r>
      <w:r>
        <w:rPr>
          <w:rFonts w:hint="eastAsia"/>
          <w:sz w:val="32"/>
          <w:szCs w:val="32"/>
        </w:rPr>
        <w:t>实际办公费1.68万元，水费 0.04万元，电费0.57万元，邮电费1.9万元，其他交通费5.5万元等</w:t>
      </w:r>
      <w:r>
        <w:rPr>
          <w:rFonts w:ascii="仿宋_GB2312" w:eastAsia="仿宋_GB2312"/>
          <w:sz w:val="27"/>
          <w:szCs w:val="27"/>
        </w:rPr>
        <w:t>其他费用</w:t>
      </w:r>
      <w:r>
        <w:rPr>
          <w:rFonts w:hint="eastAsia"/>
          <w:sz w:val="32"/>
          <w:szCs w:val="32"/>
        </w:rPr>
        <w:t>。</w:t>
      </w:r>
      <w:r>
        <w:rPr>
          <w:rFonts w:hint="eastAsia" w:ascii="方正仿宋_GBK" w:eastAsia="方正仿宋_GBK"/>
          <w:color w:val="000000"/>
          <w:sz w:val="32"/>
          <w:szCs w:val="32"/>
          <w:shd w:val="clear" w:color="auto" w:fill="FFFFFF"/>
        </w:rPr>
        <w:t>主要是单位厉行节约，减少办公用品开支等</w:t>
      </w:r>
      <w:r>
        <w:rPr>
          <w:rFonts w:hint="eastAsia" w:ascii="仿宋_GB2312" w:eastAsia="仿宋_GB2312"/>
          <w:sz w:val="27"/>
          <w:szCs w:val="27"/>
        </w:rPr>
        <w:t>。</w:t>
      </w:r>
    </w:p>
    <w:p>
      <w:pPr>
        <w:widowControl/>
        <w:spacing w:before="100" w:beforeAutospacing="1" w:after="100" w:afterAutospacing="1" w:line="408" w:lineRule="auto"/>
        <w:ind w:firstLine="405" w:firstLineChars="150"/>
        <w:jc w:val="left"/>
        <w:rPr>
          <w:rFonts w:hint="eastAsia" w:ascii="仿宋_GB2312" w:eastAsia="仿宋_GB2312"/>
          <w:sz w:val="27"/>
          <w:szCs w:val="27"/>
        </w:rPr>
      </w:pPr>
      <w:r>
        <w:rPr>
          <w:rFonts w:hint="eastAsia" w:ascii="仿宋_GB2312" w:eastAsia="仿宋_GB2312"/>
          <w:sz w:val="27"/>
          <w:szCs w:val="27"/>
        </w:rPr>
        <w:t>（四）关于政府采购支出说明</w:t>
      </w:r>
    </w:p>
    <w:p>
      <w:pPr>
        <w:pStyle w:val="9"/>
        <w:ind w:firstLine="540" w:firstLineChars="200"/>
        <w:rPr>
          <w:rFonts w:hint="eastAsia" w:ascii="仿宋_GB2312" w:eastAsia="仿宋_GB2312"/>
          <w:sz w:val="27"/>
          <w:szCs w:val="27"/>
        </w:rPr>
      </w:pPr>
      <w:r>
        <w:rPr>
          <w:rFonts w:hint="eastAsia" w:ascii="仿宋_GB2312" w:hAnsi="Times New Roman" w:eastAsia="仿宋_GB2312" w:cs="Times New Roman"/>
          <w:sz w:val="27"/>
          <w:szCs w:val="27"/>
        </w:rPr>
        <w:t>本单位2017年度政府采购支出总额0万元。</w:t>
      </w:r>
    </w:p>
    <w:p>
      <w:pPr>
        <w:widowControl/>
        <w:spacing w:before="100" w:beforeAutospacing="1" w:after="100" w:afterAutospacing="1" w:line="408" w:lineRule="auto"/>
        <w:ind w:firstLine="405" w:firstLineChars="150"/>
        <w:jc w:val="left"/>
        <w:rPr>
          <w:rFonts w:hint="eastAsia" w:ascii="仿宋_GB2312" w:eastAsia="仿宋_GB2312"/>
          <w:sz w:val="27"/>
          <w:szCs w:val="27"/>
        </w:rPr>
      </w:pPr>
      <w:r>
        <w:rPr>
          <w:rFonts w:hint="eastAsia" w:ascii="仿宋_GB2312" w:eastAsia="仿宋_GB2312"/>
          <w:sz w:val="27"/>
          <w:szCs w:val="27"/>
        </w:rPr>
        <w:t>（五）关于国有资产占用情况说明</w:t>
      </w:r>
    </w:p>
    <w:p>
      <w:pPr>
        <w:widowControl/>
        <w:shd w:val="clear" w:color="auto" w:fill="FFFFFF"/>
        <w:jc w:val="left"/>
        <w:rPr>
          <w:rFonts w:ascii="仿宋_GB2312" w:eastAsia="仿宋_GB2312"/>
          <w:sz w:val="27"/>
          <w:szCs w:val="27"/>
        </w:rPr>
      </w:pPr>
      <w:r>
        <w:rPr>
          <w:rFonts w:hint="eastAsia" w:ascii="仿宋_GB2312" w:eastAsia="仿宋_GB2312"/>
          <w:sz w:val="27"/>
          <w:szCs w:val="27"/>
        </w:rPr>
        <w:t>　  截至2017年12月31日，本部门（单位）共有车辆零辆，较上年度无变化。</w:t>
      </w:r>
    </w:p>
    <w:p>
      <w:pPr>
        <w:pStyle w:val="5"/>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仿宋_GB2312" w:eastAsia="仿宋_GB2312"/>
          <w:sz w:val="27"/>
          <w:szCs w:val="27"/>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黄石港区房征局</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黄石港区房征局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黄石港区房征局</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黄石港区房征局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黄石港区房征局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黄石港区房征局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9FF39B4"/>
    <w:rsid w:val="10157CA5"/>
    <w:rsid w:val="11411182"/>
    <w:rsid w:val="13FA6E94"/>
    <w:rsid w:val="1D3216D7"/>
    <w:rsid w:val="219E41B4"/>
    <w:rsid w:val="255E033E"/>
    <w:rsid w:val="27272230"/>
    <w:rsid w:val="27390172"/>
    <w:rsid w:val="2CCE2491"/>
    <w:rsid w:val="2F081AB6"/>
    <w:rsid w:val="401A2F36"/>
    <w:rsid w:val="408F5EDF"/>
    <w:rsid w:val="457D21A1"/>
    <w:rsid w:val="49D83A19"/>
    <w:rsid w:val="507C1CF5"/>
    <w:rsid w:val="57193076"/>
    <w:rsid w:val="61773BFF"/>
    <w:rsid w:val="621B3808"/>
    <w:rsid w:val="67E4782B"/>
    <w:rsid w:val="746766E2"/>
    <w:rsid w:val="74EA7B66"/>
    <w:rsid w:val="78186405"/>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 w:type="character" w:customStyle="1" w:styleId="13">
    <w:name w:val="apple-converted-space"/>
    <w:basedOn w:val="6"/>
    <w:uiPriority w:val="99"/>
  </w:style>
  <w:style w:type="paragraph" w:customStyle="1" w:styleId="14">
    <w:name w:val="pa-1"/>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2019-02-27T11:20:43Z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