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val="en-US" w:eastAsia="zh-CN"/>
        </w:rPr>
        <w:t>房征局</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黄石港区房征局</w:t>
      </w:r>
      <w:r>
        <w:rPr>
          <w:rStyle w:val="7"/>
          <w:rFonts w:hint="eastAsia" w:ascii="微软雅黑" w:hAnsi="微软雅黑" w:eastAsia="微软雅黑" w:cs="微软雅黑"/>
          <w:i w:val="0"/>
          <w:caps w:val="0"/>
          <w:color w:val="333333"/>
          <w:spacing w:val="0"/>
          <w:sz w:val="24"/>
          <w:szCs w:val="24"/>
          <w:shd w:val="clear" w:fill="FFFFFF"/>
        </w:rPr>
        <w:t>201</w:t>
      </w:r>
      <w:r>
        <w:rPr>
          <w:rStyle w:val="7"/>
          <w:rFonts w:hint="eastAsia" w:ascii="微软雅黑" w:hAnsi="微软雅黑" w:eastAsia="微软雅黑" w:cs="微软雅黑"/>
          <w:i w:val="0"/>
          <w:caps w:val="0"/>
          <w:color w:val="333333"/>
          <w:spacing w:val="0"/>
          <w:sz w:val="24"/>
          <w:szCs w:val="24"/>
          <w:shd w:val="clear" w:fill="FFFFFF"/>
          <w:lang w:val="en-US" w:eastAsia="zh-CN"/>
        </w:rPr>
        <w:t>8</w:t>
      </w:r>
      <w:r>
        <w:rPr>
          <w:rStyle w:val="7"/>
          <w:rFonts w:hint="eastAsia" w:ascii="微软雅黑" w:hAnsi="微软雅黑" w:eastAsia="微软雅黑" w:cs="微软雅黑"/>
          <w:i w:val="0"/>
          <w:caps w:val="0"/>
          <w:color w:val="333333"/>
          <w:spacing w:val="0"/>
          <w:sz w:val="24"/>
          <w:szCs w:val="24"/>
          <w:shd w:val="clear" w:fill="FFFFFF"/>
        </w:rPr>
        <w:t>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第一部分:部门基本情况</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一、部门主要职责</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二、部门决算单位构成</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第二部分: 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年部门决算表</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一、收入支出决算总表（表1）</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二、收入决算表（表2）</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三、支出决算表（表3）</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四、财政拨款收入支出决算总表（表4）</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五、一般公共预算财政拨款支出决算表（表5）</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六、一般公共预算财政拨款基本支出决算表（表6）</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七、一般公共预算财政拨款“三公”经费支出决算表（表7）</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八、政府性基金预算财政拨款收入支出决算表（8）</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第三部分：部门201</w:t>
      </w:r>
      <w:r>
        <w:rPr>
          <w:rFonts w:hint="eastAsia" w:ascii="微软雅黑" w:hAnsi="微软雅黑" w:eastAsia="微软雅黑" w:cs="微软雅黑"/>
          <w:b w:val="0"/>
          <w:i w:val="0"/>
          <w:caps w:val="0"/>
          <w:color w:val="333333"/>
          <w:spacing w:val="0"/>
          <w:sz w:val="24"/>
          <w:szCs w:val="24"/>
          <w:shd w:val="clear" w:color="090000" w:fill="FFFFFF"/>
          <w:lang w:val="en-US" w:eastAsia="zh-CN"/>
        </w:rPr>
        <w:t>8</w:t>
      </w:r>
      <w:r>
        <w:rPr>
          <w:rFonts w:hint="eastAsia" w:ascii="微软雅黑" w:hAnsi="微软雅黑" w:eastAsia="微软雅黑" w:cs="微软雅黑"/>
          <w:b w:val="0"/>
          <w:i w:val="0"/>
          <w:caps w:val="0"/>
          <w:color w:val="333333"/>
          <w:spacing w:val="0"/>
          <w:sz w:val="24"/>
          <w:szCs w:val="24"/>
          <w:shd w:val="clear" w:color="090000" w:fill="FFFFFF"/>
        </w:rPr>
        <w:t>年部门决算情况说明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二、</w:t>
      </w:r>
      <w:r>
        <w:rPr>
          <w:rFonts w:hint="eastAsia" w:ascii="微软雅黑" w:hAnsi="微软雅黑" w:eastAsia="微软雅黑" w:cs="微软雅黑"/>
          <w:b w:val="0"/>
          <w:i w:val="0"/>
          <w:caps w:val="0"/>
          <w:color w:val="333333"/>
          <w:spacing w:val="0"/>
          <w:sz w:val="24"/>
          <w:szCs w:val="24"/>
          <w:shd w:val="clear" w:color="080000" w:fill="FFFFFF"/>
        </w:rPr>
        <w:t>关于“三公”经费支出说明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三、</w:t>
      </w:r>
      <w:r>
        <w:rPr>
          <w:rFonts w:hint="eastAsia" w:ascii="微软雅黑" w:hAnsi="微软雅黑" w:eastAsia="微软雅黑" w:cs="微软雅黑"/>
          <w:b w:val="0"/>
          <w:i w:val="0"/>
          <w:caps w:val="0"/>
          <w:color w:val="333333"/>
          <w:spacing w:val="0"/>
          <w:sz w:val="24"/>
          <w:szCs w:val="24"/>
          <w:shd w:val="clear" w:color="080000" w:fill="FFFFFF"/>
        </w:rPr>
        <w:t>关于机关运行经费支出说明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四</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关于政府采购支出说明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color="080000" w:fill="FFFFFF"/>
        </w:rPr>
        <w:t>五</w:t>
      </w:r>
      <w:r>
        <w:rPr>
          <w:rFonts w:hint="eastAsia" w:ascii="微软雅黑" w:hAnsi="微软雅黑" w:eastAsia="微软雅黑" w:cs="微软雅黑"/>
          <w:b w:val="0"/>
          <w:i w:val="0"/>
          <w:caps w:val="0"/>
          <w:color w:val="333333"/>
          <w:spacing w:val="0"/>
          <w:sz w:val="24"/>
          <w:szCs w:val="24"/>
          <w:shd w:val="clear" w:color="080000" w:fill="FFFFFF"/>
          <w:lang w:eastAsia="zh-CN"/>
        </w:rPr>
        <w:t>、</w:t>
      </w:r>
      <w:r>
        <w:rPr>
          <w:rFonts w:hint="eastAsia" w:ascii="微软雅黑" w:hAnsi="微软雅黑" w:eastAsia="微软雅黑" w:cs="微软雅黑"/>
          <w:b w:val="0"/>
          <w:i w:val="0"/>
          <w:caps w:val="0"/>
          <w:color w:val="333333"/>
          <w:spacing w:val="0"/>
          <w:sz w:val="24"/>
          <w:szCs w:val="24"/>
          <w:shd w:val="clear" w:color="080000" w:fill="FFFFFF"/>
        </w:rPr>
        <w:t>关于国有资产占用情况说明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color="08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11"/>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color="090000"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Style w:val="7"/>
          <w:rFonts w:hint="eastAsia" w:ascii="宋体" w:hAnsi="宋体" w:eastAsia="宋体" w:cs="宋体"/>
          <w:i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2018年部门决算</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b/>
          <w:bCs w:val="0"/>
          <w:i w:val="0"/>
          <w:caps w:val="0"/>
          <w:color w:val="333333"/>
          <w:spacing w:val="0"/>
          <w:sz w:val="24"/>
          <w:szCs w:val="24"/>
          <w:shd w:val="clear" w:fill="FFFFFF"/>
        </w:rPr>
      </w:pPr>
      <w:r>
        <w:rPr>
          <w:rStyle w:val="7"/>
          <w:rFonts w:hint="eastAsia" w:ascii="微软雅黑" w:hAnsi="微软雅黑" w:eastAsia="微软雅黑" w:cs="微软雅黑"/>
          <w:b/>
          <w:bCs w:val="0"/>
          <w:i w:val="0"/>
          <w:caps w:val="0"/>
          <w:color w:val="333333"/>
          <w:spacing w:val="0"/>
          <w:sz w:val="24"/>
          <w:szCs w:val="24"/>
          <w:shd w:val="clear" w:fill="FFFFFF"/>
        </w:rPr>
        <w:t>部门概况</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lang w:eastAsia="zh-CN"/>
        </w:rPr>
        <w:t>（一）</w:t>
      </w:r>
      <w:r>
        <w:rPr>
          <w:rFonts w:hint="eastAsia" w:ascii="宋体" w:hAnsi="宋体" w:cs="宋体"/>
          <w:color w:val="333333"/>
          <w:kern w:val="0"/>
          <w:sz w:val="28"/>
          <w:szCs w:val="28"/>
        </w:rPr>
        <w:t>部门职责</w:t>
      </w:r>
    </w:p>
    <w:p>
      <w:pPr>
        <w:widowControl/>
        <w:shd w:val="clear" w:color="auto" w:fill="FFFFFF"/>
        <w:ind w:firstLine="480"/>
        <w:jc w:val="left"/>
        <w:rPr>
          <w:rFonts w:hint="eastAsia" w:ascii="宋体" w:hAnsi="宋体" w:cs="宋体"/>
          <w:color w:val="333333"/>
          <w:kern w:val="0"/>
          <w:sz w:val="28"/>
          <w:szCs w:val="28"/>
        </w:rPr>
      </w:pPr>
      <w:r>
        <w:rPr>
          <w:rFonts w:hint="eastAsia" w:ascii="宋体" w:hAnsi="宋体" w:cs="宋体"/>
          <w:color w:val="333333"/>
          <w:kern w:val="0"/>
          <w:sz w:val="28"/>
          <w:szCs w:val="28"/>
        </w:rPr>
        <w:t>我局主要职责是：宣传、贯彻、执行国家及省、市有关住房保障、房屋征收与补偿的方针、政策和法律法规；负责辖区内住房保障和房屋征收的计划管理；负责建立和完善住房保障体系，推进公共租赁住房建设；负责协调组织社区对危旧房、城中村、棚改区改造项目的民意调查、房屋调查等级工作等。</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 xml:space="preserve">（二） 机构设置  </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我局是负责全区住房保障、房屋征收及老楼危房管理的工作部门；局机关内设6个职能科室（党政办公室、前期科、征收科、保障科、房屋安全管理科、财务核算科），</w:t>
      </w:r>
      <w:r>
        <w:rPr>
          <w:rFonts w:hint="eastAsia" w:asciiTheme="minorEastAsia" w:hAnsiTheme="minorEastAsia" w:eastAsiaTheme="minorEastAsia" w:cstheme="minorEastAsia"/>
          <w:color w:val="333333"/>
          <w:kern w:val="0"/>
          <w:sz w:val="28"/>
          <w:szCs w:val="28"/>
          <w:lang w:eastAsia="zh-CN"/>
        </w:rPr>
        <w:t>辖正科级单位</w:t>
      </w:r>
      <w:r>
        <w:rPr>
          <w:rFonts w:hint="eastAsia" w:asciiTheme="minorEastAsia" w:hAnsiTheme="minorEastAsia" w:eastAsiaTheme="minorEastAsia" w:cstheme="minorEastAsia"/>
          <w:color w:val="333333"/>
          <w:kern w:val="0"/>
          <w:sz w:val="28"/>
          <w:szCs w:val="28"/>
          <w:lang w:val="en-US" w:eastAsia="zh-CN"/>
        </w:rPr>
        <w:t>1家（黄石港区开发建设办公室）</w:t>
      </w:r>
      <w:r>
        <w:rPr>
          <w:rFonts w:hint="eastAsia" w:asciiTheme="minorEastAsia" w:hAnsiTheme="minorEastAsia" w:eastAsiaTheme="minorEastAsia" w:cstheme="minorEastAsia"/>
          <w:color w:val="333333"/>
          <w:kern w:val="0"/>
          <w:sz w:val="28"/>
          <w:szCs w:val="28"/>
        </w:rPr>
        <w:t>现有在职在编人员12人，实际行政编制5名，事业编制7名。</w:t>
      </w:r>
    </w:p>
    <w:p>
      <w:pPr>
        <w:widowControl/>
        <w:shd w:val="clear" w:color="auto" w:fill="FFFFFF"/>
        <w:jc w:val="left"/>
        <w:rPr>
          <w:rFonts w:hint="eastAsia" w:ascii="宋体" w:hAnsi="宋体" w:eastAsia="宋体" w:cs="宋体"/>
          <w:color w:val="333333"/>
          <w:kern w:val="0"/>
          <w:sz w:val="32"/>
          <w:szCs w:val="32"/>
        </w:rPr>
      </w:pPr>
      <w:r>
        <w:rPr>
          <w:rFonts w:hint="eastAsia" w:ascii="宋体" w:hAnsi="宋体" w:eastAsia="宋体" w:cs="宋体"/>
          <w:color w:val="333333"/>
          <w:kern w:val="0"/>
          <w:sz w:val="32"/>
          <w:szCs w:val="32"/>
        </w:rPr>
        <w:t xml:space="preserve"> </w:t>
      </w:r>
    </w:p>
    <w:p>
      <w:pPr>
        <w:widowControl/>
        <w:shd w:val="clear" w:color="auto" w:fill="FFFFFF"/>
        <w:jc w:val="left"/>
        <w:rPr>
          <w:rFonts w:hint="eastAsia" w:ascii="宋体" w:hAnsi="宋体" w:eastAsia="宋体" w:cs="宋体"/>
          <w:color w:val="333333"/>
          <w:kern w:val="0"/>
          <w:sz w:val="32"/>
          <w:szCs w:val="32"/>
        </w:rPr>
      </w:pPr>
    </w:p>
    <w:p>
      <w:pPr>
        <w:widowControl/>
        <w:shd w:val="clear" w:color="auto" w:fill="FFFFFF"/>
        <w:jc w:val="left"/>
        <w:rPr>
          <w:rFonts w:hint="eastAsia" w:ascii="宋体" w:hAnsi="宋体" w:eastAsia="宋体" w:cs="宋体"/>
          <w:color w:val="333333"/>
          <w:kern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shd w:val="clear" w:fill="FFFFFF"/>
        </w:rPr>
      </w:pPr>
      <w:r>
        <w:rPr>
          <w:rStyle w:val="7"/>
          <w:rFonts w:hint="eastAsia" w:ascii="微软雅黑" w:hAnsi="微软雅黑" w:eastAsia="微软雅黑" w:cs="微软雅黑"/>
          <w:i w:val="0"/>
          <w:caps w:val="0"/>
          <w:color w:val="333333"/>
          <w:spacing w:val="0"/>
          <w:sz w:val="24"/>
          <w:szCs w:val="24"/>
          <w:shd w:val="clear" w:fill="FFFFFF"/>
          <w:lang w:eastAsia="zh-CN"/>
        </w:rPr>
        <w:t>第二部分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201</w:t>
      </w:r>
      <w:r>
        <w:rPr>
          <w:rStyle w:val="7"/>
          <w:rFonts w:hint="eastAsia" w:ascii="微软雅黑" w:hAnsi="微软雅黑" w:eastAsia="微软雅黑" w:cs="微软雅黑"/>
          <w:i w:val="0"/>
          <w:caps w:val="0"/>
          <w:color w:val="333333"/>
          <w:spacing w:val="0"/>
          <w:sz w:val="24"/>
          <w:szCs w:val="24"/>
          <w:shd w:val="clear" w:fill="FFFFFF"/>
          <w:lang w:val="en-US" w:eastAsia="zh-CN"/>
        </w:rPr>
        <w:t>8</w:t>
      </w:r>
      <w:r>
        <w:rPr>
          <w:rStyle w:val="7"/>
          <w:rFonts w:hint="eastAsia" w:ascii="微软雅黑" w:hAnsi="微软雅黑" w:eastAsia="微软雅黑" w:cs="微软雅黑"/>
          <w:i w:val="0"/>
          <w:caps w:val="0"/>
          <w:color w:val="333333"/>
          <w:spacing w:val="0"/>
          <w:sz w:val="24"/>
          <w:szCs w:val="24"/>
          <w:shd w:val="clear" w:fill="FFFFFF"/>
        </w:rPr>
        <w:t>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499475" cy="4650105"/>
            <wp:effectExtent l="0" t="0" r="15875" b="17145"/>
            <wp:docPr id="9" name="图片 9" descr="QQ图片2019090917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190909170741"/>
                    <pic:cNvPicPr>
                      <a:picLocks noChangeAspect="1"/>
                    </pic:cNvPicPr>
                  </pic:nvPicPr>
                  <pic:blipFill>
                    <a:blip r:embed="rId4"/>
                    <a:stretch>
                      <a:fillRect/>
                    </a:stretch>
                  </pic:blipFill>
                  <pic:spPr>
                    <a:xfrm>
                      <a:off x="0" y="0"/>
                      <a:ext cx="8499475" cy="465010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703310" cy="2540635"/>
            <wp:effectExtent l="0" t="0" r="2540" b="12065"/>
            <wp:docPr id="11" name="图片 11" descr="QQ图片2019090917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190909170735"/>
                    <pic:cNvPicPr>
                      <a:picLocks noChangeAspect="1"/>
                    </pic:cNvPicPr>
                  </pic:nvPicPr>
                  <pic:blipFill>
                    <a:blip r:embed="rId5"/>
                    <a:stretch>
                      <a:fillRect/>
                    </a:stretch>
                  </pic:blipFill>
                  <pic:spPr>
                    <a:xfrm>
                      <a:off x="0" y="0"/>
                      <a:ext cx="8703310" cy="254063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693785" cy="2486025"/>
            <wp:effectExtent l="0" t="0" r="12065" b="9525"/>
            <wp:docPr id="12" name="图片 12" descr="QQ图片2019090917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190909170730"/>
                    <pic:cNvPicPr>
                      <a:picLocks noChangeAspect="1"/>
                    </pic:cNvPicPr>
                  </pic:nvPicPr>
                  <pic:blipFill>
                    <a:blip r:embed="rId6"/>
                    <a:stretch>
                      <a:fillRect/>
                    </a:stretch>
                  </pic:blipFill>
                  <pic:spPr>
                    <a:xfrm>
                      <a:off x="0" y="0"/>
                      <a:ext cx="8693785" cy="248602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731250" cy="5321935"/>
            <wp:effectExtent l="0" t="0" r="12700" b="12065"/>
            <wp:docPr id="15" name="图片 15" descr="QQ图片2019090917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QQ图片20190909170724"/>
                    <pic:cNvPicPr>
                      <a:picLocks noChangeAspect="1"/>
                    </pic:cNvPicPr>
                  </pic:nvPicPr>
                  <pic:blipFill>
                    <a:blip r:embed="rId7"/>
                    <a:stretch>
                      <a:fillRect/>
                    </a:stretch>
                  </pic:blipFill>
                  <pic:spPr>
                    <a:xfrm>
                      <a:off x="0" y="0"/>
                      <a:ext cx="8731250" cy="532193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781415" cy="4827905"/>
            <wp:effectExtent l="0" t="0" r="635" b="10795"/>
            <wp:docPr id="16" name="图片 16" descr="QQ图片2019090917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QQ图片20190909170718"/>
                    <pic:cNvPicPr>
                      <a:picLocks noChangeAspect="1"/>
                    </pic:cNvPicPr>
                  </pic:nvPicPr>
                  <pic:blipFill>
                    <a:blip r:embed="rId8"/>
                    <a:stretch>
                      <a:fillRect/>
                    </a:stretch>
                  </pic:blipFill>
                  <pic:spPr>
                    <a:xfrm>
                      <a:off x="0" y="0"/>
                      <a:ext cx="8781415" cy="4827905"/>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734425" cy="5270500"/>
            <wp:effectExtent l="0" t="0" r="9525" b="6350"/>
            <wp:docPr id="17" name="图片 17" descr="QQ图片2019090917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图片20190909170712"/>
                    <pic:cNvPicPr>
                      <a:picLocks noChangeAspect="1"/>
                    </pic:cNvPicPr>
                  </pic:nvPicPr>
                  <pic:blipFill>
                    <a:blip r:embed="rId9"/>
                    <a:stretch>
                      <a:fillRect/>
                    </a:stretch>
                  </pic:blipFill>
                  <pic:spPr>
                    <a:xfrm>
                      <a:off x="0" y="0"/>
                      <a:ext cx="8734425" cy="527050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pPr>
      <w:r>
        <w:rPr>
          <w:rFonts w:hint="eastAsia" w:eastAsiaTheme="minorEastAsia"/>
          <w:color w:val="333333"/>
          <w:sz w:val="24"/>
          <w:szCs w:val="24"/>
          <w:lang w:eastAsia="zh-CN"/>
        </w:rPr>
        <w:drawing>
          <wp:inline distT="0" distB="0" distL="114300" distR="114300">
            <wp:extent cx="8710930" cy="2493010"/>
            <wp:effectExtent l="0" t="0" r="13970" b="2540"/>
            <wp:docPr id="18" name="图片 18" descr="QQ图片2019090917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QQ图片20190909170705"/>
                    <pic:cNvPicPr>
                      <a:picLocks noChangeAspect="1"/>
                    </pic:cNvPicPr>
                  </pic:nvPicPr>
                  <pic:blipFill>
                    <a:blip r:embed="rId10"/>
                    <a:stretch>
                      <a:fillRect/>
                    </a:stretch>
                  </pic:blipFill>
                  <pic:spPr>
                    <a:xfrm>
                      <a:off x="0" y="0"/>
                      <a:ext cx="8710930" cy="249301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rFonts w:hint="eastAsia" w:eastAsiaTheme="minorEastAsia"/>
          <w:color w:val="333333"/>
          <w:sz w:val="24"/>
          <w:szCs w:val="24"/>
          <w:lang w:eastAsia="zh-CN"/>
        </w:rPr>
        <w:sectPr>
          <w:pgSz w:w="16838" w:h="11906" w:orient="landscape"/>
          <w:pgMar w:top="1800" w:right="1440" w:bottom="1800" w:left="1440" w:header="851" w:footer="992" w:gutter="0"/>
          <w:cols w:space="425" w:num="1"/>
          <w:docGrid w:type="lines" w:linePitch="312" w:charSpace="0"/>
        </w:sectPr>
      </w:pPr>
      <w:r>
        <w:rPr>
          <w:rFonts w:hint="eastAsia" w:eastAsiaTheme="minorEastAsia"/>
          <w:color w:val="333333"/>
          <w:sz w:val="24"/>
          <w:szCs w:val="24"/>
          <w:lang w:eastAsia="zh-CN"/>
        </w:rPr>
        <w:drawing>
          <wp:inline distT="0" distB="0" distL="114300" distR="114300">
            <wp:extent cx="8712835" cy="2472690"/>
            <wp:effectExtent l="0" t="0" r="12065" b="3810"/>
            <wp:docPr id="19" name="图片 19" descr="QQ图片2019090917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QQ图片20190909170658"/>
                    <pic:cNvPicPr>
                      <a:picLocks noChangeAspect="1"/>
                    </pic:cNvPicPr>
                  </pic:nvPicPr>
                  <pic:blipFill>
                    <a:blip r:embed="rId11"/>
                    <a:stretch>
                      <a:fillRect/>
                    </a:stretch>
                  </pic:blipFill>
                  <pic:spPr>
                    <a:xfrm>
                      <a:off x="0" y="0"/>
                      <a:ext cx="8712835" cy="247269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rPr>
          <w:rFonts w:hint="eastAsia" w:ascii="微软雅黑" w:hAnsi="微软雅黑" w:eastAsia="微软雅黑" w:cs="微软雅黑"/>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第三部分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201</w:t>
      </w:r>
      <w:r>
        <w:rPr>
          <w:rStyle w:val="7"/>
          <w:rFonts w:hint="eastAsia" w:ascii="微软雅黑" w:hAnsi="微软雅黑" w:eastAsia="微软雅黑" w:cs="微软雅黑"/>
          <w:i w:val="0"/>
          <w:caps w:val="0"/>
          <w:color w:val="333333"/>
          <w:spacing w:val="0"/>
          <w:sz w:val="24"/>
          <w:szCs w:val="24"/>
          <w:shd w:val="clear" w:fill="FFFFFF"/>
          <w:lang w:val="en-US" w:eastAsia="zh-CN"/>
        </w:rPr>
        <w:t>8</w:t>
      </w:r>
      <w:r>
        <w:rPr>
          <w:rStyle w:val="7"/>
          <w:rFonts w:hint="eastAsia" w:ascii="微软雅黑" w:hAnsi="微软雅黑" w:eastAsia="微软雅黑" w:cs="微软雅黑"/>
          <w:i w:val="0"/>
          <w:caps w:val="0"/>
          <w:color w:val="333333"/>
          <w:spacing w:val="0"/>
          <w:sz w:val="24"/>
          <w:szCs w:val="24"/>
          <w:shd w:val="clear" w:fill="FFFFFF"/>
        </w:rPr>
        <w:t>年部门决算情况说明</w:t>
      </w:r>
    </w:p>
    <w:p>
      <w:pPr>
        <w:widowControl/>
        <w:shd w:val="clear" w:color="auto" w:fill="FFFFFF"/>
        <w:ind w:firstLine="480"/>
        <w:jc w:val="left"/>
        <w:rPr>
          <w:rFonts w:hint="eastAsia" w:ascii="宋体" w:hAnsi="宋体" w:cs="宋体"/>
          <w:b/>
          <w:bCs/>
          <w:color w:val="333333"/>
          <w:kern w:val="0"/>
          <w:sz w:val="28"/>
          <w:szCs w:val="28"/>
        </w:rPr>
      </w:pPr>
      <w:r>
        <w:rPr>
          <w:rFonts w:hint="eastAsia" w:ascii="宋体" w:hAnsi="宋体" w:cs="宋体"/>
          <w:b/>
          <w:bCs/>
          <w:color w:val="333333"/>
          <w:kern w:val="0"/>
          <w:sz w:val="28"/>
          <w:szCs w:val="28"/>
        </w:rPr>
        <w:t>（一）预算执行情况分析</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lang w:val="en-US" w:eastAsia="zh-CN"/>
        </w:rPr>
      </w:pPr>
      <w:r>
        <w:rPr>
          <w:rFonts w:hint="eastAsia" w:asciiTheme="minorEastAsia" w:hAnsiTheme="minorEastAsia" w:eastAsiaTheme="minorEastAsia" w:cstheme="minorEastAsia"/>
          <w:color w:val="333333"/>
          <w:kern w:val="0"/>
          <w:sz w:val="28"/>
          <w:szCs w:val="28"/>
        </w:rPr>
        <w:t>201</w:t>
      </w:r>
      <w:r>
        <w:rPr>
          <w:rFonts w:hint="eastAsia" w:asciiTheme="minorEastAsia" w:hAnsiTheme="minorEastAsia" w:eastAsiaTheme="minorEastAsia" w:cstheme="minorEastAsia"/>
          <w:color w:val="333333"/>
          <w:kern w:val="0"/>
          <w:sz w:val="28"/>
          <w:szCs w:val="28"/>
          <w:lang w:val="en-US" w:eastAsia="zh-CN"/>
        </w:rPr>
        <w:t>8</w:t>
      </w:r>
      <w:r>
        <w:rPr>
          <w:rFonts w:hint="eastAsia" w:asciiTheme="minorEastAsia" w:hAnsiTheme="minorEastAsia" w:eastAsiaTheme="minorEastAsia" w:cstheme="minorEastAsia"/>
          <w:color w:val="333333"/>
          <w:kern w:val="0"/>
          <w:sz w:val="28"/>
          <w:szCs w:val="28"/>
        </w:rPr>
        <w:t>年财政拨款收入共计</w:t>
      </w:r>
      <w:r>
        <w:rPr>
          <w:rFonts w:hint="eastAsia" w:asciiTheme="minorEastAsia" w:hAnsiTheme="minorEastAsia" w:eastAsiaTheme="minorEastAsia" w:cstheme="minorEastAsia"/>
          <w:color w:val="333333"/>
          <w:kern w:val="0"/>
          <w:sz w:val="28"/>
          <w:szCs w:val="28"/>
          <w:lang w:val="en-US" w:eastAsia="zh-CN"/>
        </w:rPr>
        <w:t>306.56</w:t>
      </w:r>
      <w:r>
        <w:rPr>
          <w:rFonts w:hint="eastAsia" w:asciiTheme="minorEastAsia" w:hAnsiTheme="minorEastAsia" w:eastAsiaTheme="minorEastAsia" w:cstheme="minorEastAsia"/>
          <w:color w:val="333333"/>
          <w:kern w:val="0"/>
          <w:sz w:val="28"/>
          <w:szCs w:val="28"/>
        </w:rPr>
        <w:t>万元，较年初预算数</w:t>
      </w:r>
      <w:r>
        <w:rPr>
          <w:rFonts w:hint="eastAsia" w:asciiTheme="minorEastAsia" w:hAnsiTheme="minorEastAsia" w:eastAsiaTheme="minorEastAsia" w:cstheme="minorEastAsia"/>
          <w:color w:val="333333"/>
          <w:kern w:val="0"/>
          <w:sz w:val="28"/>
          <w:szCs w:val="28"/>
          <w:lang w:val="en-US" w:eastAsia="zh-CN"/>
        </w:rPr>
        <w:t>135.70</w:t>
      </w:r>
      <w:r>
        <w:rPr>
          <w:rFonts w:hint="eastAsia" w:asciiTheme="minorEastAsia" w:hAnsiTheme="minorEastAsia" w:eastAsiaTheme="minorEastAsia" w:cstheme="minorEastAsia"/>
          <w:color w:val="333333"/>
          <w:kern w:val="0"/>
          <w:sz w:val="28"/>
          <w:szCs w:val="28"/>
        </w:rPr>
        <w:t>万元提高</w:t>
      </w:r>
      <w:r>
        <w:rPr>
          <w:rFonts w:hint="eastAsia" w:asciiTheme="minorEastAsia" w:hAnsiTheme="minorEastAsia" w:eastAsiaTheme="minorEastAsia" w:cstheme="minorEastAsia"/>
          <w:color w:val="333333"/>
          <w:kern w:val="0"/>
          <w:sz w:val="28"/>
          <w:szCs w:val="28"/>
          <w:lang w:val="en-US" w:eastAsia="zh-CN"/>
        </w:rPr>
        <w:t>170.86</w:t>
      </w:r>
      <w:r>
        <w:rPr>
          <w:rFonts w:hint="eastAsia" w:asciiTheme="minorEastAsia" w:hAnsiTheme="minorEastAsia" w:eastAsiaTheme="minorEastAsia" w:cstheme="minorEastAsia"/>
          <w:color w:val="333333"/>
          <w:kern w:val="0"/>
          <w:sz w:val="28"/>
          <w:szCs w:val="28"/>
        </w:rPr>
        <w:t>万元，提高</w:t>
      </w:r>
      <w:r>
        <w:rPr>
          <w:rFonts w:hint="eastAsia" w:asciiTheme="minorEastAsia" w:hAnsiTheme="minorEastAsia" w:eastAsiaTheme="minorEastAsia" w:cstheme="minorEastAsia"/>
          <w:color w:val="333333"/>
          <w:kern w:val="0"/>
          <w:sz w:val="28"/>
          <w:szCs w:val="28"/>
          <w:lang w:val="en-US" w:eastAsia="zh-CN"/>
        </w:rPr>
        <w:t>125</w:t>
      </w:r>
      <w:r>
        <w:rPr>
          <w:rFonts w:hint="eastAsia" w:asciiTheme="minorEastAsia" w:hAnsiTheme="minorEastAsia" w:eastAsiaTheme="minorEastAsia" w:cstheme="minorEastAsia"/>
          <w:color w:val="333333"/>
          <w:kern w:val="0"/>
          <w:sz w:val="28"/>
          <w:szCs w:val="28"/>
        </w:rPr>
        <w:t>%。较上年</w:t>
      </w:r>
      <w:r>
        <w:rPr>
          <w:rFonts w:hint="eastAsia" w:asciiTheme="minorEastAsia" w:hAnsiTheme="minorEastAsia" w:eastAsiaTheme="minorEastAsia" w:cstheme="minorEastAsia"/>
          <w:color w:val="333333"/>
          <w:kern w:val="0"/>
          <w:sz w:val="28"/>
          <w:szCs w:val="28"/>
          <w:lang w:val="en-US" w:eastAsia="zh-CN"/>
        </w:rPr>
        <w:t>114.17</w:t>
      </w:r>
      <w:r>
        <w:rPr>
          <w:rFonts w:hint="eastAsia" w:asciiTheme="minorEastAsia" w:hAnsiTheme="minorEastAsia" w:eastAsiaTheme="minorEastAsia" w:cstheme="minorEastAsia"/>
          <w:color w:val="333333"/>
          <w:kern w:val="0"/>
          <w:sz w:val="28"/>
          <w:szCs w:val="28"/>
        </w:rPr>
        <w:t>万元提高</w:t>
      </w:r>
      <w:r>
        <w:rPr>
          <w:rFonts w:hint="eastAsia" w:asciiTheme="minorEastAsia" w:hAnsiTheme="minorEastAsia" w:eastAsiaTheme="minorEastAsia" w:cstheme="minorEastAsia"/>
          <w:color w:val="333333"/>
          <w:kern w:val="0"/>
          <w:sz w:val="28"/>
          <w:szCs w:val="28"/>
          <w:lang w:val="en-US" w:eastAsia="zh-CN"/>
        </w:rPr>
        <w:t>192.39</w:t>
      </w:r>
      <w:r>
        <w:rPr>
          <w:rFonts w:hint="eastAsia" w:asciiTheme="minorEastAsia" w:hAnsiTheme="minorEastAsia" w:eastAsiaTheme="minorEastAsia" w:cstheme="minorEastAsia"/>
          <w:color w:val="333333"/>
          <w:kern w:val="0"/>
          <w:sz w:val="28"/>
          <w:szCs w:val="28"/>
        </w:rPr>
        <w:t>万元，同比上升</w:t>
      </w:r>
      <w:r>
        <w:rPr>
          <w:rFonts w:hint="eastAsia" w:asciiTheme="minorEastAsia" w:hAnsiTheme="minorEastAsia" w:eastAsiaTheme="minorEastAsia" w:cstheme="minorEastAsia"/>
          <w:color w:val="333333"/>
          <w:kern w:val="0"/>
          <w:sz w:val="28"/>
          <w:szCs w:val="28"/>
          <w:lang w:val="en-US" w:eastAsia="zh-CN"/>
        </w:rPr>
        <w:t>168</w:t>
      </w: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由于本年度增资</w:t>
      </w:r>
      <w:r>
        <w:rPr>
          <w:rFonts w:hint="eastAsia" w:asciiTheme="minorEastAsia" w:hAnsiTheme="minorEastAsia" w:eastAsiaTheme="minorEastAsia" w:cstheme="minorEastAsia"/>
          <w:color w:val="333333"/>
          <w:kern w:val="0"/>
          <w:sz w:val="28"/>
          <w:szCs w:val="28"/>
          <w:lang w:eastAsia="zh-CN"/>
        </w:rPr>
        <w:t>及奖励</w:t>
      </w:r>
      <w:r>
        <w:rPr>
          <w:rFonts w:hint="eastAsia" w:asciiTheme="minorEastAsia" w:hAnsiTheme="minorEastAsia" w:eastAsiaTheme="minorEastAsia" w:cstheme="minorEastAsia"/>
          <w:color w:val="333333"/>
          <w:kern w:val="0"/>
          <w:sz w:val="28"/>
          <w:szCs w:val="28"/>
        </w:rPr>
        <w:t>、上级加大转移支付用于职工工资福利支出等方面。财政拨款总支出</w:t>
      </w:r>
      <w:r>
        <w:rPr>
          <w:rFonts w:hint="eastAsia" w:asciiTheme="minorEastAsia" w:hAnsiTheme="minorEastAsia" w:eastAsiaTheme="minorEastAsia" w:cstheme="minorEastAsia"/>
          <w:color w:val="333333"/>
          <w:kern w:val="0"/>
          <w:sz w:val="28"/>
          <w:szCs w:val="28"/>
          <w:lang w:val="en-US" w:eastAsia="zh-CN"/>
        </w:rPr>
        <w:t>306.56</w:t>
      </w:r>
      <w:r>
        <w:rPr>
          <w:rFonts w:hint="eastAsia" w:asciiTheme="minorEastAsia" w:hAnsiTheme="minorEastAsia" w:eastAsiaTheme="minorEastAsia" w:cstheme="minorEastAsia"/>
          <w:color w:val="333333"/>
          <w:kern w:val="0"/>
          <w:sz w:val="28"/>
          <w:szCs w:val="28"/>
        </w:rPr>
        <w:t>万元。</w:t>
      </w:r>
      <w:r>
        <w:rPr>
          <w:rFonts w:hint="eastAsia" w:asciiTheme="minorEastAsia" w:hAnsiTheme="minorEastAsia" w:eastAsiaTheme="minorEastAsia" w:cstheme="minorEastAsia"/>
          <w:color w:val="333333"/>
          <w:kern w:val="0"/>
          <w:sz w:val="28"/>
          <w:szCs w:val="28"/>
          <w:lang w:eastAsia="zh-CN"/>
        </w:rPr>
        <w:t>其中：</w:t>
      </w:r>
      <w:r>
        <w:rPr>
          <w:rFonts w:hint="eastAsia" w:asciiTheme="minorEastAsia" w:hAnsiTheme="minorEastAsia" w:eastAsiaTheme="minorEastAsia" w:cstheme="minorEastAsia"/>
          <w:color w:val="333333"/>
          <w:kern w:val="0"/>
          <w:sz w:val="28"/>
          <w:szCs w:val="28"/>
          <w:lang w:val="en-US" w:eastAsia="zh-CN"/>
        </w:rPr>
        <w:t>1、</w:t>
      </w:r>
      <w:r>
        <w:rPr>
          <w:rFonts w:hint="eastAsia" w:asciiTheme="minorEastAsia" w:hAnsiTheme="minorEastAsia" w:eastAsiaTheme="minorEastAsia" w:cstheme="minorEastAsia"/>
          <w:color w:val="333333"/>
          <w:kern w:val="0"/>
          <w:sz w:val="28"/>
          <w:szCs w:val="28"/>
        </w:rPr>
        <w:t>工资福利支出</w:t>
      </w:r>
      <w:r>
        <w:rPr>
          <w:rFonts w:hint="eastAsia" w:asciiTheme="minorEastAsia" w:hAnsiTheme="minorEastAsia" w:eastAsiaTheme="minorEastAsia" w:cstheme="minorEastAsia"/>
          <w:color w:val="333333"/>
          <w:kern w:val="0"/>
          <w:sz w:val="28"/>
          <w:szCs w:val="28"/>
          <w:lang w:val="en-US" w:eastAsia="zh-CN"/>
        </w:rPr>
        <w:t>233.10</w:t>
      </w:r>
      <w:r>
        <w:rPr>
          <w:rFonts w:hint="eastAsia" w:asciiTheme="minorEastAsia" w:hAnsiTheme="minorEastAsia" w:eastAsiaTheme="minorEastAsia" w:cstheme="minorEastAsia"/>
          <w:color w:val="333333"/>
          <w:kern w:val="0"/>
          <w:sz w:val="28"/>
          <w:szCs w:val="28"/>
        </w:rPr>
        <w:t>万元同比上升</w:t>
      </w:r>
      <w:r>
        <w:rPr>
          <w:rFonts w:hint="eastAsia" w:asciiTheme="minorEastAsia" w:hAnsiTheme="minorEastAsia" w:eastAsiaTheme="minorEastAsia" w:cstheme="minorEastAsia"/>
          <w:color w:val="333333"/>
          <w:kern w:val="0"/>
          <w:sz w:val="28"/>
          <w:szCs w:val="28"/>
          <w:lang w:val="en-US" w:eastAsia="zh-CN"/>
        </w:rPr>
        <w:t>113</w:t>
      </w:r>
      <w:r>
        <w:rPr>
          <w:rFonts w:hint="eastAsia" w:asciiTheme="minorEastAsia" w:hAnsiTheme="minorEastAsia" w:eastAsiaTheme="minorEastAsia" w:cstheme="minorEastAsia"/>
          <w:color w:val="333333"/>
          <w:kern w:val="0"/>
          <w:sz w:val="28"/>
          <w:szCs w:val="28"/>
        </w:rPr>
        <w:t>%；由于本年度提高</w:t>
      </w:r>
      <w:r>
        <w:rPr>
          <w:rFonts w:hint="eastAsia" w:asciiTheme="minorEastAsia" w:hAnsiTheme="minorEastAsia" w:eastAsiaTheme="minorEastAsia" w:cstheme="minorEastAsia"/>
          <w:color w:val="333333"/>
          <w:kern w:val="0"/>
          <w:sz w:val="28"/>
          <w:szCs w:val="28"/>
          <w:lang w:eastAsia="zh-CN"/>
        </w:rPr>
        <w:t>津贴补贴、</w:t>
      </w:r>
      <w:r>
        <w:rPr>
          <w:rFonts w:hint="eastAsia" w:asciiTheme="minorEastAsia" w:hAnsiTheme="minorEastAsia" w:eastAsiaTheme="minorEastAsia" w:cstheme="minorEastAsia"/>
          <w:color w:val="333333"/>
          <w:kern w:val="0"/>
          <w:sz w:val="28"/>
          <w:szCs w:val="28"/>
        </w:rPr>
        <w:t>绩效工资福利和晋级调资等造成。</w:t>
      </w:r>
      <w:r>
        <w:rPr>
          <w:rFonts w:hint="eastAsia" w:asciiTheme="minorEastAsia" w:hAnsiTheme="minorEastAsia" w:eastAsiaTheme="minorEastAsia" w:cstheme="minorEastAsia"/>
          <w:color w:val="333333"/>
          <w:kern w:val="0"/>
          <w:sz w:val="28"/>
          <w:szCs w:val="28"/>
          <w:lang w:val="en-US" w:eastAsia="zh-CN"/>
        </w:rPr>
        <w:t>2、</w:t>
      </w:r>
      <w:r>
        <w:rPr>
          <w:rFonts w:hint="eastAsia" w:asciiTheme="minorEastAsia" w:hAnsiTheme="minorEastAsia" w:eastAsiaTheme="minorEastAsia" w:cstheme="minorEastAsia"/>
          <w:color w:val="333333"/>
          <w:kern w:val="0"/>
          <w:sz w:val="28"/>
          <w:szCs w:val="28"/>
        </w:rPr>
        <w:t>机关事业单位养老保险和职业年金及单位医疗支出</w:t>
      </w:r>
      <w:r>
        <w:rPr>
          <w:rFonts w:hint="eastAsia" w:asciiTheme="minorEastAsia" w:hAnsiTheme="minorEastAsia" w:eastAsiaTheme="minorEastAsia" w:cstheme="minorEastAsia"/>
          <w:color w:val="333333"/>
          <w:kern w:val="0"/>
          <w:sz w:val="28"/>
          <w:szCs w:val="28"/>
          <w:lang w:val="en-US" w:eastAsia="zh-CN"/>
        </w:rPr>
        <w:t>28.79</w:t>
      </w:r>
      <w:r>
        <w:rPr>
          <w:rFonts w:hint="eastAsia" w:asciiTheme="minorEastAsia" w:hAnsiTheme="minorEastAsia" w:eastAsiaTheme="minorEastAsia" w:cstheme="minorEastAsia"/>
          <w:color w:val="333333"/>
          <w:kern w:val="0"/>
          <w:sz w:val="28"/>
          <w:szCs w:val="28"/>
        </w:rPr>
        <w:t>万元同比上升</w:t>
      </w:r>
      <w:r>
        <w:rPr>
          <w:rFonts w:hint="eastAsia" w:asciiTheme="minorEastAsia" w:hAnsiTheme="minorEastAsia" w:eastAsiaTheme="minorEastAsia" w:cstheme="minorEastAsia"/>
          <w:color w:val="333333"/>
          <w:kern w:val="0"/>
          <w:sz w:val="28"/>
          <w:szCs w:val="28"/>
          <w:lang w:val="en-US" w:eastAsia="zh-CN"/>
        </w:rPr>
        <w:t>51.21</w:t>
      </w:r>
      <w:r>
        <w:rPr>
          <w:rFonts w:hint="eastAsia" w:asciiTheme="minorEastAsia" w:hAnsiTheme="minorEastAsia" w:eastAsiaTheme="minorEastAsia" w:cstheme="minorEastAsia"/>
          <w:color w:val="333333"/>
          <w:kern w:val="0"/>
          <w:sz w:val="28"/>
          <w:szCs w:val="28"/>
        </w:rPr>
        <w:t>%；住房公积金支出</w:t>
      </w:r>
      <w:r>
        <w:rPr>
          <w:rFonts w:hint="eastAsia" w:asciiTheme="minorEastAsia" w:hAnsiTheme="minorEastAsia" w:eastAsiaTheme="minorEastAsia" w:cstheme="minorEastAsia"/>
          <w:color w:val="333333"/>
          <w:kern w:val="0"/>
          <w:sz w:val="28"/>
          <w:szCs w:val="28"/>
          <w:lang w:val="en-US" w:eastAsia="zh-CN"/>
        </w:rPr>
        <w:t>18.48</w:t>
      </w:r>
      <w:r>
        <w:rPr>
          <w:rFonts w:hint="eastAsia" w:asciiTheme="minorEastAsia" w:hAnsiTheme="minorEastAsia" w:eastAsiaTheme="minorEastAsia" w:cstheme="minorEastAsia"/>
          <w:color w:val="333333"/>
          <w:kern w:val="0"/>
          <w:sz w:val="28"/>
          <w:szCs w:val="28"/>
        </w:rPr>
        <w:t>万元同比上升</w:t>
      </w:r>
      <w:r>
        <w:rPr>
          <w:rFonts w:hint="eastAsia" w:asciiTheme="minorEastAsia" w:hAnsiTheme="minorEastAsia" w:eastAsiaTheme="minorEastAsia" w:cstheme="minorEastAsia"/>
          <w:color w:val="333333"/>
          <w:kern w:val="0"/>
          <w:sz w:val="28"/>
          <w:szCs w:val="28"/>
          <w:lang w:val="en-US" w:eastAsia="zh-CN"/>
        </w:rPr>
        <w:t>17.93</w:t>
      </w: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color w:val="333333"/>
          <w:kern w:val="0"/>
          <w:sz w:val="28"/>
          <w:szCs w:val="28"/>
          <w:lang w:val="en-US" w:eastAsia="zh-CN"/>
        </w:rPr>
        <w:t>。由于缴费基数增长，缴费额上升。</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本单位无政府性基金收入，也没有使用政府性基金安排的支出，故公开政府性基金预算财政拨款收入支出决算表无数据。</w:t>
      </w:r>
    </w:p>
    <w:p>
      <w:pPr>
        <w:widowControl/>
        <w:shd w:val="clear" w:color="auto" w:fill="FFFFFF"/>
        <w:ind w:firstLine="480"/>
        <w:jc w:val="left"/>
        <w:rPr>
          <w:rFonts w:hint="eastAsia" w:ascii="宋体" w:hAnsi="宋体" w:cs="宋体"/>
          <w:b/>
          <w:bCs/>
          <w:color w:val="333333"/>
          <w:kern w:val="0"/>
          <w:sz w:val="28"/>
          <w:szCs w:val="28"/>
        </w:rPr>
      </w:pPr>
      <w:r>
        <w:rPr>
          <w:rFonts w:hint="eastAsia" w:ascii="宋体" w:hAnsi="宋体" w:cs="宋体"/>
          <w:b/>
          <w:bCs/>
          <w:color w:val="333333"/>
          <w:kern w:val="0"/>
          <w:sz w:val="28"/>
          <w:szCs w:val="28"/>
        </w:rPr>
        <w:t>（二）关于“三公”经费支出说明</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201</w:t>
      </w:r>
      <w:r>
        <w:rPr>
          <w:rFonts w:hint="eastAsia" w:asciiTheme="minorEastAsia" w:hAnsiTheme="minorEastAsia" w:eastAsiaTheme="minorEastAsia" w:cstheme="minorEastAsia"/>
          <w:color w:val="333333"/>
          <w:kern w:val="0"/>
          <w:sz w:val="28"/>
          <w:szCs w:val="28"/>
          <w:lang w:val="en-US" w:eastAsia="zh-CN"/>
        </w:rPr>
        <w:t>8</w:t>
      </w:r>
      <w:r>
        <w:rPr>
          <w:rFonts w:hint="eastAsia" w:asciiTheme="minorEastAsia" w:hAnsiTheme="minorEastAsia" w:eastAsiaTheme="minorEastAsia" w:cstheme="minorEastAsia"/>
          <w:color w:val="333333"/>
          <w:kern w:val="0"/>
          <w:sz w:val="28"/>
          <w:szCs w:val="28"/>
        </w:rPr>
        <w:t>年年末“三公”经费开支决算支出总额为0。</w:t>
      </w:r>
    </w:p>
    <w:p>
      <w:pPr>
        <w:widowControl/>
        <w:shd w:val="clear" w:color="auto" w:fill="FFFFFF"/>
        <w:ind w:firstLine="480"/>
        <w:jc w:val="left"/>
        <w:rPr>
          <w:rFonts w:hint="eastAsia" w:ascii="宋体" w:hAnsi="宋体" w:cs="宋体"/>
          <w:b/>
          <w:bCs/>
          <w:color w:val="333333"/>
          <w:kern w:val="0"/>
          <w:sz w:val="28"/>
          <w:szCs w:val="28"/>
        </w:rPr>
      </w:pPr>
      <w:r>
        <w:rPr>
          <w:rFonts w:hint="eastAsia" w:ascii="宋体" w:hAnsi="宋体" w:cs="宋体"/>
          <w:b/>
          <w:bCs/>
          <w:color w:val="333333"/>
          <w:kern w:val="0"/>
          <w:sz w:val="28"/>
          <w:szCs w:val="28"/>
        </w:rPr>
        <w:t>（三）关于机关运行经费支出说明</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本单位201</w:t>
      </w:r>
      <w:r>
        <w:rPr>
          <w:rFonts w:hint="eastAsia" w:asciiTheme="minorEastAsia" w:hAnsiTheme="minorEastAsia" w:eastAsiaTheme="minorEastAsia" w:cstheme="minorEastAsia"/>
          <w:color w:val="333333"/>
          <w:kern w:val="0"/>
          <w:sz w:val="28"/>
          <w:szCs w:val="28"/>
          <w:lang w:val="en-US" w:eastAsia="zh-CN"/>
        </w:rPr>
        <w:t>8</w:t>
      </w:r>
      <w:r>
        <w:rPr>
          <w:rFonts w:hint="eastAsia" w:asciiTheme="minorEastAsia" w:hAnsiTheme="minorEastAsia" w:eastAsiaTheme="minorEastAsia" w:cstheme="minorEastAsia"/>
          <w:color w:val="333333"/>
          <w:kern w:val="0"/>
          <w:sz w:val="28"/>
          <w:szCs w:val="28"/>
        </w:rPr>
        <w:t>年度</w:t>
      </w:r>
      <w:r>
        <w:rPr>
          <w:rFonts w:hint="eastAsia" w:asciiTheme="minorEastAsia" w:hAnsiTheme="minorEastAsia" w:eastAsiaTheme="minorEastAsia" w:cstheme="minorEastAsia"/>
          <w:color w:val="333333"/>
          <w:kern w:val="0"/>
          <w:sz w:val="28"/>
          <w:szCs w:val="28"/>
          <w:lang w:eastAsia="zh-CN"/>
        </w:rPr>
        <w:t>日常公用运行经费支出</w:t>
      </w:r>
      <w:r>
        <w:rPr>
          <w:rFonts w:hint="eastAsia" w:asciiTheme="minorEastAsia" w:hAnsiTheme="minorEastAsia" w:eastAsiaTheme="minorEastAsia" w:cstheme="minorEastAsia"/>
          <w:color w:val="333333"/>
          <w:kern w:val="0"/>
          <w:sz w:val="28"/>
          <w:szCs w:val="28"/>
          <w:lang w:val="en-US" w:eastAsia="zh-CN"/>
        </w:rPr>
        <w:t>72.15万元同比上升303.52%。由于局工作职能，委托业务费用支出增加57.39万元；日常办公用经费支出14.76万元</w:t>
      </w:r>
      <w:r>
        <w:rPr>
          <w:rFonts w:hint="eastAsia" w:asciiTheme="minorEastAsia" w:hAnsiTheme="minorEastAsia" w:eastAsiaTheme="minorEastAsia" w:cstheme="minorEastAsia"/>
          <w:color w:val="333333"/>
          <w:kern w:val="0"/>
          <w:sz w:val="28"/>
          <w:szCs w:val="28"/>
        </w:rPr>
        <w:t>同比201</w:t>
      </w:r>
      <w:r>
        <w:rPr>
          <w:rFonts w:hint="eastAsia" w:asciiTheme="minorEastAsia" w:hAnsiTheme="minorEastAsia" w:eastAsiaTheme="minorEastAsia" w:cstheme="minorEastAsia"/>
          <w:color w:val="333333"/>
          <w:kern w:val="0"/>
          <w:sz w:val="28"/>
          <w:szCs w:val="28"/>
          <w:lang w:val="en-US" w:eastAsia="zh-CN"/>
        </w:rPr>
        <w:t>7</w:t>
      </w:r>
      <w:r>
        <w:rPr>
          <w:rFonts w:hint="eastAsia" w:asciiTheme="minorEastAsia" w:hAnsiTheme="minorEastAsia" w:eastAsiaTheme="minorEastAsia" w:cstheme="minorEastAsia"/>
          <w:color w:val="333333"/>
          <w:kern w:val="0"/>
          <w:sz w:val="28"/>
          <w:szCs w:val="28"/>
        </w:rPr>
        <w:t>年下降</w:t>
      </w:r>
      <w:r>
        <w:rPr>
          <w:rFonts w:hint="eastAsia" w:asciiTheme="minorEastAsia" w:hAnsiTheme="minorEastAsia" w:eastAsiaTheme="minorEastAsia" w:cstheme="minorEastAsia"/>
          <w:color w:val="333333"/>
          <w:kern w:val="0"/>
          <w:sz w:val="28"/>
          <w:szCs w:val="28"/>
          <w:lang w:val="en-US" w:eastAsia="zh-CN"/>
        </w:rPr>
        <w:t>21.14</w:t>
      </w:r>
      <w:r>
        <w:rPr>
          <w:rFonts w:hint="eastAsia" w:asciiTheme="minorEastAsia" w:hAnsiTheme="minorEastAsia" w:eastAsiaTheme="minorEastAsia" w:cstheme="minorEastAsia"/>
          <w:color w:val="333333"/>
          <w:kern w:val="0"/>
          <w:sz w:val="28"/>
          <w:szCs w:val="28"/>
        </w:rPr>
        <w:t>%，</w:t>
      </w:r>
      <w:r>
        <w:rPr>
          <w:rFonts w:hint="eastAsia" w:asciiTheme="minorEastAsia" w:hAnsiTheme="minorEastAsia" w:eastAsiaTheme="minorEastAsia" w:cstheme="minorEastAsia"/>
          <w:color w:val="333333"/>
          <w:kern w:val="0"/>
          <w:sz w:val="28"/>
          <w:szCs w:val="28"/>
          <w:lang w:eastAsia="zh-CN"/>
        </w:rPr>
        <w:t>其中：</w:t>
      </w:r>
      <w:r>
        <w:rPr>
          <w:rFonts w:hint="eastAsia" w:asciiTheme="minorEastAsia" w:hAnsiTheme="minorEastAsia" w:eastAsiaTheme="minorEastAsia" w:cstheme="minorEastAsia"/>
          <w:color w:val="333333"/>
          <w:kern w:val="0"/>
          <w:sz w:val="28"/>
          <w:szCs w:val="28"/>
        </w:rPr>
        <w:t>实际办公费1.</w:t>
      </w:r>
      <w:r>
        <w:rPr>
          <w:rFonts w:hint="eastAsia" w:asciiTheme="minorEastAsia" w:hAnsiTheme="minorEastAsia" w:eastAsiaTheme="minorEastAsia" w:cstheme="minorEastAsia"/>
          <w:color w:val="333333"/>
          <w:kern w:val="0"/>
          <w:sz w:val="28"/>
          <w:szCs w:val="28"/>
          <w:lang w:val="en-US" w:eastAsia="zh-CN"/>
        </w:rPr>
        <w:t>89</w:t>
      </w:r>
      <w:r>
        <w:rPr>
          <w:rFonts w:hint="eastAsia" w:asciiTheme="minorEastAsia" w:hAnsiTheme="minorEastAsia" w:eastAsiaTheme="minorEastAsia" w:cstheme="minorEastAsia"/>
          <w:color w:val="333333"/>
          <w:kern w:val="0"/>
          <w:sz w:val="28"/>
          <w:szCs w:val="28"/>
        </w:rPr>
        <w:t xml:space="preserve">万元，水费 </w:t>
      </w:r>
      <w:r>
        <w:rPr>
          <w:rFonts w:hint="eastAsia" w:asciiTheme="minorEastAsia" w:hAnsiTheme="minorEastAsia" w:eastAsiaTheme="minorEastAsia" w:cstheme="minorEastAsia"/>
          <w:color w:val="333333"/>
          <w:kern w:val="0"/>
          <w:sz w:val="28"/>
          <w:szCs w:val="28"/>
          <w:lang w:val="en-US" w:eastAsia="zh-CN"/>
        </w:rPr>
        <w:t>0.11</w:t>
      </w:r>
      <w:r>
        <w:rPr>
          <w:rFonts w:hint="eastAsia" w:asciiTheme="minorEastAsia" w:hAnsiTheme="minorEastAsia" w:eastAsiaTheme="minorEastAsia" w:cstheme="minorEastAsia"/>
          <w:color w:val="333333"/>
          <w:kern w:val="0"/>
          <w:sz w:val="28"/>
          <w:szCs w:val="28"/>
        </w:rPr>
        <w:t>万元，电费</w:t>
      </w:r>
      <w:r>
        <w:rPr>
          <w:rFonts w:hint="eastAsia" w:asciiTheme="minorEastAsia" w:hAnsiTheme="minorEastAsia" w:eastAsiaTheme="minorEastAsia" w:cstheme="minorEastAsia"/>
          <w:color w:val="333333"/>
          <w:kern w:val="0"/>
          <w:sz w:val="28"/>
          <w:szCs w:val="28"/>
          <w:lang w:val="en-US" w:eastAsia="zh-CN"/>
        </w:rPr>
        <w:t>0.40</w:t>
      </w:r>
      <w:r>
        <w:rPr>
          <w:rFonts w:hint="eastAsia" w:asciiTheme="minorEastAsia" w:hAnsiTheme="minorEastAsia" w:eastAsiaTheme="minorEastAsia" w:cstheme="minorEastAsia"/>
          <w:color w:val="333333"/>
          <w:kern w:val="0"/>
          <w:sz w:val="28"/>
          <w:szCs w:val="28"/>
        </w:rPr>
        <w:t>万元，邮电费</w:t>
      </w:r>
      <w:r>
        <w:rPr>
          <w:rFonts w:hint="eastAsia" w:asciiTheme="minorEastAsia" w:hAnsiTheme="minorEastAsia" w:eastAsiaTheme="minorEastAsia" w:cstheme="minorEastAsia"/>
          <w:color w:val="333333"/>
          <w:kern w:val="0"/>
          <w:sz w:val="28"/>
          <w:szCs w:val="28"/>
          <w:lang w:val="en-US" w:eastAsia="zh-CN"/>
        </w:rPr>
        <w:t>0.74</w:t>
      </w:r>
      <w:r>
        <w:rPr>
          <w:rFonts w:hint="eastAsia" w:asciiTheme="minorEastAsia" w:hAnsiTheme="minorEastAsia" w:eastAsiaTheme="minorEastAsia" w:cstheme="minorEastAsia"/>
          <w:color w:val="333333"/>
          <w:kern w:val="0"/>
          <w:sz w:val="28"/>
          <w:szCs w:val="28"/>
        </w:rPr>
        <w:t>万元，其他费</w:t>
      </w:r>
      <w:r>
        <w:rPr>
          <w:rFonts w:hint="eastAsia" w:asciiTheme="minorEastAsia" w:hAnsiTheme="minorEastAsia" w:eastAsiaTheme="minorEastAsia" w:cstheme="minorEastAsia"/>
          <w:color w:val="333333"/>
          <w:kern w:val="0"/>
          <w:sz w:val="28"/>
          <w:szCs w:val="28"/>
          <w:lang w:eastAsia="zh-CN"/>
        </w:rPr>
        <w:t>用</w:t>
      </w:r>
      <w:r>
        <w:rPr>
          <w:rFonts w:hint="eastAsia" w:asciiTheme="minorEastAsia" w:hAnsiTheme="minorEastAsia" w:eastAsiaTheme="minorEastAsia" w:cstheme="minorEastAsia"/>
          <w:color w:val="333333"/>
          <w:kern w:val="0"/>
          <w:sz w:val="28"/>
          <w:szCs w:val="28"/>
          <w:lang w:val="en-US" w:eastAsia="zh-CN"/>
        </w:rPr>
        <w:t>4.6</w:t>
      </w:r>
      <w:r>
        <w:rPr>
          <w:rFonts w:hint="eastAsia" w:asciiTheme="minorEastAsia" w:hAnsiTheme="minorEastAsia" w:eastAsiaTheme="minorEastAsia" w:cstheme="minorEastAsia"/>
          <w:color w:val="333333"/>
          <w:kern w:val="0"/>
          <w:sz w:val="28"/>
          <w:szCs w:val="28"/>
        </w:rPr>
        <w:t>万元等其他费用。主要是单位厉行节约，</w:t>
      </w:r>
      <w:r>
        <w:rPr>
          <w:rFonts w:hint="eastAsia" w:asciiTheme="minorEastAsia" w:hAnsiTheme="minorEastAsia" w:eastAsiaTheme="minorEastAsia" w:cstheme="minorEastAsia"/>
          <w:color w:val="333333"/>
          <w:kern w:val="0"/>
          <w:sz w:val="28"/>
          <w:szCs w:val="28"/>
          <w:lang w:eastAsia="zh-CN"/>
        </w:rPr>
        <w:t>减少交通出行费用支出</w:t>
      </w:r>
      <w:r>
        <w:rPr>
          <w:rFonts w:hint="eastAsia" w:asciiTheme="minorEastAsia" w:hAnsiTheme="minorEastAsia" w:eastAsiaTheme="minorEastAsia" w:cstheme="minorEastAsia"/>
          <w:color w:val="333333"/>
          <w:kern w:val="0"/>
          <w:sz w:val="28"/>
          <w:szCs w:val="28"/>
        </w:rPr>
        <w:t>等。</w:t>
      </w:r>
    </w:p>
    <w:p>
      <w:pPr>
        <w:widowControl/>
        <w:shd w:val="clear" w:color="auto" w:fill="FFFFFF"/>
        <w:ind w:firstLine="480"/>
        <w:jc w:val="left"/>
        <w:rPr>
          <w:rFonts w:hint="eastAsia" w:ascii="宋体" w:hAnsi="宋体" w:cs="宋体"/>
          <w:b/>
          <w:bCs/>
          <w:color w:val="333333"/>
          <w:kern w:val="0"/>
          <w:sz w:val="28"/>
          <w:szCs w:val="28"/>
        </w:rPr>
      </w:pPr>
      <w:r>
        <w:rPr>
          <w:rFonts w:hint="eastAsia" w:ascii="宋体" w:hAnsi="宋体" w:cs="宋体"/>
          <w:b/>
          <w:bCs/>
          <w:color w:val="333333"/>
          <w:kern w:val="0"/>
          <w:sz w:val="28"/>
          <w:szCs w:val="28"/>
        </w:rPr>
        <w:t>（四）关于政府采购支出说明</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本单位201</w:t>
      </w:r>
      <w:r>
        <w:rPr>
          <w:rFonts w:hint="eastAsia" w:asciiTheme="minorEastAsia" w:hAnsiTheme="minorEastAsia" w:eastAsiaTheme="minorEastAsia" w:cstheme="minorEastAsia"/>
          <w:color w:val="333333"/>
          <w:kern w:val="0"/>
          <w:sz w:val="28"/>
          <w:szCs w:val="28"/>
          <w:lang w:val="en-US" w:eastAsia="zh-CN"/>
        </w:rPr>
        <w:t>8</w:t>
      </w:r>
      <w:r>
        <w:rPr>
          <w:rFonts w:hint="eastAsia" w:asciiTheme="minorEastAsia" w:hAnsiTheme="minorEastAsia" w:eastAsiaTheme="minorEastAsia" w:cstheme="minorEastAsia"/>
          <w:color w:val="333333"/>
          <w:kern w:val="0"/>
          <w:sz w:val="28"/>
          <w:szCs w:val="28"/>
        </w:rPr>
        <w:t>年度政府采购支出总额0万元。</w:t>
      </w:r>
    </w:p>
    <w:p>
      <w:pPr>
        <w:widowControl/>
        <w:shd w:val="clear" w:color="auto" w:fill="FFFFFF"/>
        <w:ind w:firstLine="480"/>
        <w:jc w:val="left"/>
        <w:rPr>
          <w:rFonts w:hint="eastAsia" w:ascii="宋体" w:hAnsi="宋体" w:cs="宋体"/>
          <w:b/>
          <w:bCs/>
          <w:color w:val="333333"/>
          <w:kern w:val="0"/>
          <w:sz w:val="28"/>
          <w:szCs w:val="28"/>
        </w:rPr>
      </w:pPr>
      <w:r>
        <w:rPr>
          <w:rFonts w:hint="eastAsia" w:ascii="宋体" w:hAnsi="宋体" w:cs="宋体"/>
          <w:b/>
          <w:bCs/>
          <w:color w:val="333333"/>
          <w:kern w:val="0"/>
          <w:sz w:val="28"/>
          <w:szCs w:val="28"/>
        </w:rPr>
        <w:t>（五）关于国有资产占用情况说明</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截至201</w:t>
      </w:r>
      <w:r>
        <w:rPr>
          <w:rFonts w:hint="eastAsia" w:asciiTheme="minorEastAsia" w:hAnsiTheme="minorEastAsia" w:eastAsiaTheme="minorEastAsia" w:cstheme="minorEastAsia"/>
          <w:color w:val="333333"/>
          <w:kern w:val="0"/>
          <w:sz w:val="28"/>
          <w:szCs w:val="28"/>
          <w:lang w:val="en-US" w:eastAsia="zh-CN"/>
        </w:rPr>
        <w:t>8</w:t>
      </w:r>
      <w:r>
        <w:rPr>
          <w:rFonts w:hint="eastAsia" w:asciiTheme="minorEastAsia" w:hAnsiTheme="minorEastAsia" w:eastAsiaTheme="minorEastAsia" w:cstheme="minorEastAsia"/>
          <w:color w:val="333333"/>
          <w:kern w:val="0"/>
          <w:sz w:val="28"/>
          <w:szCs w:val="28"/>
        </w:rPr>
        <w:t>年12月31日，本部门（单位）共有车辆零辆，较上年度无变化。</w:t>
      </w:r>
    </w:p>
    <w:p>
      <w:pPr>
        <w:widowControl/>
        <w:shd w:val="clear" w:color="auto" w:fill="FFFFFF"/>
        <w:ind w:firstLine="480"/>
        <w:jc w:val="left"/>
        <w:rPr>
          <w:rFonts w:hint="eastAsia" w:ascii="宋体" w:hAnsi="宋体" w:cs="宋体"/>
          <w:b/>
          <w:bCs/>
          <w:color w:val="333333"/>
          <w:kern w:val="0"/>
          <w:sz w:val="28"/>
          <w:szCs w:val="28"/>
          <w:lang w:val="en-US" w:eastAsia="zh-CN"/>
        </w:rPr>
      </w:pPr>
      <w:r>
        <w:rPr>
          <w:rFonts w:hint="eastAsia" w:ascii="宋体" w:hAnsi="宋体" w:cs="宋体"/>
          <w:b/>
          <w:bCs/>
          <w:color w:val="333333"/>
          <w:kern w:val="0"/>
          <w:sz w:val="28"/>
          <w:szCs w:val="28"/>
          <w:lang w:val="en-US" w:eastAsia="zh-CN"/>
        </w:rPr>
        <w:t>（六）重点绩效评价结果等预算绩效情况说明</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lang w:val="en-US" w:eastAsia="zh-CN"/>
        </w:rPr>
      </w:pPr>
      <w:r>
        <w:rPr>
          <w:rFonts w:hint="eastAsia" w:asciiTheme="minorEastAsia" w:hAnsiTheme="minorEastAsia" w:eastAsiaTheme="minorEastAsia" w:cstheme="minorEastAsia"/>
          <w:color w:val="333333"/>
          <w:kern w:val="0"/>
          <w:sz w:val="28"/>
          <w:szCs w:val="28"/>
          <w:lang w:val="en-US" w:eastAsia="zh-CN"/>
        </w:rPr>
        <w:t>2018年， 根据预算绩效管理要求，我单位组织2018年度一般公共预算项目支出全面开展绩效自评，共涉及项目</w:t>
      </w:r>
      <w:r>
        <w:rPr>
          <w:rFonts w:hint="eastAsia" w:asciiTheme="minorEastAsia" w:hAnsiTheme="minorEastAsia" w:cstheme="minorEastAsia"/>
          <w:color w:val="333333"/>
          <w:kern w:val="0"/>
          <w:sz w:val="28"/>
          <w:szCs w:val="28"/>
          <w:lang w:val="en-US" w:eastAsia="zh-CN"/>
        </w:rPr>
        <w:t>0</w:t>
      </w:r>
      <w:r>
        <w:rPr>
          <w:rFonts w:hint="eastAsia" w:asciiTheme="minorEastAsia" w:hAnsiTheme="minorEastAsia" w:eastAsiaTheme="minorEastAsia" w:cstheme="minorEastAsia"/>
          <w:color w:val="333333"/>
          <w:kern w:val="0"/>
          <w:sz w:val="28"/>
          <w:szCs w:val="28"/>
          <w:lang w:val="en-US" w:eastAsia="zh-CN"/>
        </w:rPr>
        <w:t>个，资金</w:t>
      </w:r>
      <w:r>
        <w:rPr>
          <w:rFonts w:hint="eastAsia" w:asciiTheme="minorEastAsia" w:hAnsiTheme="minorEastAsia" w:cstheme="minorEastAsia"/>
          <w:color w:val="333333"/>
          <w:kern w:val="0"/>
          <w:sz w:val="28"/>
          <w:szCs w:val="28"/>
          <w:lang w:val="en-US" w:eastAsia="zh-CN"/>
        </w:rPr>
        <w:t>0</w:t>
      </w:r>
      <w:r>
        <w:rPr>
          <w:rFonts w:hint="eastAsia" w:asciiTheme="minorEastAsia" w:hAnsiTheme="minorEastAsia" w:eastAsiaTheme="minorEastAsia" w:cstheme="minorEastAsia"/>
          <w:color w:val="333333"/>
          <w:kern w:val="0"/>
          <w:sz w:val="28"/>
          <w:szCs w:val="28"/>
          <w:lang w:val="en-US" w:eastAsia="zh-CN"/>
        </w:rPr>
        <w:t>万元。 2018年项目资金投入</w:t>
      </w:r>
      <w:r>
        <w:rPr>
          <w:rFonts w:hint="eastAsia" w:asciiTheme="minorEastAsia" w:hAnsiTheme="minorEastAsia" w:cstheme="minorEastAsia"/>
          <w:color w:val="333333"/>
          <w:kern w:val="0"/>
          <w:sz w:val="28"/>
          <w:szCs w:val="28"/>
          <w:lang w:val="en-US" w:eastAsia="zh-CN"/>
        </w:rPr>
        <w:t>0</w:t>
      </w:r>
      <w:r>
        <w:rPr>
          <w:rFonts w:hint="eastAsia" w:asciiTheme="minorEastAsia" w:hAnsiTheme="minorEastAsia" w:eastAsiaTheme="minorEastAsia" w:cstheme="minorEastAsia"/>
          <w:color w:val="333333"/>
          <w:kern w:val="0"/>
          <w:sz w:val="28"/>
          <w:szCs w:val="28"/>
          <w:lang w:val="en-US" w:eastAsia="zh-CN"/>
        </w:rPr>
        <w:t>万元，已使用</w:t>
      </w:r>
      <w:r>
        <w:rPr>
          <w:rFonts w:hint="eastAsia" w:asciiTheme="minorEastAsia" w:hAnsiTheme="minorEastAsia" w:cstheme="minorEastAsia"/>
          <w:color w:val="333333"/>
          <w:kern w:val="0"/>
          <w:sz w:val="28"/>
          <w:szCs w:val="28"/>
          <w:lang w:val="en-US" w:eastAsia="zh-CN"/>
        </w:rPr>
        <w:t>0</w:t>
      </w:r>
      <w:r>
        <w:rPr>
          <w:rFonts w:hint="eastAsia" w:asciiTheme="minorEastAsia" w:hAnsiTheme="minorEastAsia" w:eastAsiaTheme="minorEastAsia" w:cstheme="minorEastAsia"/>
          <w:color w:val="333333"/>
          <w:kern w:val="0"/>
          <w:sz w:val="28"/>
          <w:szCs w:val="28"/>
          <w:lang w:val="en-US" w:eastAsia="zh-CN"/>
        </w:rPr>
        <w:t>万元。使用从评价结果看，项目立项程序完整、规范，预算执行及时、有效，绩效目标得到较好实现，绩效管理水平不断提高，绩效指标体系建设逐渐丰富和完善。</w:t>
      </w:r>
    </w:p>
    <w:p>
      <w:pPr>
        <w:widowControl/>
        <w:shd w:val="clear" w:color="auto" w:fill="FFFFFF"/>
        <w:jc w:val="left"/>
        <w:rPr>
          <w:rFonts w:hint="eastAsia" w:ascii="宋体" w:hAnsi="宋体" w:cs="宋体"/>
          <w:color w:val="333333"/>
          <w:kern w:val="0"/>
          <w:sz w:val="30"/>
          <w:szCs w:val="30"/>
        </w:rPr>
      </w:pPr>
      <w:bookmarkStart w:id="0" w:name="_GoBack"/>
      <w:bookmarkEnd w:id="0"/>
    </w:p>
    <w:p>
      <w:pPr>
        <w:widowControl/>
        <w:shd w:val="clear" w:color="auto" w:fill="FFFFFF"/>
        <w:ind w:firstLine="480"/>
        <w:jc w:val="left"/>
        <w:rPr>
          <w:rFonts w:hint="eastAsia" w:ascii="微软雅黑" w:hAnsi="微软雅黑" w:eastAsia="微软雅黑" w:cs="微软雅黑"/>
          <w:b/>
          <w:bCs/>
          <w:color w:val="333333"/>
          <w:kern w:val="0"/>
          <w:sz w:val="24"/>
          <w:szCs w:val="24"/>
        </w:rPr>
      </w:pPr>
      <w:r>
        <w:rPr>
          <w:rFonts w:hint="eastAsia" w:ascii="微软雅黑" w:hAnsi="微软雅黑" w:eastAsia="微软雅黑" w:cs="微软雅黑"/>
          <w:b/>
          <w:bCs/>
          <w:color w:val="333333"/>
          <w:kern w:val="0"/>
          <w:sz w:val="24"/>
          <w:szCs w:val="24"/>
        </w:rPr>
        <w:t xml:space="preserve"> 第四部分</w:t>
      </w:r>
      <w:r>
        <w:rPr>
          <w:rFonts w:hint="eastAsia" w:ascii="微软雅黑" w:hAnsi="微软雅黑" w:eastAsia="微软雅黑" w:cs="微软雅黑"/>
          <w:b/>
          <w:bCs/>
          <w:color w:val="333333"/>
          <w:kern w:val="0"/>
          <w:sz w:val="24"/>
          <w:szCs w:val="24"/>
          <w:lang w:val="en-US" w:eastAsia="zh-CN"/>
        </w:rPr>
        <w:t xml:space="preserve"> </w:t>
      </w:r>
      <w:r>
        <w:rPr>
          <w:rFonts w:hint="eastAsia" w:ascii="微软雅黑" w:hAnsi="微软雅黑" w:eastAsia="微软雅黑" w:cs="微软雅黑"/>
          <w:b/>
          <w:bCs/>
          <w:color w:val="333333"/>
          <w:kern w:val="0"/>
          <w:sz w:val="24"/>
          <w:szCs w:val="24"/>
        </w:rPr>
        <w:t>名词解释</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一、财政补助收入：指县级财政当年拨付的资金。</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二、其他收入：指除“财政拨款收入”、“上级补助收入”、“事业收入”、“经营收入”等以外的收入。主要是存款利息收入等。</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三、年初结转和结余：指以前年度尚未完成、结转到本年按有关规定继续使用的资金。</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六、一般公共服务（类）机关服务（项）：指县</w:t>
      </w:r>
      <w:r>
        <w:rPr>
          <w:rFonts w:hint="eastAsia" w:asciiTheme="minorEastAsia" w:hAnsiTheme="minorEastAsia" w:eastAsiaTheme="minorEastAsia" w:cstheme="minorEastAsia"/>
          <w:b w:val="0"/>
          <w:bCs w:val="0"/>
          <w:color w:val="333333"/>
          <w:kern w:val="0"/>
          <w:sz w:val="28"/>
          <w:szCs w:val="28"/>
          <w:lang w:eastAsia="zh-CN"/>
        </w:rPr>
        <w:t>黄石港区房征局</w:t>
      </w:r>
      <w:r>
        <w:rPr>
          <w:rFonts w:hint="eastAsia" w:asciiTheme="minorEastAsia" w:hAnsiTheme="minorEastAsia" w:eastAsiaTheme="minorEastAsia" w:cstheme="minorEastAsia"/>
          <w:b w:val="0"/>
          <w:bCs w:val="0"/>
          <w:color w:val="333333"/>
          <w:kern w:val="0"/>
          <w:sz w:val="28"/>
          <w:szCs w:val="28"/>
        </w:rPr>
        <w:t>服务中心为机关提供办公楼日常维修、维护等后勤保障服务的支出。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七、一般公共服务（类）其他一般公共服务支出（款）其他一般公共服务支出（项）：指</w:t>
      </w:r>
      <w:r>
        <w:rPr>
          <w:rFonts w:hint="eastAsia" w:asciiTheme="minorEastAsia" w:hAnsiTheme="minorEastAsia" w:eastAsiaTheme="minorEastAsia" w:cstheme="minorEastAsia"/>
          <w:b w:val="0"/>
          <w:bCs w:val="0"/>
          <w:color w:val="333333"/>
          <w:kern w:val="0"/>
          <w:sz w:val="28"/>
          <w:szCs w:val="28"/>
          <w:lang w:eastAsia="zh-CN"/>
        </w:rPr>
        <w:t>黄石港区房征局</w:t>
      </w:r>
      <w:r>
        <w:rPr>
          <w:rFonts w:hint="eastAsia" w:asciiTheme="minorEastAsia" w:hAnsiTheme="minorEastAsia" w:eastAsiaTheme="minorEastAsia" w:cstheme="minorEastAsia"/>
          <w:b w:val="0"/>
          <w:bCs w:val="0"/>
          <w:color w:val="333333"/>
          <w:kern w:val="0"/>
          <w:sz w:val="28"/>
          <w:szCs w:val="28"/>
        </w:rPr>
        <w:t>用于其他一般公共服务方面的支出。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八、教育（类）普通教育（款）高等教育（项）：指</w:t>
      </w:r>
      <w:r>
        <w:rPr>
          <w:rFonts w:hint="eastAsia" w:asciiTheme="minorEastAsia" w:hAnsiTheme="minorEastAsia" w:eastAsiaTheme="minorEastAsia" w:cstheme="minorEastAsia"/>
          <w:b w:val="0"/>
          <w:bCs w:val="0"/>
          <w:color w:val="333333"/>
          <w:kern w:val="0"/>
          <w:sz w:val="28"/>
          <w:szCs w:val="28"/>
          <w:lang w:eastAsia="zh-CN"/>
        </w:rPr>
        <w:t>黄石港区房征局</w:t>
      </w:r>
      <w:r>
        <w:rPr>
          <w:rFonts w:hint="eastAsia" w:asciiTheme="minorEastAsia" w:hAnsiTheme="minorEastAsia" w:eastAsiaTheme="minorEastAsia" w:cstheme="minorEastAsia"/>
          <w:b w:val="0"/>
          <w:bCs w:val="0"/>
          <w:color w:val="333333"/>
          <w:kern w:val="0"/>
          <w:sz w:val="28"/>
          <w:szCs w:val="28"/>
        </w:rPr>
        <w:t>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九、社会保障和就业(类)行政事业单位离退休（款）归口管理的行政单位离退休（项）：指</w:t>
      </w:r>
      <w:r>
        <w:rPr>
          <w:rFonts w:hint="eastAsia" w:asciiTheme="minorEastAsia" w:hAnsiTheme="minorEastAsia" w:eastAsiaTheme="minorEastAsia" w:cstheme="minorEastAsia"/>
          <w:b w:val="0"/>
          <w:bCs w:val="0"/>
          <w:color w:val="333333"/>
          <w:kern w:val="0"/>
          <w:sz w:val="28"/>
          <w:szCs w:val="28"/>
          <w:lang w:eastAsia="zh-CN"/>
        </w:rPr>
        <w:t>黄石港区房征局</w:t>
      </w:r>
      <w:r>
        <w:rPr>
          <w:rFonts w:hint="eastAsia" w:asciiTheme="minorEastAsia" w:hAnsiTheme="minorEastAsia" w:eastAsiaTheme="minorEastAsia" w:cstheme="minorEastAsia"/>
          <w:b w:val="0"/>
          <w:bCs w:val="0"/>
          <w:color w:val="333333"/>
          <w:kern w:val="0"/>
          <w:sz w:val="28"/>
          <w:szCs w:val="28"/>
        </w:rPr>
        <w:t>用于离退休人员的支出、退休人员支出，以及提供管理服务工作的离退休干部处的支出。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十、社会保障和就业(类)行政事业单位离退休（款）其他行政事业单位离退休支出（项）：指</w:t>
      </w:r>
      <w:r>
        <w:rPr>
          <w:rFonts w:hint="eastAsia" w:asciiTheme="minorEastAsia" w:hAnsiTheme="minorEastAsia" w:eastAsiaTheme="minorEastAsia" w:cstheme="minorEastAsia"/>
          <w:b w:val="0"/>
          <w:bCs w:val="0"/>
          <w:color w:val="333333"/>
          <w:kern w:val="0"/>
          <w:sz w:val="28"/>
          <w:szCs w:val="28"/>
          <w:lang w:eastAsia="zh-CN"/>
        </w:rPr>
        <w:t>黄石港区房征局</w:t>
      </w:r>
      <w:r>
        <w:rPr>
          <w:rFonts w:hint="eastAsia" w:asciiTheme="minorEastAsia" w:hAnsiTheme="minorEastAsia" w:eastAsiaTheme="minorEastAsia" w:cstheme="minorEastAsia"/>
          <w:b w:val="0"/>
          <w:bCs w:val="0"/>
          <w:color w:val="333333"/>
          <w:kern w:val="0"/>
          <w:sz w:val="28"/>
          <w:szCs w:val="28"/>
        </w:rPr>
        <w:t>用于离退休方面的其他支出。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十一、医疗卫生与计划生育（类）医疗保障（款）行政单位医疗（项）：指</w:t>
      </w:r>
      <w:r>
        <w:rPr>
          <w:rFonts w:hint="eastAsia" w:asciiTheme="minorEastAsia" w:hAnsiTheme="minorEastAsia" w:eastAsiaTheme="minorEastAsia" w:cstheme="minorEastAsia"/>
          <w:b w:val="0"/>
          <w:bCs w:val="0"/>
          <w:color w:val="333333"/>
          <w:kern w:val="0"/>
          <w:sz w:val="28"/>
          <w:szCs w:val="28"/>
          <w:lang w:eastAsia="zh-CN"/>
        </w:rPr>
        <w:t>黄石港区房征局</w:t>
      </w:r>
      <w:r>
        <w:rPr>
          <w:rFonts w:hint="eastAsia" w:asciiTheme="minorEastAsia" w:hAnsiTheme="minorEastAsia" w:eastAsiaTheme="minorEastAsia" w:cstheme="minorEastAsia"/>
          <w:b w:val="0"/>
          <w:bCs w:val="0"/>
          <w:color w:val="333333"/>
          <w:kern w:val="0"/>
          <w:sz w:val="28"/>
          <w:szCs w:val="28"/>
        </w:rPr>
        <w:t>用于机关干部职工及离退休人员医疗方面的支出。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十五、项目支出：指在基本支出之外为完成特定行政任务和事业发展目标所发生的支出。</w:t>
      </w:r>
    </w:p>
    <w:p>
      <w:pPr>
        <w:widowControl/>
        <w:shd w:val="clear" w:color="auto" w:fill="FFFFFF"/>
        <w:ind w:firstLine="480"/>
        <w:jc w:val="left"/>
        <w:rPr>
          <w:rFonts w:hint="eastAsia" w:asciiTheme="minorEastAsia" w:hAnsiTheme="minorEastAsia" w:eastAsiaTheme="minorEastAsia" w:cstheme="minorEastAsia"/>
          <w:b w:val="0"/>
          <w:bCs w:val="0"/>
          <w:color w:val="333333"/>
          <w:kern w:val="0"/>
          <w:sz w:val="28"/>
          <w:szCs w:val="28"/>
        </w:rPr>
      </w:pPr>
      <w:r>
        <w:rPr>
          <w:rFonts w:hint="eastAsia" w:asciiTheme="minorEastAsia" w:hAnsiTheme="minorEastAsia" w:eastAsiaTheme="minorEastAsia" w:cstheme="minorEastAsia"/>
          <w:b w:val="0"/>
          <w:bCs w:val="0"/>
          <w:color w:val="333333"/>
          <w:kern w:val="0"/>
          <w:sz w:val="28"/>
          <w:szCs w:val="28"/>
        </w:rPr>
        <w:t>十六、“三公”经费：是指用财政拨款安排的因公出国（境）费、公务用车购置及运行维护费、公务接待费。</w:t>
      </w:r>
    </w:p>
    <w:p>
      <w:pPr>
        <w:rPr>
          <w:rFonts w:hint="eastAsia" w:ascii="宋体" w:hAnsi="宋体" w:eastAsia="宋体" w:cs="宋体"/>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ACD88"/>
    <w:multiLevelType w:val="singleLevel"/>
    <w:tmpl w:val="716ACD88"/>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2D433A"/>
    <w:rsid w:val="09FF39B4"/>
    <w:rsid w:val="10157CA5"/>
    <w:rsid w:val="10C64D96"/>
    <w:rsid w:val="11411182"/>
    <w:rsid w:val="13FA6E94"/>
    <w:rsid w:val="1D3216D7"/>
    <w:rsid w:val="219E41B4"/>
    <w:rsid w:val="255E033E"/>
    <w:rsid w:val="27272230"/>
    <w:rsid w:val="27390172"/>
    <w:rsid w:val="2CCE2491"/>
    <w:rsid w:val="2F081AB6"/>
    <w:rsid w:val="2F9C2E34"/>
    <w:rsid w:val="31B77359"/>
    <w:rsid w:val="401A2F36"/>
    <w:rsid w:val="408F5EDF"/>
    <w:rsid w:val="457D21A1"/>
    <w:rsid w:val="48DC4391"/>
    <w:rsid w:val="49D83A19"/>
    <w:rsid w:val="507C1CF5"/>
    <w:rsid w:val="53DE1393"/>
    <w:rsid w:val="57193076"/>
    <w:rsid w:val="57EB0EE4"/>
    <w:rsid w:val="5B1441E1"/>
    <w:rsid w:val="61773BFF"/>
    <w:rsid w:val="621B3808"/>
    <w:rsid w:val="67E4782B"/>
    <w:rsid w:val="746766E2"/>
    <w:rsid w:val="74EA7B66"/>
    <w:rsid w:val="78186405"/>
    <w:rsid w:val="7D417A4A"/>
    <w:rsid w:val="7DED68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6"/>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qFormat/>
    <w:uiPriority w:val="0"/>
  </w:style>
  <w:style w:type="character" w:customStyle="1" w:styleId="13">
    <w:name w:val="apple-converted-space"/>
    <w:basedOn w:val="6"/>
    <w:qFormat/>
    <w:uiPriority w:val="99"/>
  </w:style>
  <w:style w:type="paragraph" w:customStyle="1" w:styleId="14">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2021-05-26T02:31:23Z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