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F6B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bookmarkStart w:id="0" w:name="_GoBack"/>
      <w:r>
        <w:rPr>
          <w:rFonts w:hint="eastAsia" w:ascii="微软雅黑" w:hAnsi="微软雅黑" w:eastAsia="微软雅黑" w:cs="微软雅黑"/>
          <w:b/>
          <w:i w:val="0"/>
          <w:caps w:val="0"/>
          <w:color w:val="BC1010"/>
          <w:spacing w:val="0"/>
          <w:sz w:val="40"/>
          <w:szCs w:val="40"/>
          <w:shd w:val="clear" w:fill="FFFFFF"/>
          <w:lang w:eastAsia="zh-CN"/>
        </w:rPr>
        <w:t>花湖街办</w:t>
      </w:r>
      <w:r>
        <w:rPr>
          <w:rFonts w:hint="eastAsia" w:ascii="微软雅黑" w:hAnsi="微软雅黑" w:eastAsia="微软雅黑" w:cs="微软雅黑"/>
          <w:b/>
          <w:i w:val="0"/>
          <w:caps w:val="0"/>
          <w:color w:val="BC1010"/>
          <w:spacing w:val="0"/>
          <w:sz w:val="40"/>
          <w:szCs w:val="40"/>
          <w:shd w:val="clear" w:fill="FFFFFF"/>
        </w:rPr>
        <w:t>2017年决算公开</w:t>
      </w:r>
    </w:p>
    <w:bookmarkEnd w:id="0"/>
    <w:p w14:paraId="0F58B5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黄石港区花湖街办</w:t>
      </w:r>
      <w:r>
        <w:rPr>
          <w:rStyle w:val="8"/>
          <w:rFonts w:hint="eastAsia" w:ascii="微软雅黑" w:hAnsi="微软雅黑" w:eastAsia="微软雅黑" w:cs="微软雅黑"/>
          <w:i w:val="0"/>
          <w:caps w:val="0"/>
          <w:color w:val="333333"/>
          <w:spacing w:val="0"/>
          <w:sz w:val="24"/>
          <w:szCs w:val="24"/>
          <w:shd w:val="clear" w:fill="FFFFFF"/>
        </w:rPr>
        <w:t>2017年决算公开</w:t>
      </w:r>
    </w:p>
    <w:p w14:paraId="55471D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14:paraId="54FE85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14:paraId="7E0C90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14:paraId="500B53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14:paraId="27885E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部门2017年部门决算表</w:t>
      </w:r>
    </w:p>
    <w:p w14:paraId="0DFF1D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14:paraId="34EF41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14:paraId="5EB19A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14:paraId="1A306C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14:paraId="7499BC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14:paraId="12CF5A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14:paraId="6D0CA2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14:paraId="27EA80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八、政府性基金预算财政拨款收入支出决算表（8）</w:t>
      </w:r>
    </w:p>
    <w:p w14:paraId="7BBAEA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第三部分：部门2017年部门决算情况说明</w:t>
      </w:r>
    </w:p>
    <w:p w14:paraId="67CE2D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14:paraId="7296FA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14:paraId="438389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14:paraId="3F2D22D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14:paraId="21CA3D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14:paraId="7BBFE5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第四部分：名词解释 </w:t>
      </w:r>
    </w:p>
    <w:p w14:paraId="1D7421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rPr>
        <w:t>2017年部门决算</w:t>
      </w:r>
    </w:p>
    <w:p w14:paraId="0C1B65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第一部分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部门概况</w:t>
      </w:r>
    </w:p>
    <w:p w14:paraId="0084ED74">
      <w:pPr>
        <w:spacing w:line="540" w:lineRule="exact"/>
        <w:ind w:firstLine="568" w:firstLineChars="200"/>
        <w:rPr>
          <w:rFonts w:hint="eastAsia" w:ascii="仿宋" w:hAnsi="仿宋" w:eastAsia="仿宋"/>
          <w:color w:val="000000"/>
          <w:spacing w:val="2"/>
          <w:sz w:val="28"/>
          <w:szCs w:val="32"/>
        </w:rPr>
      </w:pPr>
      <w:r>
        <w:rPr>
          <w:rFonts w:hint="eastAsia" w:ascii="仿宋" w:hAnsi="仿宋" w:eastAsia="仿宋"/>
          <w:color w:val="000000"/>
          <w:spacing w:val="2"/>
          <w:sz w:val="28"/>
          <w:szCs w:val="32"/>
        </w:rPr>
        <w:t>1.</w:t>
      </w:r>
      <w:r>
        <w:rPr>
          <w:rFonts w:hint="eastAsia" w:ascii="仿宋" w:hAnsi="仿宋" w:eastAsia="仿宋"/>
          <w:b/>
          <w:color w:val="000000"/>
          <w:spacing w:val="2"/>
          <w:sz w:val="28"/>
          <w:szCs w:val="32"/>
        </w:rPr>
        <w:t>主要职能</w:t>
      </w:r>
      <w:r>
        <w:rPr>
          <w:rFonts w:hint="eastAsia" w:ascii="仿宋" w:hAnsi="仿宋" w:eastAsia="仿宋"/>
          <w:color w:val="000000"/>
          <w:spacing w:val="2"/>
          <w:sz w:val="28"/>
          <w:szCs w:val="32"/>
        </w:rPr>
        <w:t>:</w:t>
      </w:r>
      <w:r>
        <w:rPr>
          <w:rFonts w:ascii="仿宋" w:hAnsi="仿宋" w:eastAsia="仿宋"/>
          <w:sz w:val="28"/>
          <w:szCs w:val="28"/>
        </w:rPr>
        <w:t>宣传、执行党的路线、方针、政策和国家法律、法规、保证市、区政府决议、决定的落实，对居民进行思想政治教育和社会主义法制教育。组织领导街道区域经济工作，制定街道经济发展规划，检查、督促各经济组织开展工作，负责街道财政预算和收支管理，进行财务审计和有关项目统计。制定社会治安综合治理规划并组织实施，加强外来人口管理，开展民事调解，保护老人、儿童、妇女、残疾人和青少年的合法权益，保障辖区内政治稳定和社会安定。开展群众文化、科普、体育、校外教育及卫生保健工作，建设社会主义精神文明。开展爱国卫生、计划生育、市容卫生、环境保护、绿化美化工作。开展社会救济、社区服务、离退休人员管理、拥军优属、征集兵员以及殡葬管理工作，兴办社会福利事业，发展社会福利生产。指导居民委员会工作，促进居民委员会建设，提高居民委员会自治能力，发挥居民委员会作用。参与城市建设、危房改造及住宅小区的管理工作。协助有关部门搞好劳动力资源开发、配置、管理、监督及劳动保险的政策贯彻和社会化管理工作。配合有关部门做好防空、防汛、防水、防震、交通管理、抢险救灾工作。向区人民政府反映居民群众的意见和要求，办理人民群众来信来访事项，做好为居民群众服务工作。</w:t>
      </w:r>
    </w:p>
    <w:p w14:paraId="7C861BB2">
      <w:pPr>
        <w:ind w:firstLine="560"/>
        <w:rPr>
          <w:rFonts w:hint="eastAsia" w:ascii="仿宋" w:hAnsi="仿宋" w:eastAsia="仿宋"/>
          <w:sz w:val="28"/>
          <w:szCs w:val="28"/>
        </w:rPr>
      </w:pPr>
      <w:r>
        <w:rPr>
          <w:rFonts w:hint="eastAsia" w:ascii="仿宋" w:hAnsi="仿宋" w:eastAsia="仿宋"/>
          <w:b/>
          <w:sz w:val="28"/>
          <w:szCs w:val="28"/>
        </w:rPr>
        <w:t>2</w:t>
      </w:r>
      <w:r>
        <w:rPr>
          <w:rFonts w:hint="eastAsia" w:ascii="仿宋" w:hAnsi="仿宋" w:eastAsia="仿宋"/>
          <w:sz w:val="28"/>
          <w:szCs w:val="28"/>
        </w:rPr>
        <w:t>.</w:t>
      </w:r>
      <w:r>
        <w:rPr>
          <w:rFonts w:hint="eastAsia" w:ascii="仿宋" w:hAnsi="仿宋" w:eastAsia="仿宋"/>
          <w:b/>
          <w:sz w:val="28"/>
          <w:szCs w:val="28"/>
        </w:rPr>
        <w:t>机构情况</w:t>
      </w:r>
      <w:r>
        <w:rPr>
          <w:rFonts w:hint="eastAsia" w:ascii="仿宋" w:hAnsi="仿宋" w:eastAsia="仿宋"/>
          <w:sz w:val="28"/>
          <w:szCs w:val="28"/>
        </w:rPr>
        <w:t>: 辖大码头、锁前、老虎头、花湖、天虹、天方6个居民委员会，其中，大码头和锁前为“村改居”社区。辖区面积约8.6平方公里，常住人口近5万人。辖区有市公安局、市地税局、市质量技术监督局等机关事业单位12家，有东方装饰城、科威自控有限公司、鑫大地物流等规模以上企业44家，有装饰材料市场、家居市场、木材市场、农副产品批发市场、钢材交易市场、汽车销售市场和物流中心等商贸企业500余家。全年完成固定资产投资125.83亿元，同比增长2.59%；社会</w:t>
      </w:r>
      <w:r>
        <w:rPr>
          <w:rFonts w:ascii="仿宋" w:hAnsi="仿宋" w:eastAsia="仿宋"/>
          <w:sz w:val="28"/>
          <w:szCs w:val="28"/>
        </w:rPr>
        <w:t>消费品零售总额</w:t>
      </w:r>
      <w:r>
        <w:rPr>
          <w:rFonts w:hint="eastAsia" w:ascii="仿宋" w:hAnsi="仿宋" w:eastAsia="仿宋"/>
          <w:sz w:val="28"/>
          <w:szCs w:val="28"/>
        </w:rPr>
        <w:t>13.12</w:t>
      </w:r>
      <w:r>
        <w:rPr>
          <w:rFonts w:ascii="仿宋" w:hAnsi="仿宋" w:eastAsia="仿宋"/>
          <w:sz w:val="28"/>
          <w:szCs w:val="28"/>
        </w:rPr>
        <w:t>亿元,</w:t>
      </w:r>
      <w:r>
        <w:rPr>
          <w:rFonts w:hint="eastAsia" w:ascii="仿宋" w:hAnsi="仿宋" w:eastAsia="仿宋"/>
          <w:sz w:val="28"/>
          <w:szCs w:val="28"/>
        </w:rPr>
        <w:t>同比</w:t>
      </w:r>
      <w:r>
        <w:rPr>
          <w:rFonts w:ascii="仿宋" w:hAnsi="仿宋" w:eastAsia="仿宋"/>
          <w:sz w:val="28"/>
          <w:szCs w:val="28"/>
        </w:rPr>
        <w:t>增长</w:t>
      </w:r>
      <w:r>
        <w:rPr>
          <w:rFonts w:hint="eastAsia" w:ascii="仿宋" w:hAnsi="仿宋" w:eastAsia="仿宋"/>
          <w:sz w:val="28"/>
          <w:szCs w:val="28"/>
        </w:rPr>
        <w:t>22.2</w:t>
      </w:r>
      <w:r>
        <w:rPr>
          <w:rFonts w:ascii="仿宋" w:hAnsi="仿宋" w:eastAsia="仿宋"/>
          <w:sz w:val="28"/>
          <w:szCs w:val="28"/>
        </w:rPr>
        <w:t>%</w:t>
      </w:r>
      <w:r>
        <w:rPr>
          <w:rFonts w:hint="eastAsia" w:ascii="仿宋" w:hAnsi="仿宋" w:eastAsia="仿宋"/>
          <w:sz w:val="28"/>
          <w:szCs w:val="28"/>
        </w:rPr>
        <w:t>；服务业营业收入3.08亿元，同比增长11%。</w:t>
      </w:r>
    </w:p>
    <w:p w14:paraId="1A95E7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8"/>
          <w:rFonts w:hint="eastAsia" w:ascii="微软雅黑" w:hAnsi="微软雅黑" w:eastAsia="微软雅黑" w:cs="微软雅黑"/>
          <w:i w:val="0"/>
          <w:caps w:val="0"/>
          <w:color w:val="333333"/>
          <w:spacing w:val="0"/>
          <w:sz w:val="24"/>
          <w:szCs w:val="24"/>
          <w:shd w:val="clear" w:fill="FFFFFF"/>
        </w:rPr>
      </w:pPr>
      <w:r>
        <w:rPr>
          <w:rStyle w:val="8"/>
          <w:rFonts w:hint="eastAsia" w:ascii="微软雅黑" w:hAnsi="微软雅黑" w:eastAsia="微软雅黑" w:cs="微软雅黑"/>
          <w:i w:val="0"/>
          <w:caps w:val="0"/>
          <w:color w:val="333333"/>
          <w:spacing w:val="0"/>
          <w:sz w:val="24"/>
          <w:szCs w:val="24"/>
          <w:shd w:val="clear" w:fill="FFFFFF"/>
          <w:lang w:eastAsia="zh-CN"/>
        </w:rPr>
        <w:t>第二部分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2017年部门决算表</w:t>
      </w:r>
    </w:p>
    <w:p w14:paraId="153B49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8"/>
          <w:rFonts w:hint="eastAsia" w:ascii="微软雅黑" w:hAnsi="微软雅黑" w:eastAsia="微软雅黑" w:cs="微软雅黑"/>
          <w:i w:val="0"/>
          <w:caps w:val="0"/>
          <w:color w:val="333333"/>
          <w:spacing w:val="0"/>
          <w:sz w:val="24"/>
          <w:szCs w:val="24"/>
          <w:shd w:val="clear" w:fill="FFFFFF"/>
        </w:rPr>
      </w:pPr>
      <w:r>
        <w:drawing>
          <wp:inline distT="0" distB="0" distL="114300" distR="114300">
            <wp:extent cx="5964555" cy="5268595"/>
            <wp:effectExtent l="0" t="0" r="17145" b="825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4"/>
                    <a:stretch>
                      <a:fillRect/>
                    </a:stretch>
                  </pic:blipFill>
                  <pic:spPr>
                    <a:xfrm>
                      <a:off x="0" y="0"/>
                      <a:ext cx="5964555" cy="5268595"/>
                    </a:xfrm>
                    <a:prstGeom prst="rect">
                      <a:avLst/>
                    </a:prstGeom>
                    <a:noFill/>
                    <a:ln w="9525">
                      <a:noFill/>
                    </a:ln>
                  </pic:spPr>
                </pic:pic>
              </a:graphicData>
            </a:graphic>
          </wp:inline>
        </w:drawing>
      </w:r>
    </w:p>
    <w:p w14:paraId="79CB9D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14:paraId="1E120D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53170" cy="3790950"/>
            <wp:effectExtent l="0" t="0" r="508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5"/>
                    <a:stretch>
                      <a:fillRect/>
                    </a:stretch>
                  </pic:blipFill>
                  <pic:spPr>
                    <a:xfrm>
                      <a:off x="0" y="0"/>
                      <a:ext cx="8853170" cy="3790950"/>
                    </a:xfrm>
                    <a:prstGeom prst="rect">
                      <a:avLst/>
                    </a:prstGeom>
                    <a:noFill/>
                    <a:ln w="9525">
                      <a:noFill/>
                    </a:ln>
                  </pic:spPr>
                </pic:pic>
              </a:graphicData>
            </a:graphic>
          </wp:inline>
        </w:drawing>
      </w:r>
      <w:r>
        <w:drawing>
          <wp:inline distT="0" distB="0" distL="114300" distR="114300">
            <wp:extent cx="8861425" cy="4126865"/>
            <wp:effectExtent l="0" t="0" r="15875"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
                    <a:stretch>
                      <a:fillRect/>
                    </a:stretch>
                  </pic:blipFill>
                  <pic:spPr>
                    <a:xfrm>
                      <a:off x="0" y="0"/>
                      <a:ext cx="8861425" cy="4126865"/>
                    </a:xfrm>
                    <a:prstGeom prst="rect">
                      <a:avLst/>
                    </a:prstGeom>
                    <a:noFill/>
                    <a:ln w="9525">
                      <a:noFill/>
                    </a:ln>
                  </pic:spPr>
                </pic:pic>
              </a:graphicData>
            </a:graphic>
          </wp:inline>
        </w:drawing>
      </w:r>
      <w:r>
        <w:drawing>
          <wp:inline distT="0" distB="0" distL="114300" distR="114300">
            <wp:extent cx="6410325" cy="5191125"/>
            <wp:effectExtent l="0" t="0" r="9525" b="952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7"/>
                    <a:stretch>
                      <a:fillRect/>
                    </a:stretch>
                  </pic:blipFill>
                  <pic:spPr>
                    <a:xfrm>
                      <a:off x="0" y="0"/>
                      <a:ext cx="6410325" cy="5191125"/>
                    </a:xfrm>
                    <a:prstGeom prst="rect">
                      <a:avLst/>
                    </a:prstGeom>
                    <a:noFill/>
                    <a:ln w="9525">
                      <a:noFill/>
                    </a:ln>
                  </pic:spPr>
                </pic:pic>
              </a:graphicData>
            </a:graphic>
          </wp:inline>
        </w:drawing>
      </w:r>
      <w:r>
        <w:drawing>
          <wp:inline distT="0" distB="0" distL="114300" distR="114300">
            <wp:extent cx="5915025" cy="4829175"/>
            <wp:effectExtent l="0" t="0" r="9525" b="952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5915025" cy="4829175"/>
                    </a:xfrm>
                    <a:prstGeom prst="rect">
                      <a:avLst/>
                    </a:prstGeom>
                    <a:noFill/>
                    <a:ln w="9525">
                      <a:noFill/>
                    </a:ln>
                  </pic:spPr>
                </pic:pic>
              </a:graphicData>
            </a:graphic>
          </wp:inline>
        </w:drawing>
      </w:r>
      <w:r>
        <w:drawing>
          <wp:inline distT="0" distB="0" distL="114300" distR="114300">
            <wp:extent cx="8860790" cy="4959350"/>
            <wp:effectExtent l="0" t="0" r="16510" b="1270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8860790" cy="4959350"/>
                    </a:xfrm>
                    <a:prstGeom prst="rect">
                      <a:avLst/>
                    </a:prstGeom>
                    <a:noFill/>
                    <a:ln w="9525">
                      <a:noFill/>
                    </a:ln>
                  </pic:spPr>
                </pic:pic>
              </a:graphicData>
            </a:graphic>
          </wp:inline>
        </w:drawing>
      </w:r>
      <w:r>
        <w:drawing>
          <wp:inline distT="0" distB="0" distL="114300" distR="114300">
            <wp:extent cx="8856980" cy="1929130"/>
            <wp:effectExtent l="0" t="0" r="1270" b="1397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8856980" cy="1929130"/>
                    </a:xfrm>
                    <a:prstGeom prst="rect">
                      <a:avLst/>
                    </a:prstGeom>
                    <a:noFill/>
                    <a:ln w="9525">
                      <a:noFill/>
                    </a:ln>
                  </pic:spPr>
                </pic:pic>
              </a:graphicData>
            </a:graphic>
          </wp:inline>
        </w:drawing>
      </w:r>
      <w:r>
        <w:drawing>
          <wp:inline distT="0" distB="0" distL="114300" distR="114300">
            <wp:extent cx="8860155" cy="2394585"/>
            <wp:effectExtent l="0" t="0" r="17145" b="571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8860155" cy="2394585"/>
                    </a:xfrm>
                    <a:prstGeom prst="rect">
                      <a:avLst/>
                    </a:prstGeom>
                    <a:noFill/>
                    <a:ln w="9525">
                      <a:noFill/>
                    </a:ln>
                  </pic:spPr>
                </pic:pic>
              </a:graphicData>
            </a:graphic>
          </wp:inline>
        </w:drawing>
      </w:r>
    </w:p>
    <w:p w14:paraId="18F2E9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14:paraId="1021CB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p>
    <w:p w14:paraId="35264C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lang w:eastAsia="zh-CN"/>
        </w:rPr>
        <w:t>第三部分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2017年部门决算情况说明</w:t>
      </w:r>
    </w:p>
    <w:p w14:paraId="27E429DF">
      <w:pPr>
        <w:rPr>
          <w:rFonts w:hint="eastAsia" w:ascii="仿宋" w:hAnsi="仿宋" w:eastAsia="仿宋"/>
          <w:b/>
          <w:sz w:val="32"/>
          <w:szCs w:val="32"/>
        </w:rPr>
      </w:pPr>
      <w:r>
        <w:rPr>
          <w:rFonts w:hint="eastAsia" w:ascii="宋体" w:hAnsi="宋体" w:eastAsia="宋体" w:cs="宋体"/>
          <w:b w:val="0"/>
          <w:bCs w:val="0"/>
          <w:sz w:val="24"/>
          <w:szCs w:val="24"/>
        </w:rPr>
        <w:t>一</w:t>
      </w:r>
      <w:r>
        <w:rPr>
          <w:rFonts w:hint="eastAsia" w:ascii="仿宋" w:hAnsi="仿宋" w:eastAsia="仿宋"/>
          <w:b/>
          <w:sz w:val="32"/>
          <w:szCs w:val="32"/>
        </w:rPr>
        <w:t>.收入支出预算执行情况分析</w:t>
      </w:r>
    </w:p>
    <w:p w14:paraId="3CE0AD0C">
      <w:pPr>
        <w:widowControl/>
        <w:rPr>
          <w:rFonts w:hint="eastAsia" w:ascii="仿宋" w:hAnsi="仿宋" w:eastAsia="仿宋"/>
          <w:b/>
          <w:color w:val="000000"/>
          <w:spacing w:val="2"/>
          <w:sz w:val="28"/>
          <w:szCs w:val="28"/>
        </w:rPr>
      </w:pPr>
      <w:r>
        <w:rPr>
          <w:rFonts w:hint="eastAsia" w:ascii="仿宋" w:hAnsi="仿宋" w:eastAsia="仿宋"/>
          <w:b/>
          <w:color w:val="000000"/>
          <w:spacing w:val="2"/>
          <w:sz w:val="28"/>
          <w:szCs w:val="28"/>
        </w:rPr>
        <w:t>1.收入支出预算安排情况</w:t>
      </w:r>
    </w:p>
    <w:p w14:paraId="573879B4">
      <w:pPr>
        <w:widowControl/>
        <w:ind w:firstLine="556" w:firstLineChars="196"/>
        <w:rPr>
          <w:rFonts w:hint="eastAsia" w:ascii="仿宋" w:hAnsi="仿宋" w:eastAsia="仿宋"/>
          <w:color w:val="FF0000"/>
          <w:spacing w:val="2"/>
          <w:sz w:val="28"/>
          <w:szCs w:val="28"/>
        </w:rPr>
      </w:pPr>
      <w:r>
        <w:rPr>
          <w:rFonts w:hint="eastAsia" w:ascii="仿宋" w:hAnsi="仿宋" w:eastAsia="仿宋"/>
          <w:color w:val="000000"/>
          <w:spacing w:val="2"/>
          <w:sz w:val="28"/>
          <w:szCs w:val="28"/>
        </w:rPr>
        <w:t>2017年财政收入预算数456.9万元，其中人员经费311.6万元，公用经费145.3万元。</w:t>
      </w:r>
    </w:p>
    <w:p w14:paraId="028EEF9B">
      <w:pPr>
        <w:widowControl/>
        <w:rPr>
          <w:rFonts w:hint="eastAsia" w:ascii="仿宋" w:hAnsi="仿宋" w:eastAsia="仿宋"/>
          <w:b/>
          <w:color w:val="000000"/>
          <w:spacing w:val="2"/>
          <w:sz w:val="28"/>
          <w:szCs w:val="28"/>
        </w:rPr>
      </w:pPr>
      <w:r>
        <w:rPr>
          <w:rFonts w:hint="eastAsia" w:ascii="仿宋" w:hAnsi="仿宋" w:eastAsia="仿宋"/>
          <w:b/>
          <w:color w:val="000000"/>
          <w:spacing w:val="2"/>
          <w:sz w:val="28"/>
          <w:szCs w:val="28"/>
        </w:rPr>
        <w:t>2、收入支出预算执行情况</w:t>
      </w:r>
    </w:p>
    <w:p w14:paraId="49505810">
      <w:pPr>
        <w:widowControl/>
        <w:ind w:firstLine="548" w:firstLineChars="196"/>
        <w:rPr>
          <w:rFonts w:hint="eastAsia" w:ascii="仿宋" w:hAnsi="仿宋" w:eastAsia="仿宋"/>
          <w:sz w:val="28"/>
          <w:szCs w:val="28"/>
        </w:rPr>
      </w:pPr>
      <w:r>
        <w:rPr>
          <w:rFonts w:hint="eastAsia" w:ascii="仿宋" w:hAnsi="仿宋" w:eastAsia="仿宋"/>
          <w:sz w:val="28"/>
          <w:szCs w:val="28"/>
        </w:rPr>
        <w:t>2017年财政收入预算执行数456.9万元，其中人员经费311.6万元，公用经费145.3万元，与上年预算数增加1.23%。人员经费与去年相比减少1.09%，公用经费与去年相比增加5.2%。</w:t>
      </w:r>
    </w:p>
    <w:p w14:paraId="6E4CA22F">
      <w:pPr>
        <w:widowControl/>
        <w:rPr>
          <w:rFonts w:hint="eastAsia" w:ascii="仿宋" w:hAnsi="仿宋" w:eastAsia="仿宋"/>
          <w:b/>
          <w:color w:val="000000"/>
          <w:spacing w:val="2"/>
          <w:sz w:val="30"/>
          <w:szCs w:val="30"/>
        </w:rPr>
      </w:pPr>
      <w:r>
        <w:rPr>
          <w:rFonts w:hint="eastAsia" w:ascii="仿宋" w:hAnsi="仿宋" w:eastAsia="仿宋"/>
          <w:b/>
          <w:color w:val="000000"/>
          <w:spacing w:val="2"/>
          <w:sz w:val="30"/>
          <w:szCs w:val="30"/>
        </w:rPr>
        <w:t>3、收入支出与预算对比分析</w:t>
      </w:r>
    </w:p>
    <w:p w14:paraId="25521574">
      <w:pPr>
        <w:widowControl/>
        <w:ind w:firstLine="548" w:firstLineChars="196"/>
        <w:rPr>
          <w:rFonts w:hint="eastAsia" w:ascii="仿宋" w:hAnsi="仿宋" w:eastAsia="仿宋"/>
          <w:sz w:val="28"/>
          <w:szCs w:val="28"/>
        </w:rPr>
      </w:pPr>
      <w:r>
        <w:rPr>
          <w:rFonts w:hint="eastAsia" w:ascii="仿宋" w:hAnsi="仿宋" w:eastAsia="仿宋"/>
          <w:sz w:val="28"/>
          <w:szCs w:val="28"/>
        </w:rPr>
        <w:t>2017年全年总收入3218.8万元,其中财拔款决算收入1119万元(基本支出行政运行651万元),其它收入2146万元, 2017年全年总支出3218.8万元,其中财拔款决算支出1119万元(基本支出行政运行651万元),其它资金支出468万元,2017年财政预算数456.9万元，财拔决算比预算多662.1万元,幅度为60%,原因为业务增加。</w:t>
      </w:r>
    </w:p>
    <w:p w14:paraId="37F28042">
      <w:pPr>
        <w:spacing w:line="440" w:lineRule="exact"/>
        <w:rPr>
          <w:rFonts w:hint="eastAsia" w:ascii="仿宋" w:hAnsi="仿宋" w:eastAsia="仿宋"/>
          <w:b/>
          <w:color w:val="000000"/>
          <w:spacing w:val="2"/>
          <w:sz w:val="30"/>
          <w:szCs w:val="30"/>
        </w:rPr>
      </w:pPr>
      <w:r>
        <w:rPr>
          <w:rFonts w:hint="eastAsia" w:ascii="仿宋" w:hAnsi="仿宋" w:eastAsia="仿宋"/>
          <w:b/>
          <w:color w:val="000000"/>
          <w:spacing w:val="2"/>
          <w:sz w:val="30"/>
          <w:szCs w:val="30"/>
        </w:rPr>
        <w:t>4、收入支出结构分析</w:t>
      </w:r>
    </w:p>
    <w:p w14:paraId="3E238C74">
      <w:pPr>
        <w:spacing w:line="440" w:lineRule="exact"/>
        <w:ind w:firstLine="568" w:firstLineChars="200"/>
        <w:rPr>
          <w:rFonts w:hint="eastAsia" w:ascii="仿宋" w:hAnsi="仿宋" w:eastAsia="仿宋"/>
          <w:color w:val="000000"/>
          <w:spacing w:val="2"/>
          <w:sz w:val="28"/>
          <w:szCs w:val="28"/>
        </w:rPr>
      </w:pPr>
      <w:r>
        <w:rPr>
          <w:rFonts w:hint="eastAsia" w:ascii="仿宋" w:hAnsi="仿宋" w:eastAsia="仿宋"/>
          <w:color w:val="000000"/>
          <w:spacing w:val="2"/>
          <w:sz w:val="28"/>
          <w:szCs w:val="28"/>
        </w:rPr>
        <w:t>2017年全年总收入3218.8万元,其中财拔款决算收入1119元(基本支出行政运行651万元),占总收入34.7%,其它收入2146万元, 占总收入66.6%, 2017年全年总支出3218.8万元,其中财拔款决算支出1119万元(基本支出行政运行651万元),占总支出58%,其它资金支出467万元, 占总支出41.7%。</w:t>
      </w:r>
    </w:p>
    <w:p w14:paraId="63EB4DAC">
      <w:pPr>
        <w:spacing w:line="440" w:lineRule="exact"/>
        <w:ind w:firstLine="610" w:firstLineChars="200"/>
        <w:rPr>
          <w:rFonts w:hint="eastAsia" w:ascii="仿宋" w:hAnsi="仿宋" w:eastAsia="仿宋"/>
          <w:b/>
          <w:color w:val="000000"/>
          <w:spacing w:val="2"/>
          <w:sz w:val="30"/>
          <w:szCs w:val="30"/>
        </w:rPr>
      </w:pPr>
      <w:r>
        <w:rPr>
          <w:rFonts w:hint="eastAsia" w:ascii="仿宋" w:hAnsi="仿宋" w:eastAsia="仿宋"/>
          <w:b/>
          <w:color w:val="000000"/>
          <w:spacing w:val="2"/>
          <w:sz w:val="30"/>
          <w:szCs w:val="30"/>
        </w:rPr>
        <w:t>5、支出按经济分类科目分析</w:t>
      </w:r>
    </w:p>
    <w:p w14:paraId="4BF2A1C2">
      <w:pPr>
        <w:spacing w:line="440" w:lineRule="exact"/>
        <w:ind w:firstLine="568" w:firstLineChars="200"/>
        <w:rPr>
          <w:rFonts w:hint="eastAsia" w:ascii="仿宋" w:hAnsi="仿宋" w:eastAsia="仿宋"/>
          <w:color w:val="000000"/>
          <w:spacing w:val="2"/>
          <w:sz w:val="28"/>
          <w:szCs w:val="28"/>
        </w:rPr>
      </w:pPr>
      <w:r>
        <w:rPr>
          <w:rFonts w:hint="eastAsia" w:ascii="仿宋" w:hAnsi="仿宋" w:eastAsia="仿宋"/>
          <w:color w:val="000000"/>
          <w:spacing w:val="2"/>
          <w:sz w:val="28"/>
          <w:szCs w:val="28"/>
        </w:rPr>
        <w:t>(1)</w:t>
      </w:r>
      <w:r>
        <w:rPr>
          <w:rFonts w:ascii="仿宋" w:hAnsi="仿宋" w:eastAsia="仿宋"/>
          <w:color w:val="000000"/>
          <w:spacing w:val="2"/>
          <w:sz w:val="28"/>
          <w:szCs w:val="28"/>
        </w:rPr>
        <w:t>”</w:t>
      </w:r>
      <w:r>
        <w:rPr>
          <w:rFonts w:hint="eastAsia" w:ascii="仿宋" w:hAnsi="仿宋" w:eastAsia="仿宋"/>
          <w:color w:val="000000"/>
          <w:spacing w:val="2"/>
          <w:sz w:val="28"/>
          <w:szCs w:val="28"/>
        </w:rPr>
        <w:t>三公</w:t>
      </w:r>
      <w:r>
        <w:rPr>
          <w:rFonts w:ascii="仿宋" w:hAnsi="仿宋" w:eastAsia="仿宋"/>
          <w:color w:val="000000"/>
          <w:spacing w:val="2"/>
          <w:sz w:val="28"/>
          <w:szCs w:val="28"/>
        </w:rPr>
        <w:t>”</w:t>
      </w:r>
      <w:r>
        <w:rPr>
          <w:rFonts w:hint="eastAsia" w:ascii="仿宋" w:hAnsi="仿宋" w:eastAsia="仿宋"/>
          <w:color w:val="000000"/>
          <w:spacing w:val="2"/>
          <w:sz w:val="28"/>
          <w:szCs w:val="28"/>
        </w:rPr>
        <w:t>经支出情况: 2017年决算公务车运行维护费0元， 2016年决算公务车运行维护费0元。</w:t>
      </w:r>
    </w:p>
    <w:p w14:paraId="2C7C3ECF">
      <w:pPr>
        <w:spacing w:line="440" w:lineRule="exact"/>
        <w:ind w:firstLine="568" w:firstLineChars="200"/>
        <w:rPr>
          <w:rFonts w:hint="eastAsia" w:ascii="仿宋" w:hAnsi="仿宋" w:eastAsia="仿宋"/>
          <w:color w:val="000000"/>
          <w:spacing w:val="2"/>
          <w:sz w:val="28"/>
          <w:szCs w:val="28"/>
        </w:rPr>
      </w:pPr>
      <w:r>
        <w:rPr>
          <w:rFonts w:hint="eastAsia" w:ascii="仿宋" w:hAnsi="仿宋" w:eastAsia="仿宋"/>
          <w:color w:val="000000"/>
          <w:spacing w:val="2"/>
          <w:sz w:val="28"/>
          <w:szCs w:val="28"/>
        </w:rPr>
        <w:t xml:space="preserve"> (2)会议费支出情况: 2017年决算会议费为0万元,2016年决算会议费为0万元;</w:t>
      </w:r>
    </w:p>
    <w:p w14:paraId="11240116">
      <w:pPr>
        <w:spacing w:line="440" w:lineRule="exact"/>
        <w:ind w:firstLine="568" w:firstLineChars="200"/>
        <w:rPr>
          <w:rFonts w:hint="eastAsia" w:ascii="仿宋" w:hAnsi="仿宋" w:eastAsia="仿宋"/>
          <w:color w:val="000000"/>
          <w:spacing w:val="2"/>
          <w:sz w:val="28"/>
          <w:szCs w:val="28"/>
        </w:rPr>
      </w:pPr>
      <w:r>
        <w:rPr>
          <w:rFonts w:hint="eastAsia" w:ascii="仿宋" w:hAnsi="仿宋" w:eastAsia="仿宋"/>
          <w:color w:val="000000"/>
          <w:spacing w:val="2"/>
          <w:sz w:val="28"/>
          <w:szCs w:val="28"/>
        </w:rPr>
        <w:t>(3)培训费支出情况</w:t>
      </w:r>
    </w:p>
    <w:p w14:paraId="1C877D24">
      <w:pPr>
        <w:pStyle w:val="3"/>
        <w:spacing w:line="600" w:lineRule="exact"/>
        <w:ind w:firstLine="568"/>
        <w:rPr>
          <w:rFonts w:hint="eastAsia" w:ascii="仿宋" w:hAnsi="仿宋" w:eastAsia="仿宋"/>
          <w:color w:val="000000"/>
          <w:spacing w:val="2"/>
          <w:sz w:val="28"/>
          <w:szCs w:val="28"/>
        </w:rPr>
      </w:pPr>
      <w:r>
        <w:rPr>
          <w:rFonts w:hint="eastAsia" w:ascii="仿宋" w:hAnsi="仿宋" w:eastAsia="仿宋"/>
          <w:color w:val="000000"/>
          <w:spacing w:val="2"/>
          <w:sz w:val="28"/>
          <w:szCs w:val="28"/>
        </w:rPr>
        <w:t xml:space="preserve">2017年决算培训费1.8万元，2016年决算培训费4.7万元， </w:t>
      </w:r>
    </w:p>
    <w:p w14:paraId="1FB92AB9">
      <w:pPr>
        <w:pStyle w:val="3"/>
        <w:spacing w:line="600" w:lineRule="exact"/>
        <w:ind w:firstLine="568"/>
        <w:rPr>
          <w:rFonts w:hint="eastAsia" w:ascii="仿宋" w:hAnsi="仿宋" w:eastAsia="仿宋"/>
          <w:color w:val="000000"/>
          <w:spacing w:val="2"/>
          <w:sz w:val="28"/>
          <w:szCs w:val="28"/>
        </w:rPr>
      </w:pPr>
      <w:r>
        <w:rPr>
          <w:rFonts w:hint="eastAsia" w:ascii="仿宋" w:hAnsi="仿宋" w:eastAsia="仿宋"/>
          <w:color w:val="000000"/>
          <w:spacing w:val="2"/>
          <w:sz w:val="28"/>
          <w:szCs w:val="28"/>
        </w:rPr>
        <w:t>(4)差旅费支出情况</w:t>
      </w:r>
    </w:p>
    <w:p w14:paraId="2E8ED5B4">
      <w:pPr>
        <w:pStyle w:val="3"/>
        <w:spacing w:line="600" w:lineRule="exact"/>
        <w:rPr>
          <w:rFonts w:hint="eastAsia" w:ascii="仿宋" w:hAnsi="仿宋" w:eastAsia="仿宋"/>
        </w:rPr>
      </w:pPr>
      <w:r>
        <w:rPr>
          <w:rFonts w:hint="eastAsia" w:ascii="仿宋" w:hAnsi="仿宋" w:eastAsia="仿宋"/>
        </w:rPr>
        <w:t>2017年决算差旅费为3532.00元， 2016年决算差旅费0元。</w:t>
      </w:r>
    </w:p>
    <w:p w14:paraId="00FCD769">
      <w:pPr>
        <w:pStyle w:val="3"/>
        <w:spacing w:line="600" w:lineRule="exact"/>
        <w:ind w:firstLine="0" w:firstLineChars="0"/>
        <w:rPr>
          <w:rFonts w:hint="eastAsia" w:ascii="仿宋" w:hAnsi="仿宋" w:eastAsia="仿宋"/>
          <w:color w:val="000000"/>
          <w:spacing w:val="2"/>
          <w:sz w:val="28"/>
          <w:szCs w:val="28"/>
        </w:rPr>
      </w:pPr>
      <w:r>
        <w:rPr>
          <w:rFonts w:hint="eastAsia" w:ascii="仿宋" w:hAnsi="仿宋" w:eastAsia="仿宋"/>
          <w:b/>
          <w:sz w:val="30"/>
          <w:szCs w:val="30"/>
        </w:rPr>
        <w:t>6.</w:t>
      </w:r>
      <w:r>
        <w:rPr>
          <w:rFonts w:hint="eastAsia" w:ascii="仿宋" w:hAnsi="仿宋" w:eastAsia="仿宋"/>
          <w:b/>
          <w:sz w:val="30"/>
          <w:szCs w:val="30"/>
          <w:lang w:eastAsia="zh-CN"/>
        </w:rPr>
        <w:t>财政拨款</w:t>
      </w:r>
      <w:r>
        <w:rPr>
          <w:rFonts w:hint="eastAsia" w:ascii="仿宋" w:hAnsi="仿宋" w:eastAsia="仿宋"/>
          <w:b/>
          <w:sz w:val="30"/>
          <w:szCs w:val="30"/>
        </w:rPr>
        <w:t>收入、支出分析</w:t>
      </w:r>
    </w:p>
    <w:p w14:paraId="2B9ED6F5">
      <w:pPr>
        <w:pStyle w:val="3"/>
        <w:spacing w:line="600" w:lineRule="exact"/>
        <w:ind w:firstLine="568"/>
        <w:rPr>
          <w:rFonts w:hint="eastAsia" w:ascii="仿宋" w:hAnsi="仿宋" w:eastAsia="仿宋"/>
          <w:color w:val="000000"/>
          <w:spacing w:val="2"/>
          <w:sz w:val="28"/>
          <w:szCs w:val="28"/>
        </w:rPr>
      </w:pPr>
      <w:r>
        <w:rPr>
          <w:rFonts w:hint="eastAsia" w:ascii="仿宋" w:hAnsi="仿宋" w:eastAsia="仿宋"/>
          <w:color w:val="000000"/>
          <w:spacing w:val="2"/>
          <w:sz w:val="28"/>
          <w:szCs w:val="28"/>
        </w:rPr>
        <w:t>财拔款决算收入3218.8万元，其中基本支出行政运行1119万元, 财拔款决算支出3218.8万元，基本支出行政运行1119万元,其中人员经费651.7万元,公用经费467.3万元。</w:t>
      </w:r>
    </w:p>
    <w:p w14:paraId="5B27B637">
      <w:pPr>
        <w:spacing w:line="440" w:lineRule="exact"/>
        <w:rPr>
          <w:rFonts w:hint="eastAsia" w:ascii="仿宋" w:hAnsi="仿宋" w:eastAsia="仿宋"/>
          <w:b/>
          <w:color w:val="000000"/>
          <w:spacing w:val="2"/>
          <w:sz w:val="32"/>
          <w:szCs w:val="32"/>
        </w:rPr>
      </w:pPr>
    </w:p>
    <w:p w14:paraId="0293DA76">
      <w:pPr>
        <w:spacing w:line="440" w:lineRule="exact"/>
        <w:rPr>
          <w:rFonts w:hint="eastAsia" w:ascii="仿宋" w:hAnsi="仿宋" w:eastAsia="仿宋"/>
          <w:b/>
          <w:color w:val="000000"/>
          <w:spacing w:val="2"/>
          <w:sz w:val="32"/>
          <w:szCs w:val="32"/>
        </w:rPr>
      </w:pPr>
      <w:r>
        <w:rPr>
          <w:rFonts w:hint="eastAsia" w:ascii="仿宋" w:hAnsi="仿宋" w:eastAsia="仿宋"/>
          <w:b/>
          <w:color w:val="000000"/>
          <w:spacing w:val="2"/>
          <w:sz w:val="32"/>
          <w:szCs w:val="32"/>
        </w:rPr>
        <w:t>三、2017年无政府采购支出</w:t>
      </w:r>
    </w:p>
    <w:p w14:paraId="3224E9E1">
      <w:pPr>
        <w:spacing w:line="440" w:lineRule="exact"/>
        <w:rPr>
          <w:rFonts w:hint="eastAsia" w:ascii="仿宋" w:hAnsi="仿宋" w:eastAsia="仿宋"/>
          <w:color w:val="000000"/>
          <w:spacing w:val="2"/>
          <w:sz w:val="28"/>
          <w:szCs w:val="28"/>
        </w:rPr>
      </w:pPr>
      <w:r>
        <w:rPr>
          <w:rFonts w:hint="eastAsia" w:ascii="仿宋" w:hAnsi="仿宋" w:eastAsia="仿宋"/>
          <w:color w:val="000000"/>
          <w:spacing w:val="2"/>
          <w:sz w:val="28"/>
          <w:szCs w:val="28"/>
        </w:rPr>
        <w:t>2017年本单位无政府采购支出</w:t>
      </w:r>
    </w:p>
    <w:p w14:paraId="09EC81E4">
      <w:pPr>
        <w:spacing w:line="440" w:lineRule="exact"/>
        <w:rPr>
          <w:rFonts w:hint="eastAsia" w:ascii="仿宋" w:hAnsi="仿宋" w:eastAsia="仿宋"/>
          <w:b/>
          <w:color w:val="000000"/>
          <w:spacing w:val="2"/>
          <w:sz w:val="32"/>
          <w:szCs w:val="32"/>
        </w:rPr>
      </w:pPr>
    </w:p>
    <w:p w14:paraId="51608EB0">
      <w:pPr>
        <w:spacing w:line="440" w:lineRule="exact"/>
        <w:rPr>
          <w:rFonts w:hint="eastAsia" w:ascii="仿宋" w:hAnsi="仿宋" w:eastAsia="仿宋"/>
          <w:b/>
          <w:color w:val="000000"/>
          <w:spacing w:val="2"/>
          <w:sz w:val="32"/>
          <w:szCs w:val="32"/>
        </w:rPr>
      </w:pPr>
      <w:r>
        <w:rPr>
          <w:rFonts w:hint="eastAsia" w:ascii="仿宋" w:hAnsi="仿宋" w:eastAsia="仿宋"/>
          <w:b/>
          <w:color w:val="000000"/>
          <w:spacing w:val="2"/>
          <w:sz w:val="32"/>
          <w:szCs w:val="32"/>
        </w:rPr>
        <w:t>四、机关运行经费执行情况说明</w:t>
      </w:r>
    </w:p>
    <w:p w14:paraId="2A62D558">
      <w:pPr>
        <w:spacing w:line="440" w:lineRule="exact"/>
        <w:rPr>
          <w:rFonts w:hint="eastAsia" w:ascii="仿宋" w:hAnsi="仿宋" w:eastAsia="仿宋"/>
          <w:color w:val="000000"/>
          <w:spacing w:val="2"/>
          <w:sz w:val="32"/>
          <w:szCs w:val="32"/>
        </w:rPr>
      </w:pPr>
      <w:r>
        <w:rPr>
          <w:rFonts w:hint="eastAsia" w:ascii="仿宋" w:hAnsi="仿宋" w:eastAsia="仿宋"/>
          <w:color w:val="000000"/>
          <w:spacing w:val="2"/>
          <w:sz w:val="32"/>
          <w:szCs w:val="32"/>
        </w:rPr>
        <w:t>2017年本单位机关运行经费共711万元，同比上年减少60.97%。主要原因是2016年下半年花湖街道由开发区划入黄石港区，2016年账务核算不准确，数据不具可比性。</w:t>
      </w:r>
    </w:p>
    <w:p w14:paraId="280A4E06">
      <w:pPr>
        <w:spacing w:line="440" w:lineRule="exact"/>
        <w:rPr>
          <w:rFonts w:ascii="仿宋" w:hAnsi="仿宋" w:eastAsia="仿宋"/>
          <w:b/>
          <w:color w:val="000000"/>
          <w:spacing w:val="2"/>
          <w:sz w:val="32"/>
          <w:szCs w:val="32"/>
        </w:rPr>
      </w:pPr>
      <w:r>
        <w:rPr>
          <w:rFonts w:hint="eastAsia" w:ascii="仿宋" w:hAnsi="仿宋" w:eastAsia="仿宋"/>
          <w:b/>
          <w:color w:val="000000"/>
          <w:spacing w:val="2"/>
          <w:sz w:val="32"/>
          <w:szCs w:val="32"/>
        </w:rPr>
        <w:t>五、资产负债情况分析</w:t>
      </w:r>
    </w:p>
    <w:p w14:paraId="1D52D419">
      <w:pPr>
        <w:spacing w:line="440" w:lineRule="exact"/>
        <w:ind w:firstLine="713" w:firstLineChars="250"/>
        <w:rPr>
          <w:rFonts w:ascii="仿宋" w:hAnsi="仿宋" w:eastAsia="仿宋"/>
          <w:b/>
          <w:color w:val="000000"/>
          <w:spacing w:val="2"/>
          <w:sz w:val="28"/>
          <w:szCs w:val="28"/>
        </w:rPr>
      </w:pPr>
      <w:r>
        <w:rPr>
          <w:rFonts w:ascii="仿宋" w:hAnsi="仿宋" w:eastAsia="仿宋"/>
          <w:b/>
          <w:color w:val="000000"/>
          <w:spacing w:val="2"/>
          <w:sz w:val="28"/>
          <w:szCs w:val="28"/>
        </w:rPr>
        <w:t>(</w:t>
      </w:r>
      <w:r>
        <w:rPr>
          <w:rFonts w:hint="eastAsia" w:ascii="仿宋" w:hAnsi="仿宋" w:eastAsia="仿宋"/>
          <w:b/>
          <w:color w:val="000000"/>
          <w:spacing w:val="2"/>
          <w:sz w:val="28"/>
          <w:szCs w:val="28"/>
        </w:rPr>
        <w:t>一</w:t>
      </w:r>
      <w:r>
        <w:rPr>
          <w:rFonts w:ascii="仿宋" w:hAnsi="仿宋" w:eastAsia="仿宋"/>
          <w:b/>
          <w:color w:val="000000"/>
          <w:spacing w:val="2"/>
          <w:sz w:val="28"/>
          <w:szCs w:val="28"/>
        </w:rPr>
        <w:t>)</w:t>
      </w:r>
      <w:r>
        <w:rPr>
          <w:rFonts w:hint="eastAsia" w:ascii="仿宋" w:hAnsi="仿宋" w:eastAsia="仿宋"/>
          <w:b/>
          <w:color w:val="000000"/>
          <w:spacing w:val="2"/>
          <w:sz w:val="28"/>
          <w:szCs w:val="28"/>
        </w:rPr>
        <w:t>资产负债结构情况</w:t>
      </w:r>
    </w:p>
    <w:p w14:paraId="7C431BB9">
      <w:pPr>
        <w:spacing w:line="440" w:lineRule="exact"/>
        <w:ind w:firstLine="710" w:firstLineChars="250"/>
        <w:rPr>
          <w:rFonts w:ascii="仿宋" w:hAnsi="仿宋" w:eastAsia="仿宋"/>
          <w:color w:val="000000"/>
          <w:spacing w:val="2"/>
          <w:sz w:val="28"/>
          <w:szCs w:val="28"/>
        </w:rPr>
      </w:pPr>
      <w:r>
        <w:rPr>
          <w:rFonts w:ascii="仿宋" w:hAnsi="仿宋" w:eastAsia="仿宋"/>
          <w:color w:val="000000"/>
          <w:spacing w:val="2"/>
          <w:sz w:val="28"/>
          <w:szCs w:val="28"/>
        </w:rPr>
        <w:t>201</w:t>
      </w:r>
      <w:r>
        <w:rPr>
          <w:rFonts w:hint="eastAsia" w:ascii="仿宋" w:hAnsi="仿宋" w:eastAsia="仿宋"/>
          <w:color w:val="000000"/>
          <w:spacing w:val="2"/>
          <w:sz w:val="28"/>
          <w:szCs w:val="28"/>
        </w:rPr>
        <w:t>7年年末资产类总额1275万元，</w:t>
      </w:r>
      <w:r>
        <w:rPr>
          <w:rFonts w:ascii="仿宋" w:hAnsi="仿宋" w:eastAsia="仿宋"/>
          <w:color w:val="000000"/>
          <w:spacing w:val="2"/>
          <w:sz w:val="28"/>
          <w:szCs w:val="28"/>
        </w:rPr>
        <w:t xml:space="preserve"> </w:t>
      </w:r>
      <w:r>
        <w:rPr>
          <w:rFonts w:hint="eastAsia" w:ascii="仿宋" w:hAnsi="仿宋" w:eastAsia="仿宋"/>
          <w:color w:val="000000"/>
          <w:spacing w:val="2"/>
          <w:sz w:val="28"/>
          <w:szCs w:val="28"/>
        </w:rPr>
        <w:t>年初7773万元</w:t>
      </w:r>
      <w:r>
        <w:rPr>
          <w:rFonts w:ascii="仿宋" w:hAnsi="仿宋" w:eastAsia="仿宋"/>
          <w:color w:val="000000"/>
          <w:spacing w:val="2"/>
          <w:sz w:val="28"/>
          <w:szCs w:val="28"/>
        </w:rPr>
        <w:t>,</w:t>
      </w:r>
      <w:r>
        <w:rPr>
          <w:rFonts w:hint="eastAsia" w:ascii="仿宋" w:hAnsi="仿宋" w:eastAsia="仿宋"/>
          <w:color w:val="000000"/>
          <w:spacing w:val="2"/>
          <w:sz w:val="28"/>
          <w:szCs w:val="28"/>
        </w:rPr>
        <w:t>年末其他应收款为313万元，存货0元</w:t>
      </w:r>
      <w:r>
        <w:rPr>
          <w:rFonts w:ascii="仿宋" w:hAnsi="仿宋" w:eastAsia="仿宋"/>
          <w:color w:val="000000"/>
          <w:spacing w:val="2"/>
          <w:sz w:val="28"/>
          <w:szCs w:val="28"/>
        </w:rPr>
        <w:t>,</w:t>
      </w:r>
      <w:r>
        <w:rPr>
          <w:rFonts w:hint="eastAsia" w:ascii="仿宋" w:hAnsi="仿宋" w:eastAsia="仿宋"/>
          <w:color w:val="000000"/>
          <w:spacing w:val="2"/>
          <w:sz w:val="28"/>
          <w:szCs w:val="28"/>
        </w:rPr>
        <w:t>固定资产为504万元。负债类</w:t>
      </w:r>
      <w:r>
        <w:rPr>
          <w:rFonts w:ascii="仿宋" w:hAnsi="仿宋" w:eastAsia="仿宋"/>
          <w:color w:val="000000"/>
          <w:spacing w:val="2"/>
          <w:sz w:val="28"/>
          <w:szCs w:val="28"/>
        </w:rPr>
        <w:t>201</w:t>
      </w:r>
      <w:r>
        <w:rPr>
          <w:rFonts w:hint="eastAsia" w:ascii="仿宋" w:hAnsi="仿宋" w:eastAsia="仿宋"/>
          <w:color w:val="000000"/>
          <w:spacing w:val="2"/>
          <w:sz w:val="28"/>
          <w:szCs w:val="28"/>
        </w:rPr>
        <w:t>7年年末总额2925344.29元，其他应付款为350万元</w:t>
      </w:r>
      <w:r>
        <w:rPr>
          <w:rFonts w:ascii="仿宋" w:hAnsi="仿宋" w:eastAsia="仿宋"/>
          <w:color w:val="000000"/>
          <w:spacing w:val="2"/>
          <w:sz w:val="28"/>
          <w:szCs w:val="28"/>
        </w:rPr>
        <w:t xml:space="preserve">, </w:t>
      </w:r>
      <w:r>
        <w:rPr>
          <w:rFonts w:hint="eastAsia" w:ascii="仿宋" w:hAnsi="仿宋" w:eastAsia="仿宋"/>
          <w:color w:val="000000"/>
          <w:spacing w:val="2"/>
          <w:sz w:val="28"/>
          <w:szCs w:val="28"/>
        </w:rPr>
        <w:t>财政拨款经费结余</w:t>
      </w:r>
      <w:r>
        <w:rPr>
          <w:rFonts w:ascii="仿宋" w:hAnsi="仿宋" w:eastAsia="仿宋"/>
          <w:color w:val="000000"/>
          <w:spacing w:val="2"/>
          <w:sz w:val="28"/>
          <w:szCs w:val="28"/>
        </w:rPr>
        <w:t>0</w:t>
      </w:r>
      <w:r>
        <w:rPr>
          <w:rFonts w:hint="eastAsia" w:ascii="仿宋" w:hAnsi="仿宋" w:eastAsia="仿宋"/>
          <w:color w:val="000000"/>
          <w:spacing w:val="2"/>
          <w:sz w:val="28"/>
          <w:szCs w:val="28"/>
        </w:rPr>
        <w:t>元，其他资金经费结余1122万元。</w:t>
      </w:r>
    </w:p>
    <w:p w14:paraId="60B898B8">
      <w:pPr>
        <w:spacing w:line="440" w:lineRule="exact"/>
        <w:ind w:firstLine="713" w:firstLineChars="250"/>
        <w:rPr>
          <w:rFonts w:ascii="仿宋" w:hAnsi="仿宋" w:eastAsia="仿宋"/>
          <w:b/>
          <w:color w:val="000000"/>
          <w:spacing w:val="2"/>
          <w:sz w:val="28"/>
          <w:szCs w:val="28"/>
        </w:rPr>
      </w:pPr>
      <w:r>
        <w:rPr>
          <w:rFonts w:ascii="仿宋" w:hAnsi="仿宋" w:eastAsia="仿宋"/>
          <w:b/>
          <w:color w:val="000000"/>
          <w:spacing w:val="2"/>
          <w:sz w:val="28"/>
          <w:szCs w:val="28"/>
        </w:rPr>
        <w:t>(</w:t>
      </w:r>
      <w:r>
        <w:rPr>
          <w:rFonts w:hint="eastAsia" w:ascii="仿宋" w:hAnsi="仿宋" w:eastAsia="仿宋"/>
          <w:b/>
          <w:color w:val="000000"/>
          <w:spacing w:val="2"/>
          <w:sz w:val="28"/>
          <w:szCs w:val="28"/>
        </w:rPr>
        <w:t>二</w:t>
      </w:r>
      <w:r>
        <w:rPr>
          <w:rFonts w:ascii="仿宋" w:hAnsi="仿宋" w:eastAsia="仿宋"/>
          <w:b/>
          <w:color w:val="000000"/>
          <w:spacing w:val="2"/>
          <w:sz w:val="28"/>
          <w:szCs w:val="28"/>
        </w:rPr>
        <w:t>)</w:t>
      </w:r>
      <w:r>
        <w:rPr>
          <w:rFonts w:hint="eastAsia" w:ascii="仿宋" w:hAnsi="仿宋" w:eastAsia="仿宋"/>
          <w:b/>
          <w:color w:val="000000"/>
          <w:spacing w:val="2"/>
          <w:sz w:val="28"/>
          <w:szCs w:val="28"/>
        </w:rPr>
        <w:t>资产负债对比分析</w:t>
      </w:r>
    </w:p>
    <w:p w14:paraId="31978CA1">
      <w:pPr>
        <w:ind w:firstLine="710" w:firstLineChars="250"/>
        <w:rPr>
          <w:rFonts w:hint="eastAsia" w:ascii="仿宋" w:hAnsi="仿宋" w:eastAsia="仿宋"/>
          <w:color w:val="000000"/>
          <w:spacing w:val="2"/>
          <w:sz w:val="28"/>
          <w:szCs w:val="28"/>
        </w:rPr>
      </w:pPr>
      <w:r>
        <w:rPr>
          <w:rFonts w:ascii="仿宋" w:hAnsi="仿宋" w:eastAsia="仿宋"/>
          <w:color w:val="000000"/>
          <w:spacing w:val="2"/>
          <w:sz w:val="28"/>
          <w:szCs w:val="28"/>
        </w:rPr>
        <w:t>201</w:t>
      </w:r>
      <w:r>
        <w:rPr>
          <w:rFonts w:hint="eastAsia" w:ascii="仿宋" w:hAnsi="仿宋" w:eastAsia="仿宋"/>
          <w:color w:val="000000"/>
          <w:spacing w:val="2"/>
          <w:sz w:val="28"/>
          <w:szCs w:val="28"/>
        </w:rPr>
        <w:t>7年年末资产类总额1275万元，</w:t>
      </w:r>
      <w:r>
        <w:rPr>
          <w:rFonts w:ascii="仿宋" w:hAnsi="仿宋" w:eastAsia="仿宋"/>
          <w:color w:val="000000"/>
          <w:spacing w:val="2"/>
          <w:sz w:val="28"/>
          <w:szCs w:val="28"/>
        </w:rPr>
        <w:t>201</w:t>
      </w:r>
      <w:r>
        <w:rPr>
          <w:rFonts w:hint="eastAsia" w:ascii="仿宋" w:hAnsi="仿宋" w:eastAsia="仿宋"/>
          <w:color w:val="000000"/>
          <w:spacing w:val="2"/>
          <w:sz w:val="28"/>
          <w:szCs w:val="28"/>
        </w:rPr>
        <w:t>6年年末资产类总额7773万元，2017年年末应收账款为313万，</w:t>
      </w:r>
      <w:r>
        <w:rPr>
          <w:rFonts w:ascii="仿宋" w:hAnsi="仿宋" w:eastAsia="仿宋"/>
          <w:color w:val="000000"/>
          <w:spacing w:val="2"/>
          <w:sz w:val="28"/>
          <w:szCs w:val="28"/>
        </w:rPr>
        <w:t>2016</w:t>
      </w:r>
      <w:r>
        <w:rPr>
          <w:rFonts w:hint="eastAsia" w:ascii="仿宋" w:hAnsi="仿宋" w:eastAsia="仿宋"/>
          <w:color w:val="000000"/>
          <w:spacing w:val="2"/>
          <w:sz w:val="28"/>
          <w:szCs w:val="28"/>
        </w:rPr>
        <w:t>年年末其他应收款为290万元，</w:t>
      </w:r>
      <w:r>
        <w:rPr>
          <w:rFonts w:ascii="仿宋" w:hAnsi="仿宋" w:eastAsia="仿宋"/>
          <w:color w:val="000000"/>
          <w:spacing w:val="2"/>
          <w:sz w:val="28"/>
          <w:szCs w:val="28"/>
        </w:rPr>
        <w:t>201</w:t>
      </w:r>
      <w:r>
        <w:rPr>
          <w:rFonts w:hint="eastAsia" w:ascii="仿宋" w:hAnsi="仿宋" w:eastAsia="仿宋"/>
          <w:color w:val="000000"/>
          <w:spacing w:val="2"/>
          <w:sz w:val="28"/>
          <w:szCs w:val="28"/>
        </w:rPr>
        <w:t>7年末存货0元</w:t>
      </w:r>
      <w:r>
        <w:rPr>
          <w:rFonts w:ascii="仿宋" w:hAnsi="仿宋" w:eastAsia="仿宋"/>
          <w:color w:val="000000"/>
          <w:spacing w:val="2"/>
          <w:sz w:val="28"/>
          <w:szCs w:val="28"/>
        </w:rPr>
        <w:t>, 201</w:t>
      </w:r>
      <w:r>
        <w:rPr>
          <w:rFonts w:hint="eastAsia" w:ascii="仿宋" w:hAnsi="仿宋" w:eastAsia="仿宋"/>
          <w:color w:val="000000"/>
          <w:spacing w:val="2"/>
          <w:sz w:val="28"/>
          <w:szCs w:val="28"/>
        </w:rPr>
        <w:t>6年年末存货0元</w:t>
      </w:r>
      <w:r>
        <w:rPr>
          <w:rFonts w:ascii="仿宋" w:hAnsi="仿宋" w:eastAsia="仿宋"/>
          <w:color w:val="000000"/>
          <w:spacing w:val="2"/>
          <w:sz w:val="28"/>
          <w:szCs w:val="28"/>
        </w:rPr>
        <w:t>,</w:t>
      </w:r>
      <w:r>
        <w:rPr>
          <w:rFonts w:hint="eastAsia" w:ascii="仿宋" w:hAnsi="仿宋" w:eastAsia="仿宋"/>
          <w:color w:val="000000"/>
          <w:spacing w:val="2"/>
          <w:sz w:val="28"/>
          <w:szCs w:val="28"/>
        </w:rPr>
        <w:t>2017年末固定资产为503万，</w:t>
      </w:r>
      <w:r>
        <w:rPr>
          <w:rFonts w:ascii="仿宋" w:hAnsi="仿宋" w:eastAsia="仿宋"/>
          <w:color w:val="000000"/>
          <w:spacing w:val="2"/>
          <w:sz w:val="28"/>
          <w:szCs w:val="28"/>
        </w:rPr>
        <w:t>2016</w:t>
      </w:r>
      <w:r>
        <w:rPr>
          <w:rFonts w:hint="eastAsia" w:ascii="仿宋" w:hAnsi="仿宋" w:eastAsia="仿宋"/>
          <w:color w:val="000000"/>
          <w:spacing w:val="2"/>
          <w:sz w:val="28"/>
          <w:szCs w:val="28"/>
        </w:rPr>
        <w:t>年年末固定资产为494万元</w:t>
      </w:r>
      <w:r>
        <w:rPr>
          <w:rFonts w:ascii="仿宋" w:hAnsi="仿宋" w:eastAsia="仿宋"/>
          <w:color w:val="000000"/>
          <w:spacing w:val="2"/>
          <w:sz w:val="28"/>
          <w:szCs w:val="28"/>
        </w:rPr>
        <w:t>,</w:t>
      </w:r>
      <w:r>
        <w:rPr>
          <w:rFonts w:hint="eastAsia" w:ascii="仿宋" w:hAnsi="仿宋" w:eastAsia="仿宋"/>
          <w:color w:val="000000"/>
          <w:spacing w:val="2"/>
          <w:sz w:val="28"/>
          <w:szCs w:val="28"/>
        </w:rPr>
        <w:t>负债2017年负债350万，2016年年末负债292万。</w:t>
      </w:r>
    </w:p>
    <w:p w14:paraId="50E9A546">
      <w:pPr>
        <w:spacing w:line="440" w:lineRule="exact"/>
        <w:ind w:firstLine="710" w:firstLineChars="250"/>
        <w:rPr>
          <w:rFonts w:hint="eastAsia" w:ascii="仿宋" w:hAnsi="仿宋" w:eastAsia="仿宋"/>
          <w:b/>
          <w:color w:val="000000"/>
          <w:spacing w:val="2"/>
          <w:sz w:val="28"/>
          <w:szCs w:val="28"/>
        </w:rPr>
      </w:pPr>
      <w:r>
        <w:rPr>
          <w:rFonts w:hint="eastAsia" w:ascii="仿宋" w:hAnsi="仿宋" w:eastAsia="仿宋"/>
          <w:color w:val="000000"/>
          <w:spacing w:val="2"/>
          <w:sz w:val="28"/>
          <w:szCs w:val="28"/>
        </w:rPr>
        <w:t>（</w:t>
      </w:r>
      <w:r>
        <w:rPr>
          <w:rFonts w:hint="eastAsia" w:ascii="仿宋" w:hAnsi="仿宋" w:eastAsia="仿宋"/>
          <w:b/>
          <w:color w:val="000000"/>
          <w:spacing w:val="2"/>
          <w:sz w:val="28"/>
          <w:szCs w:val="28"/>
        </w:rPr>
        <w:t>三）国有资产占用情况说明</w:t>
      </w:r>
    </w:p>
    <w:p w14:paraId="7E07D58A">
      <w:pPr>
        <w:spacing w:line="440" w:lineRule="exact"/>
        <w:ind w:firstLine="710" w:firstLineChars="250"/>
        <w:rPr>
          <w:rFonts w:hint="eastAsia" w:ascii="仿宋" w:hAnsi="仿宋" w:eastAsia="仿宋"/>
          <w:color w:val="000000"/>
          <w:spacing w:val="2"/>
          <w:sz w:val="28"/>
          <w:szCs w:val="28"/>
        </w:rPr>
      </w:pPr>
      <w:r>
        <w:rPr>
          <w:rFonts w:hint="eastAsia" w:ascii="仿宋" w:hAnsi="仿宋" w:eastAsia="仿宋"/>
          <w:color w:val="000000"/>
          <w:spacing w:val="2"/>
          <w:sz w:val="28"/>
          <w:szCs w:val="28"/>
        </w:rPr>
        <w:t>2017年年末，本单位没有公务用车，无车辆费用开支。</w:t>
      </w:r>
    </w:p>
    <w:p w14:paraId="6C0067A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p>
    <w:p w14:paraId="489A6F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8"/>
          <w:rFonts w:hint="eastAsia" w:ascii="微软雅黑" w:hAnsi="微软雅黑" w:eastAsia="微软雅黑" w:cs="微软雅黑"/>
          <w:i w:val="0"/>
          <w:caps w:val="0"/>
          <w:color w:val="333333"/>
          <w:spacing w:val="0"/>
          <w:sz w:val="24"/>
          <w:szCs w:val="24"/>
          <w:shd w:val="clear" w:fill="FFFFFF"/>
        </w:rPr>
        <w:t>第四部分</w:t>
      </w:r>
      <w:r>
        <w:rPr>
          <w:rStyle w:val="8"/>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8"/>
          <w:rFonts w:hint="eastAsia" w:ascii="微软雅黑" w:hAnsi="微软雅黑" w:eastAsia="微软雅黑" w:cs="微软雅黑"/>
          <w:i w:val="0"/>
          <w:caps w:val="0"/>
          <w:color w:val="333333"/>
          <w:spacing w:val="0"/>
          <w:sz w:val="24"/>
          <w:szCs w:val="24"/>
          <w:shd w:val="clear" w:fill="FFFFFF"/>
        </w:rPr>
        <w:t>名词解释</w:t>
      </w:r>
    </w:p>
    <w:p w14:paraId="4783FB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一、财政补助收入：指县级财政当年拨付的资金。</w:t>
      </w:r>
    </w:p>
    <w:p w14:paraId="542319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二、其他收入：指除“财政拨款收入”、“上级补助收入”、“事业收入”、“经营收入”等以外的收入。主要是存款利息收入等。</w:t>
      </w:r>
    </w:p>
    <w:p w14:paraId="1BF0AE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三、年初结转和结余：指以前年度尚未完成、结转到本年按有关规定继续使用的资金。</w:t>
      </w:r>
    </w:p>
    <w:p w14:paraId="7EF7CA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四、一般公共服务（类）行政运行（项）：指县行政单位及参照公务员管理事业单位用于保障机构正常运行、开展日常工作的基本支出。</w:t>
      </w:r>
    </w:p>
    <w:p w14:paraId="458758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62D086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六、一般公共服务（类）机关服务（项）：指县</w:t>
      </w:r>
      <w:r>
        <w:rPr>
          <w:rFonts w:hint="eastAsia" w:ascii="微软雅黑" w:hAnsi="微软雅黑" w:eastAsia="微软雅黑" w:cs="微软雅黑"/>
          <w:b w:val="0"/>
          <w:i w:val="0"/>
          <w:caps w:val="0"/>
          <w:color w:val="333333"/>
          <w:spacing w:val="0"/>
          <w:sz w:val="24"/>
          <w:szCs w:val="24"/>
          <w:shd w:val="clear" w:fill="FFFFFF"/>
          <w:lang w:eastAsia="zh-CN"/>
        </w:rPr>
        <w:t>黄石港区花湖街办</w:t>
      </w:r>
      <w:r>
        <w:rPr>
          <w:rFonts w:hint="eastAsia" w:ascii="微软雅黑" w:hAnsi="微软雅黑" w:eastAsia="微软雅黑" w:cs="微软雅黑"/>
          <w:b w:val="0"/>
          <w:i w:val="0"/>
          <w:caps w:val="0"/>
          <w:color w:val="333333"/>
          <w:spacing w:val="0"/>
          <w:sz w:val="24"/>
          <w:szCs w:val="24"/>
          <w:shd w:val="clear" w:fill="FFFFFF"/>
        </w:rPr>
        <w:t>服务中心为机关提供办公楼日常维修、维护等后勤保障服务的支出。</w:t>
      </w:r>
    </w:p>
    <w:p w14:paraId="310AE7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七、一般公共服务（类）其他一般公共服务支出（款）其他一般公共服务支出（项）：指</w:t>
      </w:r>
      <w:r>
        <w:rPr>
          <w:rFonts w:hint="eastAsia" w:ascii="微软雅黑" w:hAnsi="微软雅黑" w:eastAsia="微软雅黑" w:cs="微软雅黑"/>
          <w:b w:val="0"/>
          <w:i w:val="0"/>
          <w:caps w:val="0"/>
          <w:color w:val="333333"/>
          <w:spacing w:val="0"/>
          <w:sz w:val="24"/>
          <w:szCs w:val="24"/>
          <w:shd w:val="clear" w:fill="FFFFFF"/>
          <w:lang w:eastAsia="zh-CN"/>
        </w:rPr>
        <w:t>黄石港区花湖街办</w:t>
      </w:r>
      <w:r>
        <w:rPr>
          <w:rFonts w:hint="eastAsia" w:ascii="微软雅黑" w:hAnsi="微软雅黑" w:eastAsia="微软雅黑" w:cs="微软雅黑"/>
          <w:b w:val="0"/>
          <w:i w:val="0"/>
          <w:caps w:val="0"/>
          <w:color w:val="333333"/>
          <w:spacing w:val="0"/>
          <w:sz w:val="24"/>
          <w:szCs w:val="24"/>
          <w:shd w:val="clear" w:fill="FFFFFF"/>
        </w:rPr>
        <w:t>用于其他一般公共服务方面的支出。</w:t>
      </w:r>
    </w:p>
    <w:p w14:paraId="2710AB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八、教育（类）普通教育（款）高等教育（项）：指</w:t>
      </w:r>
      <w:r>
        <w:rPr>
          <w:rFonts w:hint="eastAsia" w:ascii="微软雅黑" w:hAnsi="微软雅黑" w:eastAsia="微软雅黑" w:cs="微软雅黑"/>
          <w:b w:val="0"/>
          <w:i w:val="0"/>
          <w:caps w:val="0"/>
          <w:color w:val="333333"/>
          <w:spacing w:val="0"/>
          <w:sz w:val="24"/>
          <w:szCs w:val="24"/>
          <w:shd w:val="clear" w:fill="FFFFFF"/>
          <w:lang w:eastAsia="zh-CN"/>
        </w:rPr>
        <w:t>黄石港区花湖街办</w:t>
      </w:r>
      <w:r>
        <w:rPr>
          <w:rFonts w:hint="eastAsia" w:ascii="微软雅黑" w:hAnsi="微软雅黑" w:eastAsia="微软雅黑" w:cs="微软雅黑"/>
          <w:b w:val="0"/>
          <w:i w:val="0"/>
          <w:caps w:val="0"/>
          <w:color w:val="333333"/>
          <w:spacing w:val="0"/>
          <w:sz w:val="24"/>
          <w:szCs w:val="24"/>
          <w:shd w:val="clear" w:fill="FFFFFF"/>
        </w:rPr>
        <w:t>厅支持地方高校的重点发展和特色办学，组织专家对省属院校申报的建设规划和项目预算进行评审等相关工作的支出。</w:t>
      </w:r>
    </w:p>
    <w:p w14:paraId="361172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九、社会保障和就业(类)行政事业单位离退休（款）归口管理的行政单位离退休（项）：指</w:t>
      </w:r>
      <w:r>
        <w:rPr>
          <w:rFonts w:hint="eastAsia" w:ascii="微软雅黑" w:hAnsi="微软雅黑" w:eastAsia="微软雅黑" w:cs="微软雅黑"/>
          <w:b w:val="0"/>
          <w:i w:val="0"/>
          <w:caps w:val="0"/>
          <w:color w:val="333333"/>
          <w:spacing w:val="0"/>
          <w:sz w:val="24"/>
          <w:szCs w:val="24"/>
          <w:shd w:val="clear" w:fill="FFFFFF"/>
          <w:lang w:eastAsia="zh-CN"/>
        </w:rPr>
        <w:t>黄石港区花湖街办</w:t>
      </w:r>
      <w:r>
        <w:rPr>
          <w:rFonts w:hint="eastAsia" w:ascii="微软雅黑" w:hAnsi="微软雅黑" w:eastAsia="微软雅黑" w:cs="微软雅黑"/>
          <w:b w:val="0"/>
          <w:i w:val="0"/>
          <w:caps w:val="0"/>
          <w:color w:val="333333"/>
          <w:spacing w:val="0"/>
          <w:sz w:val="24"/>
          <w:szCs w:val="24"/>
          <w:shd w:val="clear" w:fill="FFFFFF"/>
        </w:rPr>
        <w:t>用于离退休人员的支出、退休人员支出，以及提供管理服务工作的离退休干部处的支出。</w:t>
      </w:r>
    </w:p>
    <w:p w14:paraId="2E4AA8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十、社会保障和就业(类)行政事业单位离退休（款）其他行政事业单位离退休支出（项）：指</w:t>
      </w:r>
      <w:r>
        <w:rPr>
          <w:rFonts w:hint="eastAsia" w:ascii="微软雅黑" w:hAnsi="微软雅黑" w:eastAsia="微软雅黑" w:cs="微软雅黑"/>
          <w:b w:val="0"/>
          <w:i w:val="0"/>
          <w:caps w:val="0"/>
          <w:color w:val="333333"/>
          <w:spacing w:val="0"/>
          <w:sz w:val="24"/>
          <w:szCs w:val="24"/>
          <w:shd w:val="clear" w:fill="FFFFFF"/>
          <w:lang w:eastAsia="zh-CN"/>
        </w:rPr>
        <w:t>黄石港区花湖街办</w:t>
      </w:r>
      <w:r>
        <w:rPr>
          <w:rFonts w:hint="eastAsia" w:ascii="微软雅黑" w:hAnsi="微软雅黑" w:eastAsia="微软雅黑" w:cs="微软雅黑"/>
          <w:b w:val="0"/>
          <w:i w:val="0"/>
          <w:caps w:val="0"/>
          <w:color w:val="333333"/>
          <w:spacing w:val="0"/>
          <w:sz w:val="24"/>
          <w:szCs w:val="24"/>
          <w:shd w:val="clear" w:fill="FFFFFF"/>
        </w:rPr>
        <w:t>用于离退休方面的其他支出。</w:t>
      </w:r>
    </w:p>
    <w:p w14:paraId="45DF14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十一、医疗卫生与计划生育（类）医疗保障（款）行政单位医疗（项）：指</w:t>
      </w:r>
      <w:r>
        <w:rPr>
          <w:rFonts w:hint="eastAsia" w:ascii="微软雅黑" w:hAnsi="微软雅黑" w:eastAsia="微软雅黑" w:cs="微软雅黑"/>
          <w:b w:val="0"/>
          <w:i w:val="0"/>
          <w:caps w:val="0"/>
          <w:color w:val="333333"/>
          <w:spacing w:val="0"/>
          <w:sz w:val="24"/>
          <w:szCs w:val="24"/>
          <w:shd w:val="clear" w:fill="FFFFFF"/>
          <w:lang w:eastAsia="zh-CN"/>
        </w:rPr>
        <w:t>黄石港区花湖街办</w:t>
      </w:r>
      <w:r>
        <w:rPr>
          <w:rFonts w:hint="eastAsia" w:ascii="微软雅黑" w:hAnsi="微软雅黑" w:eastAsia="微软雅黑" w:cs="微软雅黑"/>
          <w:b w:val="0"/>
          <w:i w:val="0"/>
          <w:caps w:val="0"/>
          <w:color w:val="333333"/>
          <w:spacing w:val="0"/>
          <w:sz w:val="24"/>
          <w:szCs w:val="24"/>
          <w:shd w:val="clear" w:fill="FFFFFF"/>
        </w:rPr>
        <w:t>用于机关干部职工及离退休人员医疗方面的支出。</w:t>
      </w:r>
    </w:p>
    <w:p w14:paraId="267C22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十二、住房保障（类）住房改革支出（款）购房补贴（项）：指按照相关住房分配货币化改革的政策规定和标准，对无房和住房未达标职工发放的住房分配货币化补贴资金。</w:t>
      </w:r>
    </w:p>
    <w:p w14:paraId="3ED9A4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十三、年末结转和结余：指本年度或以前年度预算安排、因客观条件发生变化无法按原计划实施，需要延迟到以后年度按有关规定继续使用的资金。</w:t>
      </w:r>
    </w:p>
    <w:p w14:paraId="5115A5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十四、基本支出：指为保障机构正常运转、完成日常工作任务而发生的人员支出（包括基本工资、津贴补贴等）和公用支出（包括办公费、水电费、邮电费、交通费、差旅费等）。</w:t>
      </w:r>
    </w:p>
    <w:p w14:paraId="7DF320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十五、项目支出：指在基本支出之外为完成特定行政任务和事业发展目标所发生的支出。</w:t>
      </w:r>
    </w:p>
    <w:p w14:paraId="196380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十六、“三公”经费：是指用财政拨款安排的因公出国（境）费、公务用车购置及运行维护费、公务接待费。</w:t>
      </w:r>
    </w:p>
    <w:p w14:paraId="381DA0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587B"/>
    <w:rsid w:val="09FF39B4"/>
    <w:rsid w:val="11411182"/>
    <w:rsid w:val="255E033E"/>
    <w:rsid w:val="27390172"/>
    <w:rsid w:val="2CCE2491"/>
    <w:rsid w:val="621B3808"/>
    <w:rsid w:val="67E4782B"/>
    <w:rsid w:val="746766E2"/>
    <w:rsid w:val="78186405"/>
    <w:rsid w:val="7EDB4E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line="500" w:lineRule="exact"/>
      <w:ind w:firstLine="640" w:firstLineChars="200"/>
    </w:pPr>
    <w:rPr>
      <w:rFonts w:ascii="宋体"/>
      <w:sz w:val="32"/>
    </w:rPr>
  </w:style>
  <w:style w:type="paragraph" w:styleId="4">
    <w:name w:val="Plain Text"/>
    <w:basedOn w:val="1"/>
    <w:uiPriority w:val="0"/>
    <w:rPr>
      <w:rFonts w:ascii="宋体" w:hAnsi="Courier New" w:cs="Courier New"/>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缩进 + 首行缩进:  2 字符"/>
    <w:basedOn w:val="1"/>
    <w:uiPriority w:val="0"/>
    <w:pPr>
      <w:spacing w:line="560" w:lineRule="exact"/>
      <w:ind w:firstLine="640"/>
    </w:pPr>
    <w:rPr>
      <w:rFonts w:ascii="仿宋" w:hAnsi="仿宋" w:cs="宋体"/>
      <w:sz w:val="32"/>
      <w:szCs w:val="32"/>
    </w:rPr>
  </w:style>
  <w:style w:type="character" w:customStyle="1" w:styleId="10">
    <w:name w:val="ca-2"/>
    <w:basedOn w:val="7"/>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3091</Words>
  <Characters>3454</Characters>
  <Lines>0</Lines>
  <Paragraphs>0</Paragraphs>
  <TotalTime>2</TotalTime>
  <ScaleCrop>false</ScaleCrop>
  <LinksUpToDate>false</LinksUpToDate>
  <CharactersWithSpaces>3477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2025-02-12T04:39:50Z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eyJoZGlkIjoiMmEwODY1NTVkYWU2MmY3ZjA1NmUwM2E0YmM4MzhhNTAiLCJ1c2VySWQiOiIyNjYwNzM2MzQifQ==</vt:lpwstr>
  </property>
  <property fmtid="{D5CDD505-2E9C-101B-9397-08002B2CF9AE}" pid="4" name="ICV">
    <vt:lpwstr>C712D01C96F4497395D2AAB295256C78_13</vt:lpwstr>
  </property>
</Properties>
</file>