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bdr w:val="none" w:color="auto" w:sz="0" w:space="0"/>
          <w:shd w:val="clear" w:fill="FFFFFF"/>
          <w:lang w:eastAsia="zh-CN"/>
        </w:rPr>
        <w:t>江北管理区</w:t>
      </w:r>
      <w:r>
        <w:rPr>
          <w:rFonts w:hint="eastAsia" w:ascii="微软雅黑" w:hAnsi="微软雅黑" w:eastAsia="微软雅黑" w:cs="微软雅黑"/>
          <w:b/>
          <w:i w:val="0"/>
          <w:caps w:val="0"/>
          <w:color w:val="BC1010"/>
          <w:spacing w:val="0"/>
          <w:sz w:val="40"/>
          <w:szCs w:val="40"/>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黄石港区江北管理区</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第一部分:部门基本情况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一、部门主要职责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二、部门决算单位构成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第二部分: 部门2017年部门决算表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一、收入支出决算总表（表1）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二、收入决算表（表2）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三、支出决算表（表3）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四、财政拨款收入支出决算总表（表4）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五、一般公共预算财政拨款支出决算表（表5）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六、一般公共预算财政拨款基本支出决算表（表6）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七、一般公共预算财政拨款“三公”经费支出决算表（表7）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八、政府性基金预算财政拨款收入支出决算表（8）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第三部分：部门2017年部门决算情况说明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第四部分：名词解释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第一部分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部门概况</w:t>
      </w:r>
    </w:p>
    <w:p>
      <w:pPr>
        <w:rPr>
          <w:rFonts w:hint="eastAsia" w:ascii="仿宋" w:hAnsi="仿宋" w:eastAsia="仿宋" w:cs="仿宋"/>
          <w:position w:val="2"/>
          <w:sz w:val="28"/>
          <w:szCs w:val="28"/>
        </w:rPr>
      </w:pPr>
      <w:r>
        <w:rPr>
          <w:rFonts w:hint="eastAsia" w:ascii="仿宋" w:hAnsi="仿宋" w:eastAsia="仿宋" w:cs="仿宋"/>
          <w:position w:val="2"/>
          <w:sz w:val="28"/>
          <w:szCs w:val="28"/>
        </w:rPr>
        <w:t>（一）部门职责</w:t>
      </w:r>
    </w:p>
    <w:p>
      <w:pPr>
        <w:ind w:firstLine="560" w:firstLineChars="200"/>
        <w:rPr>
          <w:rFonts w:hint="eastAsia" w:ascii="仿宋" w:hAnsi="仿宋" w:eastAsia="仿宋" w:cs="仿宋"/>
          <w:position w:val="2"/>
          <w:sz w:val="28"/>
          <w:szCs w:val="28"/>
        </w:rPr>
      </w:pPr>
      <w:r>
        <w:rPr>
          <w:rFonts w:hint="eastAsia" w:ascii="仿宋" w:hAnsi="仿宋" w:eastAsia="仿宋" w:cs="仿宋"/>
          <w:position w:val="2"/>
          <w:sz w:val="28"/>
          <w:szCs w:val="28"/>
        </w:rPr>
        <w:t>江北管理区系政府派出机构，目前实行“一套班子三块牌子”运作。其中，黄石港工业园区管理委员会负责园区建设管理和运营，江北管理区负责区域内社会事务管理工作.江北农场负责国有企业的资产运营和管理及农场遗留问题的协调处理。</w:t>
      </w:r>
    </w:p>
    <w:p>
      <w:pPr>
        <w:ind w:firstLine="560" w:firstLineChars="200"/>
        <w:rPr>
          <w:rFonts w:hint="eastAsia" w:ascii="仿宋" w:hAnsi="仿宋" w:eastAsia="仿宋" w:cs="仿宋"/>
          <w:position w:val="2"/>
          <w:sz w:val="28"/>
          <w:szCs w:val="28"/>
        </w:rPr>
      </w:pPr>
      <w:r>
        <w:rPr>
          <w:rFonts w:hint="eastAsia" w:ascii="仿宋" w:hAnsi="仿宋" w:eastAsia="仿宋" w:cs="仿宋"/>
          <w:position w:val="2"/>
          <w:sz w:val="28"/>
          <w:szCs w:val="28"/>
        </w:rPr>
        <w:t>（二）单位基本信息（机构设置等）</w:t>
      </w:r>
    </w:p>
    <w:p>
      <w:pPr>
        <w:ind w:firstLine="560" w:firstLineChars="200"/>
        <w:rPr>
          <w:rFonts w:hint="eastAsia" w:ascii="仿宋" w:hAnsi="仿宋" w:eastAsia="仿宋" w:cs="仿宋"/>
          <w:position w:val="2"/>
          <w:sz w:val="28"/>
          <w:szCs w:val="28"/>
        </w:rPr>
      </w:pPr>
      <w:r>
        <w:rPr>
          <w:rFonts w:hint="eastAsia" w:ascii="仿宋" w:hAnsi="仿宋" w:eastAsia="仿宋" w:cs="仿宋"/>
          <w:position w:val="2"/>
          <w:sz w:val="28"/>
          <w:szCs w:val="28"/>
        </w:rPr>
        <w:t>江北管理区内设党政办公室、社会事务办公室、经济发展办公室、资产经营办公室、综治办公室，下辖一个社区、一个自来水厂。其中：党政办负责综合管理工作及党建工作,社会事务办负责辖区社会事务管理工作；经济发展办负责园区建设管理，运营、招商统计及财务管理核算工作，资产经营办主要负责江北农场资产的经营管理和农场遗留问题协调处理工作，综合办负责区域内的治安、维稳、信访、城管及综合治理工作，江北社区主要负责辖区内社会事务等工作,江北自来水厂负责供应辖区居民生活用水及工业用水。</w:t>
      </w:r>
    </w:p>
    <w:p>
      <w:pPr>
        <w:widowControl/>
        <w:shd w:val="clear" w:color="auto" w:fill="FFFFFF"/>
        <w:jc w:val="left"/>
        <w:rPr>
          <w:rFonts w:hint="eastAsia" w:ascii="宋体" w:hAnsi="宋体" w:cs="宋体"/>
          <w:color w:val="333333"/>
          <w:kern w:val="0"/>
          <w:sz w:val="30"/>
          <w:szCs w:val="30"/>
        </w:rPr>
      </w:pPr>
      <w:r>
        <w:rPr>
          <w:rFonts w:hint="eastAsia" w:ascii="宋体" w:hAnsi="宋体" w:cs="宋体"/>
          <w:color w:val="333333"/>
          <w:kern w:val="0"/>
          <w:sz w:val="30"/>
          <w:szCs w:val="30"/>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bdr w:val="none" w:color="auto" w:sz="0" w:space="0"/>
          <w:shd w:val="clear" w:fill="FFFFFF"/>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第二部分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color w:val="333333"/>
          <w:sz w:val="24"/>
          <w:szCs w:val="24"/>
        </w:rPr>
        <w:sectPr>
          <w:pgSz w:w="16838" w:h="11906" w:orient="landscape"/>
          <w:pgMar w:top="1800" w:right="1440" w:bottom="1800" w:left="1440" w:header="851" w:footer="992" w:gutter="0"/>
          <w:cols w:space="425" w:num="1"/>
          <w:docGrid w:type="lines" w:linePitch="312" w:charSpace="0"/>
        </w:sectPr>
      </w:pPr>
      <w:r>
        <w:drawing>
          <wp:inline distT="0" distB="0" distL="114300" distR="114300">
            <wp:extent cx="5991225" cy="5268595"/>
            <wp:effectExtent l="0" t="0" r="9525" b="8255"/>
            <wp:docPr id="164"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64"/>
                    <pic:cNvPicPr>
                      <a:picLocks noChangeAspect="1"/>
                    </pic:cNvPicPr>
                  </pic:nvPicPr>
                  <pic:blipFill>
                    <a:blip r:embed="rId4"/>
                    <a:stretch>
                      <a:fillRect/>
                    </a:stretch>
                  </pic:blipFill>
                  <pic:spPr>
                    <a:xfrm>
                      <a:off x="0" y="0"/>
                      <a:ext cx="5991225" cy="5268595"/>
                    </a:xfrm>
                    <a:prstGeom prst="rect">
                      <a:avLst/>
                    </a:prstGeom>
                    <a:noFill/>
                    <a:ln w="9525">
                      <a:noFill/>
                    </a:ln>
                  </pic:spPr>
                </pic:pic>
              </a:graphicData>
            </a:graphic>
          </wp:inline>
        </w:drawing>
      </w:r>
      <w:r>
        <w:drawing>
          <wp:inline distT="0" distB="0" distL="114300" distR="114300">
            <wp:extent cx="8860155" cy="4479290"/>
            <wp:effectExtent l="0" t="0" r="17145" b="16510"/>
            <wp:docPr id="165"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5"/>
                    <pic:cNvPicPr>
                      <a:picLocks noChangeAspect="1"/>
                    </pic:cNvPicPr>
                  </pic:nvPicPr>
                  <pic:blipFill>
                    <a:blip r:embed="rId5"/>
                    <a:stretch>
                      <a:fillRect/>
                    </a:stretch>
                  </pic:blipFill>
                  <pic:spPr>
                    <a:xfrm>
                      <a:off x="0" y="0"/>
                      <a:ext cx="8860155" cy="4479290"/>
                    </a:xfrm>
                    <a:prstGeom prst="rect">
                      <a:avLst/>
                    </a:prstGeom>
                    <a:noFill/>
                    <a:ln w="9525">
                      <a:noFill/>
                    </a:ln>
                  </pic:spPr>
                </pic:pic>
              </a:graphicData>
            </a:graphic>
          </wp:inline>
        </w:drawing>
      </w:r>
      <w:r>
        <w:drawing>
          <wp:inline distT="0" distB="0" distL="114300" distR="114300">
            <wp:extent cx="8856345" cy="5051425"/>
            <wp:effectExtent l="0" t="0" r="1905" b="15875"/>
            <wp:docPr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6"/>
                    <pic:cNvPicPr>
                      <a:picLocks noChangeAspect="1"/>
                    </pic:cNvPicPr>
                  </pic:nvPicPr>
                  <pic:blipFill>
                    <a:blip r:embed="rId6"/>
                    <a:stretch>
                      <a:fillRect/>
                    </a:stretch>
                  </pic:blipFill>
                  <pic:spPr>
                    <a:xfrm>
                      <a:off x="0" y="0"/>
                      <a:ext cx="8856345" cy="5051425"/>
                    </a:xfrm>
                    <a:prstGeom prst="rect">
                      <a:avLst/>
                    </a:prstGeom>
                    <a:noFill/>
                    <a:ln w="9525">
                      <a:noFill/>
                    </a:ln>
                  </pic:spPr>
                </pic:pic>
              </a:graphicData>
            </a:graphic>
          </wp:inline>
        </w:drawing>
      </w:r>
      <w:r>
        <w:drawing>
          <wp:inline distT="0" distB="0" distL="114300" distR="114300">
            <wp:extent cx="6638925" cy="5133975"/>
            <wp:effectExtent l="0" t="0" r="9525" b="9525"/>
            <wp:docPr id="167"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7"/>
                    <pic:cNvPicPr>
                      <a:picLocks noChangeAspect="1"/>
                    </pic:cNvPicPr>
                  </pic:nvPicPr>
                  <pic:blipFill>
                    <a:blip r:embed="rId7"/>
                    <a:stretch>
                      <a:fillRect/>
                    </a:stretch>
                  </pic:blipFill>
                  <pic:spPr>
                    <a:xfrm>
                      <a:off x="0" y="0"/>
                      <a:ext cx="6638925" cy="5133975"/>
                    </a:xfrm>
                    <a:prstGeom prst="rect">
                      <a:avLst/>
                    </a:prstGeom>
                    <a:noFill/>
                    <a:ln w="9525">
                      <a:noFill/>
                    </a:ln>
                  </pic:spPr>
                </pic:pic>
              </a:graphicData>
            </a:graphic>
          </wp:inline>
        </w:drawing>
      </w:r>
      <w:r>
        <w:drawing>
          <wp:inline distT="0" distB="0" distL="114300" distR="114300">
            <wp:extent cx="5248275" cy="5095875"/>
            <wp:effectExtent l="0" t="0" r="9525" b="9525"/>
            <wp:docPr id="168"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8"/>
                    <pic:cNvPicPr>
                      <a:picLocks noChangeAspect="1"/>
                    </pic:cNvPicPr>
                  </pic:nvPicPr>
                  <pic:blipFill>
                    <a:blip r:embed="rId8"/>
                    <a:stretch>
                      <a:fillRect/>
                    </a:stretch>
                  </pic:blipFill>
                  <pic:spPr>
                    <a:xfrm>
                      <a:off x="0" y="0"/>
                      <a:ext cx="5248275" cy="5095875"/>
                    </a:xfrm>
                    <a:prstGeom prst="rect">
                      <a:avLst/>
                    </a:prstGeom>
                    <a:noFill/>
                    <a:ln w="9525">
                      <a:noFill/>
                    </a:ln>
                  </pic:spPr>
                </pic:pic>
              </a:graphicData>
            </a:graphic>
          </wp:inline>
        </w:drawing>
      </w:r>
      <w:r>
        <w:drawing>
          <wp:inline distT="0" distB="0" distL="114300" distR="114300">
            <wp:extent cx="8854440" cy="5038725"/>
            <wp:effectExtent l="0" t="0" r="3810" b="9525"/>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9"/>
                    <pic:cNvPicPr>
                      <a:picLocks noChangeAspect="1"/>
                    </pic:cNvPicPr>
                  </pic:nvPicPr>
                  <pic:blipFill>
                    <a:blip r:embed="rId9"/>
                    <a:stretch>
                      <a:fillRect/>
                    </a:stretch>
                  </pic:blipFill>
                  <pic:spPr>
                    <a:xfrm>
                      <a:off x="0" y="0"/>
                      <a:ext cx="8854440" cy="5038725"/>
                    </a:xfrm>
                    <a:prstGeom prst="rect">
                      <a:avLst/>
                    </a:prstGeom>
                    <a:noFill/>
                    <a:ln w="9525">
                      <a:noFill/>
                    </a:ln>
                  </pic:spPr>
                </pic:pic>
              </a:graphicData>
            </a:graphic>
          </wp:inline>
        </w:drawing>
      </w:r>
      <w:r>
        <w:drawing>
          <wp:inline distT="0" distB="0" distL="114300" distR="114300">
            <wp:extent cx="8858885" cy="1823085"/>
            <wp:effectExtent l="0" t="0" r="18415" b="5715"/>
            <wp:docPr id="170"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0"/>
                    <pic:cNvPicPr>
                      <a:picLocks noChangeAspect="1"/>
                    </pic:cNvPicPr>
                  </pic:nvPicPr>
                  <pic:blipFill>
                    <a:blip r:embed="rId10"/>
                    <a:stretch>
                      <a:fillRect/>
                    </a:stretch>
                  </pic:blipFill>
                  <pic:spPr>
                    <a:xfrm>
                      <a:off x="0" y="0"/>
                      <a:ext cx="8858885" cy="1823085"/>
                    </a:xfrm>
                    <a:prstGeom prst="rect">
                      <a:avLst/>
                    </a:prstGeom>
                    <a:noFill/>
                    <a:ln w="9525">
                      <a:noFill/>
                    </a:ln>
                  </pic:spPr>
                </pic:pic>
              </a:graphicData>
            </a:graphic>
          </wp:inline>
        </w:drawing>
      </w:r>
      <w:r>
        <w:drawing>
          <wp:inline distT="0" distB="0" distL="114300" distR="114300">
            <wp:extent cx="8853805" cy="2473325"/>
            <wp:effectExtent l="0" t="0" r="4445" b="3175"/>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1"/>
                    <pic:cNvPicPr>
                      <a:picLocks noChangeAspect="1"/>
                    </pic:cNvPicPr>
                  </pic:nvPicPr>
                  <pic:blipFill>
                    <a:blip r:embed="rId11"/>
                    <a:stretch>
                      <a:fillRect/>
                    </a:stretch>
                  </pic:blipFill>
                  <pic:spPr>
                    <a:xfrm>
                      <a:off x="0" y="0"/>
                      <a:ext cx="8853805" cy="247332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第三部分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2017年部门决算情况说明</w:t>
      </w:r>
    </w:p>
    <w:p>
      <w:pPr>
        <w:ind w:firstLine="562" w:firstLineChars="200"/>
        <w:rPr>
          <w:rFonts w:hint="eastAsia" w:ascii="仿宋" w:hAnsi="仿宋" w:eastAsia="仿宋" w:cs="仿宋"/>
          <w:b/>
          <w:bCs/>
          <w:position w:val="2"/>
          <w:sz w:val="28"/>
          <w:szCs w:val="28"/>
        </w:rPr>
      </w:pPr>
      <w:r>
        <w:rPr>
          <w:rFonts w:hint="eastAsia" w:ascii="仿宋" w:hAnsi="仿宋" w:eastAsia="仿宋" w:cs="仿宋"/>
          <w:b/>
          <w:bCs/>
          <w:position w:val="2"/>
          <w:sz w:val="28"/>
          <w:szCs w:val="28"/>
        </w:rPr>
        <w:t>（一）预算执行情况分析</w:t>
      </w:r>
    </w:p>
    <w:p>
      <w:pPr>
        <w:ind w:firstLine="562" w:firstLineChars="200"/>
        <w:rPr>
          <w:rFonts w:hint="eastAsia" w:ascii="仿宋" w:hAnsi="仿宋" w:eastAsia="仿宋" w:cs="仿宋"/>
          <w:b/>
          <w:bCs/>
          <w:position w:val="2"/>
          <w:sz w:val="28"/>
          <w:szCs w:val="28"/>
        </w:rPr>
      </w:pPr>
      <w:r>
        <w:rPr>
          <w:rFonts w:hint="eastAsia" w:ascii="仿宋" w:hAnsi="仿宋" w:eastAsia="仿宋" w:cs="仿宋"/>
          <w:b/>
          <w:bCs/>
          <w:position w:val="2"/>
          <w:sz w:val="28"/>
          <w:szCs w:val="28"/>
        </w:rPr>
        <w:t>1、收入支出安排情况</w:t>
      </w:r>
    </w:p>
    <w:p>
      <w:pPr>
        <w:ind w:firstLine="560" w:firstLineChars="200"/>
        <w:rPr>
          <w:rFonts w:hint="eastAsia" w:ascii="仿宋" w:hAnsi="仿宋" w:eastAsia="仿宋" w:cs="仿宋"/>
          <w:position w:val="2"/>
          <w:sz w:val="28"/>
          <w:szCs w:val="28"/>
        </w:rPr>
      </w:pPr>
      <w:r>
        <w:rPr>
          <w:rFonts w:hint="eastAsia" w:ascii="仿宋" w:hAnsi="仿宋" w:eastAsia="仿宋" w:cs="仿宋"/>
          <w:position w:val="2"/>
          <w:sz w:val="28"/>
          <w:szCs w:val="28"/>
        </w:rPr>
        <w:t xml:space="preserve"> 2017年，财政下达我单位预算数1607539.26元，其中人员经费1372540元，公用经费234999.26元.与上年度1282450.00元相比，增加32.51万余元，增加了25.35%，原因是增发了2014年-2016年工资。</w:t>
      </w:r>
    </w:p>
    <w:p>
      <w:pPr>
        <w:ind w:firstLine="562" w:firstLineChars="200"/>
        <w:rPr>
          <w:rFonts w:hint="eastAsia" w:ascii="仿宋" w:hAnsi="仿宋" w:eastAsia="仿宋" w:cs="仿宋"/>
          <w:b/>
          <w:bCs/>
          <w:position w:val="2"/>
          <w:sz w:val="28"/>
          <w:szCs w:val="28"/>
        </w:rPr>
      </w:pPr>
      <w:r>
        <w:rPr>
          <w:rFonts w:hint="eastAsia" w:ascii="仿宋" w:hAnsi="仿宋" w:eastAsia="仿宋" w:cs="仿宋"/>
          <w:b/>
          <w:bCs/>
          <w:position w:val="2"/>
          <w:sz w:val="28"/>
          <w:szCs w:val="28"/>
        </w:rPr>
        <w:t>2、收入支出预算执行情况</w:t>
      </w:r>
    </w:p>
    <w:p>
      <w:pPr>
        <w:ind w:firstLine="560" w:firstLineChars="200"/>
        <w:rPr>
          <w:rFonts w:hint="eastAsia" w:ascii="仿宋" w:hAnsi="仿宋" w:eastAsia="仿宋" w:cs="仿宋"/>
          <w:color w:val="000000"/>
          <w:position w:val="2"/>
          <w:sz w:val="28"/>
          <w:szCs w:val="28"/>
        </w:rPr>
      </w:pPr>
      <w:r>
        <w:rPr>
          <w:rFonts w:hint="eastAsia" w:ascii="仿宋" w:hAnsi="仿宋" w:eastAsia="仿宋" w:cs="仿宋"/>
          <w:position w:val="2"/>
          <w:sz w:val="28"/>
          <w:szCs w:val="28"/>
        </w:rPr>
        <w:t>2017年全年总收入4625702.75元，其中</w:t>
      </w:r>
      <w:r>
        <w:rPr>
          <w:rFonts w:hint="eastAsia" w:ascii="仿宋" w:hAnsi="仿宋" w:eastAsia="仿宋" w:cs="仿宋"/>
          <w:position w:val="2"/>
          <w:sz w:val="28"/>
          <w:szCs w:val="28"/>
        </w:rPr>
        <w:fldChar w:fldCharType="begin"/>
      </w:r>
      <w:r>
        <w:rPr>
          <w:rFonts w:hint="eastAsia" w:ascii="仿宋" w:hAnsi="仿宋" w:eastAsia="仿宋" w:cs="仿宋"/>
          <w:position w:val="2"/>
          <w:sz w:val="28"/>
          <w:szCs w:val="28"/>
        </w:rPr>
        <w:instrText xml:space="preserve"> = 1 \* GB3 \* MERGEFORMAT </w:instrText>
      </w:r>
      <w:r>
        <w:rPr>
          <w:rFonts w:hint="eastAsia" w:ascii="仿宋" w:hAnsi="仿宋" w:eastAsia="仿宋" w:cs="仿宋"/>
          <w:position w:val="2"/>
          <w:sz w:val="28"/>
          <w:szCs w:val="28"/>
        </w:rPr>
        <w:fldChar w:fldCharType="separate"/>
      </w:r>
      <w:r>
        <w:t>①</w:t>
      </w:r>
      <w:r>
        <w:rPr>
          <w:rFonts w:hint="eastAsia" w:ascii="仿宋" w:hAnsi="仿宋" w:eastAsia="仿宋" w:cs="仿宋"/>
          <w:position w:val="2"/>
          <w:sz w:val="28"/>
          <w:szCs w:val="28"/>
        </w:rPr>
        <w:fldChar w:fldCharType="end"/>
      </w:r>
      <w:r>
        <w:rPr>
          <w:rFonts w:hint="eastAsia" w:ascii="仿宋" w:hAnsi="仿宋" w:eastAsia="仿宋" w:cs="仿宋"/>
          <w:position w:val="2"/>
          <w:sz w:val="28"/>
          <w:szCs w:val="28"/>
        </w:rPr>
        <w:t>江北管理区财政拨款4118799.88元，</w:t>
      </w:r>
      <w:r>
        <w:rPr>
          <w:rFonts w:hint="eastAsia" w:ascii="仿宋" w:hAnsi="仿宋" w:eastAsia="仿宋" w:cs="仿宋"/>
          <w:color w:val="000000"/>
          <w:position w:val="2"/>
          <w:sz w:val="28"/>
          <w:szCs w:val="28"/>
        </w:rPr>
        <w:t>(基本支出行政运行</w:t>
      </w:r>
      <w:r>
        <w:rPr>
          <w:rFonts w:hint="eastAsia" w:ascii="仿宋" w:hAnsi="仿宋" w:eastAsia="仿宋" w:cs="仿宋"/>
          <w:position w:val="2"/>
          <w:sz w:val="28"/>
          <w:szCs w:val="28"/>
        </w:rPr>
        <w:t>4118799.88</w:t>
      </w:r>
      <w:r>
        <w:rPr>
          <w:rFonts w:hint="eastAsia" w:ascii="仿宋" w:hAnsi="仿宋" w:eastAsia="仿宋" w:cs="仿宋"/>
          <w:color w:val="000000"/>
          <w:position w:val="2"/>
          <w:sz w:val="28"/>
          <w:szCs w:val="28"/>
        </w:rPr>
        <w:t>元)：人员经费1771064.8元，公用经费2347735.08元；</w:t>
      </w:r>
      <w:r>
        <w:rPr>
          <w:rFonts w:hint="eastAsia" w:ascii="仿宋" w:hAnsi="仿宋" w:eastAsia="仿宋" w:cs="仿宋"/>
          <w:color w:val="000000"/>
          <w:position w:val="2"/>
          <w:sz w:val="28"/>
          <w:szCs w:val="28"/>
        </w:rPr>
        <w:fldChar w:fldCharType="begin"/>
      </w:r>
      <w:r>
        <w:rPr>
          <w:rFonts w:hint="eastAsia" w:ascii="仿宋" w:hAnsi="仿宋" w:eastAsia="仿宋" w:cs="仿宋"/>
          <w:color w:val="000000"/>
          <w:position w:val="2"/>
          <w:sz w:val="28"/>
          <w:szCs w:val="28"/>
        </w:rPr>
        <w:instrText xml:space="preserve"> = 2 \* GB3 \* MERGEFORMAT </w:instrText>
      </w:r>
      <w:r>
        <w:rPr>
          <w:rFonts w:hint="eastAsia" w:ascii="仿宋" w:hAnsi="仿宋" w:eastAsia="仿宋" w:cs="仿宋"/>
          <w:color w:val="000000"/>
          <w:position w:val="2"/>
          <w:sz w:val="28"/>
          <w:szCs w:val="28"/>
        </w:rPr>
        <w:fldChar w:fldCharType="separate"/>
      </w:r>
      <w:r>
        <w:t>②</w:t>
      </w:r>
      <w:r>
        <w:rPr>
          <w:rFonts w:hint="eastAsia" w:ascii="仿宋" w:hAnsi="仿宋" w:eastAsia="仿宋" w:cs="仿宋"/>
          <w:color w:val="000000"/>
          <w:position w:val="2"/>
          <w:sz w:val="28"/>
          <w:szCs w:val="28"/>
        </w:rPr>
        <w:fldChar w:fldCharType="end"/>
      </w:r>
      <w:r>
        <w:rPr>
          <w:rFonts w:hint="eastAsia" w:ascii="仿宋" w:hAnsi="仿宋" w:eastAsia="仿宋" w:cs="仿宋"/>
          <w:color w:val="000000"/>
          <w:position w:val="2"/>
          <w:sz w:val="28"/>
          <w:szCs w:val="28"/>
        </w:rPr>
        <w:t>其它收入506902.87元。与上年度4237702元相比，增加了38.8万余元，增加了9.16%，原因是增发了2014年—2016年工资。</w:t>
      </w:r>
    </w:p>
    <w:p>
      <w:pPr>
        <w:numPr>
          <w:ilvl w:val="0"/>
          <w:numId w:val="1"/>
        </w:numPr>
        <w:ind w:firstLine="562" w:firstLineChars="200"/>
        <w:rPr>
          <w:rFonts w:hint="eastAsia" w:ascii="仿宋" w:hAnsi="仿宋" w:eastAsia="仿宋" w:cs="仿宋"/>
          <w:position w:val="2"/>
          <w:sz w:val="28"/>
          <w:szCs w:val="28"/>
        </w:rPr>
      </w:pPr>
      <w:r>
        <w:rPr>
          <w:rFonts w:hint="eastAsia" w:ascii="仿宋" w:hAnsi="仿宋" w:eastAsia="仿宋" w:cs="仿宋"/>
          <w:b/>
          <w:bCs/>
          <w:position w:val="2"/>
          <w:sz w:val="28"/>
          <w:szCs w:val="28"/>
        </w:rPr>
        <w:t>关于“三公”经费支出说明</w:t>
      </w:r>
    </w:p>
    <w:p>
      <w:pPr>
        <w:rPr>
          <w:rFonts w:hint="eastAsia" w:ascii="仿宋" w:hAnsi="仿宋" w:eastAsia="仿宋" w:cs="仿宋"/>
          <w:color w:val="000000"/>
          <w:position w:val="2"/>
          <w:sz w:val="28"/>
          <w:szCs w:val="28"/>
        </w:rPr>
      </w:pPr>
      <w:r>
        <w:rPr>
          <w:rFonts w:hint="eastAsia" w:ascii="仿宋" w:hAnsi="仿宋" w:eastAsia="仿宋" w:cs="仿宋"/>
          <w:position w:val="2"/>
          <w:sz w:val="28"/>
          <w:szCs w:val="28"/>
        </w:rPr>
        <w:t xml:space="preserve">     （1）“ 三公”经支出情况: 2017年决算公务车运行维护费9138元， 与上年度84339.9元相比，减少了75201.9元，减少了89.17%，原因是江北管理区加强管理，压缩经费开支。2017年决算公务接待数为680元，公务接待批次为1次，接待人数为9人，上年度公务接待889元，减少了209元，减少23.51%， 原因是江北管理区加强管理，压缩经费开支。(2)会议费支出情况: 2017年决算会议费为0万元,;(3)培训费支出情况2017年决算培训费280元，比上年620元减少了340元，减少了54.84%，原因是江北管理区加强管理，压缩经费开支。 </w:t>
      </w:r>
      <w:r>
        <w:rPr>
          <w:rFonts w:hint="eastAsia" w:ascii="仿宋" w:hAnsi="仿宋" w:eastAsia="仿宋" w:cs="仿宋"/>
          <w:color w:val="000000"/>
          <w:position w:val="2"/>
          <w:sz w:val="28"/>
          <w:szCs w:val="28"/>
        </w:rPr>
        <w:t>(4)2017年决算因公出国为零。</w:t>
      </w:r>
    </w:p>
    <w:p>
      <w:pPr>
        <w:numPr>
          <w:ilvl w:val="0"/>
          <w:numId w:val="1"/>
        </w:numPr>
        <w:ind w:firstLine="562" w:firstLineChars="200"/>
        <w:rPr>
          <w:rFonts w:hint="eastAsia" w:ascii="仿宋" w:hAnsi="仿宋" w:eastAsia="仿宋" w:cs="仿宋"/>
          <w:b/>
          <w:bCs/>
          <w:position w:val="2"/>
          <w:sz w:val="28"/>
          <w:szCs w:val="28"/>
        </w:rPr>
      </w:pPr>
      <w:r>
        <w:rPr>
          <w:rFonts w:hint="eastAsia" w:ascii="仿宋" w:hAnsi="仿宋" w:eastAsia="仿宋" w:cs="仿宋"/>
          <w:b/>
          <w:bCs/>
          <w:position w:val="2"/>
          <w:sz w:val="28"/>
          <w:szCs w:val="28"/>
        </w:rPr>
        <w:t>关于机关运行经费支出说明</w:t>
      </w:r>
    </w:p>
    <w:p>
      <w:pPr>
        <w:rPr>
          <w:rFonts w:hint="eastAsia" w:ascii="仿宋" w:hAnsi="仿宋" w:eastAsia="仿宋" w:cs="仿宋"/>
          <w:position w:val="2"/>
          <w:sz w:val="28"/>
          <w:szCs w:val="28"/>
        </w:rPr>
      </w:pPr>
      <w:r>
        <w:rPr>
          <w:rFonts w:hint="eastAsia" w:ascii="仿宋" w:hAnsi="仿宋" w:eastAsia="仿宋" w:cs="仿宋"/>
          <w:position w:val="2"/>
          <w:sz w:val="28"/>
          <w:szCs w:val="28"/>
        </w:rPr>
        <w:t xml:space="preserve">      本单位2017年度机关运行经费支出462.57万元（与部门决算中行政单位和参照公务员法管理事业单位一般公共预算财政拨款基本支出中公用经费之和保持一致），比2016年423.77万元增加了38.8万元，增长9.16%。主要原因是增发了2014年—2016年工资以及加强农村一事一议建设。</w:t>
      </w:r>
    </w:p>
    <w:p>
      <w:pPr>
        <w:widowControl/>
        <w:rPr>
          <w:rFonts w:hint="eastAsia" w:ascii="仿宋" w:hAnsi="仿宋" w:eastAsia="仿宋" w:cs="仿宋"/>
          <w:b/>
          <w:bCs/>
          <w:position w:val="2"/>
          <w:sz w:val="28"/>
          <w:szCs w:val="28"/>
        </w:rPr>
      </w:pPr>
      <w:r>
        <w:rPr>
          <w:rFonts w:hint="eastAsia" w:ascii="仿宋" w:hAnsi="仿宋" w:eastAsia="仿宋" w:cs="仿宋"/>
          <w:position w:val="2"/>
          <w:sz w:val="28"/>
          <w:szCs w:val="28"/>
        </w:rPr>
        <w:t xml:space="preserve">    </w:t>
      </w:r>
      <w:r>
        <w:rPr>
          <w:rFonts w:hint="eastAsia" w:ascii="仿宋" w:hAnsi="仿宋" w:eastAsia="仿宋" w:cs="仿宋"/>
          <w:b/>
          <w:bCs/>
          <w:position w:val="2"/>
          <w:sz w:val="28"/>
          <w:szCs w:val="28"/>
        </w:rPr>
        <w:t>（四）关于政府采购支出说明</w:t>
      </w:r>
    </w:p>
    <w:p>
      <w:pPr>
        <w:ind w:firstLine="560" w:firstLineChars="200"/>
        <w:rPr>
          <w:rFonts w:hint="eastAsia" w:ascii="仿宋" w:hAnsi="仿宋" w:eastAsia="仿宋" w:cs="仿宋"/>
          <w:position w:val="2"/>
          <w:sz w:val="28"/>
          <w:szCs w:val="28"/>
        </w:rPr>
      </w:pPr>
      <w:r>
        <w:rPr>
          <w:rFonts w:hint="eastAsia" w:ascii="仿宋" w:hAnsi="仿宋" w:eastAsia="仿宋" w:cs="仿宋"/>
          <w:position w:val="2"/>
          <w:sz w:val="28"/>
          <w:szCs w:val="28"/>
        </w:rPr>
        <w:t xml:space="preserve"> 2017年，江北管理区无政府采购项目。</w:t>
      </w:r>
    </w:p>
    <w:p>
      <w:pPr>
        <w:numPr>
          <w:ilvl w:val="0"/>
          <w:numId w:val="2"/>
        </w:numPr>
        <w:ind w:firstLine="562" w:firstLineChars="200"/>
        <w:rPr>
          <w:rFonts w:hint="eastAsia" w:ascii="仿宋" w:hAnsi="仿宋" w:eastAsia="仿宋" w:cs="仿宋"/>
          <w:b/>
          <w:bCs/>
          <w:position w:val="2"/>
          <w:sz w:val="28"/>
          <w:szCs w:val="28"/>
        </w:rPr>
      </w:pPr>
      <w:r>
        <w:rPr>
          <w:rFonts w:hint="eastAsia" w:ascii="仿宋" w:hAnsi="仿宋" w:eastAsia="仿宋" w:cs="仿宋"/>
          <w:b/>
          <w:bCs/>
          <w:position w:val="2"/>
          <w:sz w:val="28"/>
          <w:szCs w:val="28"/>
        </w:rPr>
        <w:t>关于国有资产占用情况说明</w:t>
      </w:r>
    </w:p>
    <w:p>
      <w:pPr>
        <w:rPr>
          <w:rFonts w:hint="eastAsia" w:ascii="仿宋" w:hAnsi="仿宋" w:eastAsia="仿宋" w:cs="仿宋"/>
          <w:position w:val="2"/>
          <w:sz w:val="28"/>
          <w:szCs w:val="28"/>
        </w:rPr>
      </w:pPr>
      <w:r>
        <w:rPr>
          <w:rFonts w:hint="eastAsia" w:ascii="仿宋" w:hAnsi="仿宋" w:eastAsia="仿宋" w:cs="仿宋"/>
          <w:position w:val="2"/>
          <w:sz w:val="28"/>
          <w:szCs w:val="28"/>
        </w:rPr>
        <w:t xml:space="preserve">    截止2017年12月31日，本单位共有车辆一辆，为公务用车；685.17平方米的房屋原值79.1万元。与上年一致。</w:t>
      </w:r>
    </w:p>
    <w:p>
      <w:pPr>
        <w:pStyle w:val="5"/>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仿宋_GB2312" w:eastAsia="仿宋_GB2312"/>
          <w:sz w:val="27"/>
          <w:szCs w:val="27"/>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第四部分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一、财政补助收入：指县级财政当年拨付的资金。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二、其他收入：指除“财政拨款收入”、“上级补助收入”、“事业收入”、“经营收入”等以外的收入。主要是存款利息收入等。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三、年初结转和结余：指以前年度尚未完成、结转到本年按有关规定继续使用的资金。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四、一般公共服务（类）行政运行（项）：指县行政单位及参照公务员管理事业单位用于保障机构正常运行、开展日常工作的基本支出。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六、一般公共服务（类）机关服务（项）：指县</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黄石港区江北管理区</w:t>
      </w:r>
      <w:r>
        <w:rPr>
          <w:rFonts w:hint="eastAsia" w:ascii="微软雅黑" w:hAnsi="微软雅黑" w:eastAsia="微软雅黑" w:cs="微软雅黑"/>
          <w:b w:val="0"/>
          <w:i w:val="0"/>
          <w:caps w:val="0"/>
          <w:color w:val="333333"/>
          <w:spacing w:val="0"/>
          <w:sz w:val="24"/>
          <w:szCs w:val="24"/>
          <w:bdr w:val="none" w:color="auto" w:sz="0" w:space="0"/>
          <w:shd w:val="clear" w:fill="FFFFFF"/>
        </w:rPr>
        <w:t>服务中心为机关提供办公楼日常维修、维护等后勤保障服务的支出。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七、一般公共服务（类）其他一般公共服务支出（款）其他一般公共服务支出（项）：指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黄石港区江北管理区</w:t>
      </w:r>
      <w:r>
        <w:rPr>
          <w:rFonts w:hint="eastAsia" w:ascii="微软雅黑" w:hAnsi="微软雅黑" w:eastAsia="微软雅黑" w:cs="微软雅黑"/>
          <w:b w:val="0"/>
          <w:i w:val="0"/>
          <w:caps w:val="0"/>
          <w:color w:val="333333"/>
          <w:spacing w:val="0"/>
          <w:sz w:val="24"/>
          <w:szCs w:val="24"/>
          <w:bdr w:val="none" w:color="auto" w:sz="0" w:space="0"/>
          <w:shd w:val="clear" w:fill="FFFFFF"/>
        </w:rPr>
        <w:t>用于其他一般公共服务方面的支出。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八、教育（类）普通教育（款）高等教育（项）：指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黄石港区江北管理区</w:t>
      </w:r>
      <w:r>
        <w:rPr>
          <w:rFonts w:hint="eastAsia" w:ascii="微软雅黑" w:hAnsi="微软雅黑" w:eastAsia="微软雅黑" w:cs="微软雅黑"/>
          <w:b w:val="0"/>
          <w:i w:val="0"/>
          <w:caps w:val="0"/>
          <w:color w:val="333333"/>
          <w:spacing w:val="0"/>
          <w:sz w:val="24"/>
          <w:szCs w:val="24"/>
          <w:bdr w:val="none" w:color="auto" w:sz="0" w:space="0"/>
          <w:shd w:val="clear" w:fill="FFFFFF"/>
        </w:rPr>
        <w:t>厅支持地方高校的重点发展和特色办学，组织专家对省属院校申报的建设规划和项目预算进行评审等相关工作的支出。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九、社会保障和就业(类)行政事业单位离退休（款）归口管理的行政单位离退休（项）：指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黄石港区江北管理区</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用于离退休人员的支出、退休人员支出，以及提供管理服务工作的离退休干部处的支出。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十、社会保障和就业(类)行政事业单位离退休（款）其他行政事业单位离退休支出（项）：指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黄石港区江北管理区</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用于离退休方面的其他支出。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十一、医疗卫生与计划生育（类）医疗保障（款）行政单位医疗（项）：指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黄石港区江北管理区</w:t>
      </w:r>
      <w:r>
        <w:rPr>
          <w:rFonts w:hint="eastAsia" w:ascii="微软雅黑" w:hAnsi="微软雅黑" w:eastAsia="微软雅黑" w:cs="微软雅黑"/>
          <w:b w:val="0"/>
          <w:i w:val="0"/>
          <w:caps w:val="0"/>
          <w:color w:val="333333"/>
          <w:spacing w:val="0"/>
          <w:sz w:val="24"/>
          <w:szCs w:val="24"/>
          <w:bdr w:val="none" w:color="auto" w:sz="0" w:space="0"/>
          <w:shd w:val="clear" w:fill="FFFFFF"/>
        </w:rPr>
        <w:t>用于机关干部职工及离退休人员医疗方面的支出。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十二、住房保障（类）住房改革支出（款）购房补贴（项）：指按照相关住房分配货币化改革的政策规定和标准，对无房和住房未达标职工发放的住房分配货币化补贴资金。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十三、年末结转和结余：指本年度或以前年度预算安排、因客观条件发生变化无法按原计划实施，需要延迟到以后年度按有关规定继续使用的资金。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十四、基本支出：指为保障机构正常运转、完成日常工作任务而发生的人员支出（包括基本工资、津贴补贴等）和公用支出（包括办公费、水电费、邮电费、交通费、差旅费等）。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十五、项目支出：指在基本支出之外为完成特定行政任务和事业发展目标所发生的支出。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十六、“三公”经费：是指用财政拨款安排的因公出国（境）费、公务用车购置及运行维护费、公务接待费。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2"/>
      <w:numFmt w:val="chineseCounting"/>
      <w:suff w:val="nothing"/>
      <w:lvlText w:val="（%1）"/>
      <w:lvlJc w:val="left"/>
    </w:lvl>
  </w:abstractNum>
  <w:abstractNum w:abstractNumId="1">
    <w:nsid w:val="00000004"/>
    <w:multiLevelType w:val="singleLevel"/>
    <w:tmpl w:val="00000004"/>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4587B"/>
    <w:rsid w:val="09FF39B4"/>
    <w:rsid w:val="10157CA5"/>
    <w:rsid w:val="11411182"/>
    <w:rsid w:val="13FA6E94"/>
    <w:rsid w:val="219E41B4"/>
    <w:rsid w:val="255E033E"/>
    <w:rsid w:val="27390172"/>
    <w:rsid w:val="2CCE2491"/>
    <w:rsid w:val="2F081AB6"/>
    <w:rsid w:val="401A2F36"/>
    <w:rsid w:val="457D21A1"/>
    <w:rsid w:val="49D83A19"/>
    <w:rsid w:val="507C1CF5"/>
    <w:rsid w:val="57193076"/>
    <w:rsid w:val="61773BFF"/>
    <w:rsid w:val="621B3808"/>
    <w:rsid w:val="67E4782B"/>
    <w:rsid w:val="746766E2"/>
    <w:rsid w:val="74EA7B66"/>
    <w:rsid w:val="78186405"/>
    <w:rsid w:val="7D417A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Indent"/>
    <w:basedOn w:val="1"/>
    <w:uiPriority w:val="0"/>
    <w:pPr>
      <w:spacing w:line="500" w:lineRule="exact"/>
      <w:ind w:firstLine="640" w:firstLineChars="200"/>
    </w:pPr>
    <w:rPr>
      <w:rFonts w:ascii="宋体"/>
      <w:sz w:val="32"/>
    </w:rPr>
  </w:style>
  <w:style w:type="paragraph" w:styleId="4">
    <w:name w:val="Plain Text"/>
    <w:basedOn w:val="1"/>
    <w:uiPriority w:val="0"/>
    <w:rPr>
      <w:rFonts w:ascii="宋体" w:hAnsi="Courier New" w:cs="Courier New"/>
      <w:szCs w:val="21"/>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正文缩进 + 首行缩进:  2 字符"/>
    <w:basedOn w:val="1"/>
    <w:uiPriority w:val="0"/>
    <w:pPr>
      <w:spacing w:line="560" w:lineRule="exact"/>
      <w:ind w:firstLine="640"/>
    </w:pPr>
    <w:rPr>
      <w:rFonts w:ascii="仿宋" w:hAnsi="仿宋" w:cs="宋体"/>
      <w:sz w:val="32"/>
      <w:szCs w:val="32"/>
    </w:rPr>
  </w:style>
  <w:style w:type="character" w:customStyle="1" w:styleId="10">
    <w:name w:val="ca-2"/>
    <w:basedOn w:val="6"/>
    <w:uiPriority w:val="0"/>
  </w:style>
  <w:style w:type="paragraph" w:customStyle="1"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ca-3"/>
    <w:basedOn w:val="6"/>
    <w:uiPriority w:val="0"/>
  </w:style>
  <w:style w:type="character" w:customStyle="1" w:styleId="13">
    <w:name w:val="apple-converted-space"/>
    <w:basedOn w:val="6"/>
    <w:uiPriority w:val="99"/>
  </w:style>
  <w:style w:type="paragraph" w:customStyle="1" w:styleId="14">
    <w:name w:val="pa-1"/>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侒靜啲喧嘩</cp:lastModifiedBy>
  <dcterms:modified xsi:type="dcterms:W3CDTF">2019-02-27T10:20:57Z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