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bookmarkStart w:id="0" w:name="_GoBack"/>
      <w:r>
        <w:rPr>
          <w:rFonts w:hint="eastAsia" w:ascii="微软雅黑" w:hAnsi="微软雅黑" w:eastAsia="微软雅黑" w:cs="微软雅黑"/>
          <w:b/>
          <w:i w:val="0"/>
          <w:caps w:val="0"/>
          <w:color w:val="BC1010"/>
          <w:spacing w:val="0"/>
          <w:sz w:val="40"/>
          <w:szCs w:val="40"/>
          <w:shd w:val="clear" w:fill="FFFFFF"/>
          <w:lang w:eastAsia="zh-CN"/>
        </w:rPr>
        <w:t>江北管理区</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黄石港区江北管理区</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八、政府性基金预算财政拨款收入支出决算表（8）</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北管理区系政府派出机构，目前实行“一套班子三块牌子”运作。其中，黄石港工业园区管理委员会负责园区建设管理和运营，江北管理区负责区域内社会事务管理工作.江北农场负责国有企业的资产运营和管理及农场遗留问题的协调处理。</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（二）单位基本信息(机构设置等)</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北管理区内设党政办公室、社会事务办公室、经济发展办公室、资产经营办公室、综治办公室，下辖一个社区、一个自来水厂。其中：党政办负责综合管理工作及党建工作,社会事务办负责辖区社会事务管理工作；经济发展办负责园区建设管理，运营、招商统计及财务管理核算工作，资产经营办主要负责江北农场资产的经营管理和农场遗留问题协调处理工作，综合办负责区域内的治安、维稳、信访、城管及综合治理工作，江北社区主要负责辖区内社会事务等工作,江北自来水厂负责供应辖区居民生活用水及工业用水。</w:t>
      </w:r>
    </w:p>
    <w:p>
      <w:pPr>
        <w:numPr>
          <w:ilvl w:val="0"/>
          <w:numId w:val="1"/>
        </w:numPr>
        <w:ind w:firstLine="568" w:firstLineChars="200"/>
        <w:rPr>
          <w:rFonts w:hint="eastAsia" w:asciiTheme="minorEastAsia" w:hAnsiTheme="minorEastAsia" w:eastAsiaTheme="minorEastAsia" w:cstheme="minorEastAsia"/>
          <w:color w:val="000000"/>
          <w:spacing w:val="2"/>
          <w:sz w:val="28"/>
          <w:szCs w:val="32"/>
          <w:lang w:eastAsia="zh-CN"/>
        </w:rPr>
      </w:pPr>
      <w:r>
        <w:rPr>
          <w:rFonts w:hint="eastAsia" w:asciiTheme="minorEastAsia" w:hAnsiTheme="minorEastAsia" w:eastAsiaTheme="minorEastAsia" w:cstheme="minorEastAsia"/>
          <w:color w:val="000000"/>
          <w:spacing w:val="2"/>
          <w:sz w:val="28"/>
          <w:szCs w:val="32"/>
          <w:lang w:eastAsia="zh-CN"/>
        </w:rPr>
        <w:t>人员情况</w:t>
      </w:r>
    </w:p>
    <w:p>
      <w:pPr>
        <w:numPr>
          <w:ilvl w:val="0"/>
          <w:numId w:val="0"/>
        </w:numPr>
        <w:ind w:firstLine="568" w:firstLineChars="200"/>
        <w:rPr>
          <w:rFonts w:hint="eastAsia" w:asciiTheme="minorEastAsia" w:hAnsiTheme="minorEastAsia" w:eastAsiaTheme="minorEastAsia" w:cstheme="minorEastAsia"/>
          <w:color w:val="000000"/>
          <w:spacing w:val="2"/>
          <w:sz w:val="28"/>
          <w:szCs w:val="32"/>
        </w:rPr>
      </w:pPr>
      <w:r>
        <w:rPr>
          <w:rFonts w:hint="eastAsia" w:asciiTheme="minorEastAsia" w:hAnsiTheme="minorEastAsia" w:eastAsiaTheme="minorEastAsia" w:cstheme="minorEastAsia"/>
          <w:color w:val="000000"/>
          <w:spacing w:val="2"/>
          <w:sz w:val="28"/>
          <w:szCs w:val="32"/>
        </w:rPr>
        <w:t>黄石港区江北管理区编制人数共计16人，其中行政编6人，事业编10人；年末实有人数14人，其中行政编5人， 事业编9人。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rPr>
          <w:rStyle w:val="7"/>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2018年部门决算表</w:t>
      </w:r>
      <w:r>
        <w:drawing>
          <wp:inline distT="0" distB="0" distL="114300" distR="114300">
            <wp:extent cx="8894445" cy="4796790"/>
            <wp:effectExtent l="0" t="0" r="19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94445" cy="4796790"/>
                    </a:xfrm>
                    <a:prstGeom prst="rect">
                      <a:avLst/>
                    </a:prstGeom>
                    <a:noFill/>
                    <a:ln>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r>
        <w:drawing>
          <wp:inline distT="0" distB="0" distL="114300" distR="114300">
            <wp:extent cx="8856345" cy="5001260"/>
            <wp:effectExtent l="0" t="0" r="19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6345" cy="5001260"/>
                    </a:xfrm>
                    <a:prstGeom prst="rect">
                      <a:avLst/>
                    </a:prstGeom>
                    <a:noFill/>
                    <a:ln>
                      <a:noFill/>
                    </a:ln>
                  </pic:spPr>
                </pic:pic>
              </a:graphicData>
            </a:graphic>
          </wp:inline>
        </w:drawing>
      </w:r>
      <w:r>
        <w:drawing>
          <wp:inline distT="0" distB="0" distL="114300" distR="114300">
            <wp:extent cx="8856345" cy="5559425"/>
            <wp:effectExtent l="0" t="0" r="190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6345" cy="5559425"/>
                    </a:xfrm>
                    <a:prstGeom prst="rect">
                      <a:avLst/>
                    </a:prstGeom>
                    <a:noFill/>
                    <a:ln>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39200" cy="5419090"/>
            <wp:effectExtent l="0" t="0" r="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39200" cy="541909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83955" cy="5272405"/>
            <wp:effectExtent l="0" t="0" r="1714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783955" cy="527240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2535" cy="5307330"/>
            <wp:effectExtent l="0" t="0" r="571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2535" cy="530733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8885" cy="1963420"/>
            <wp:effectExtent l="0" t="0" r="18415"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858885" cy="196342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833485" cy="2769870"/>
            <wp:effectExtent l="0" t="0" r="5715"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833485" cy="276987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ind w:firstLine="560"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2018年，财政下达我单位预算数1867440元，其中人员经费1610465元，公用经费256975元。2017年，财政下达我单位预算数1607539.26元，其中人员经费1372540元，公用经费234999.26元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2018年全年总收入6325933.24，江北管理区财政拨款5703795.95元，</w:t>
      </w:r>
      <w:r>
        <w:rPr>
          <w:rFonts w:hint="eastAsia" w:asciiTheme="minorEastAsia" w:hAnsiTheme="minorEastAsia" w:eastAsiaTheme="minorEastAsia" w:cstheme="minorEastAsia"/>
          <w:color w:val="000000"/>
          <w:spacing w:val="2"/>
          <w:sz w:val="28"/>
          <w:szCs w:val="28"/>
        </w:rPr>
        <w:t>其它收入622137.29元, 其中人员经费2433458.89元，公用经费3892474.35元。</w:t>
      </w:r>
      <w:r>
        <w:rPr>
          <w:rFonts w:hint="eastAsia" w:asciiTheme="minorEastAsia" w:hAnsiTheme="minorEastAsia" w:eastAsiaTheme="minorEastAsia" w:cstheme="minorEastAsia"/>
          <w:sz w:val="28"/>
          <w:szCs w:val="28"/>
        </w:rPr>
        <w:t>2018年全年总支出6325933.24，江北管理区财政拨款5703795.95元，</w:t>
      </w:r>
      <w:r>
        <w:rPr>
          <w:rFonts w:hint="eastAsia" w:asciiTheme="minorEastAsia" w:hAnsiTheme="minorEastAsia" w:eastAsiaTheme="minorEastAsia" w:cstheme="minorEastAsia"/>
          <w:color w:val="000000"/>
          <w:spacing w:val="2"/>
          <w:sz w:val="28"/>
          <w:szCs w:val="28"/>
        </w:rPr>
        <w:t>其它支出622137.29元, 其中人员经费2433458.89元，公用经费3892474.35元。</w:t>
      </w:r>
    </w:p>
    <w:p>
      <w:pPr>
        <w:keepNext w:val="0"/>
        <w:keepLines w:val="0"/>
        <w:pageBreakBefore w:val="0"/>
        <w:widowControl/>
        <w:kinsoku/>
        <w:wordWrap/>
        <w:overflowPunct/>
        <w:topLinePunct w:val="0"/>
        <w:autoSpaceDE/>
        <w:autoSpaceDN/>
        <w:bidi w:val="0"/>
        <w:adjustRightInd/>
        <w:snapToGrid/>
        <w:ind w:firstLine="568" w:firstLineChars="200"/>
        <w:jc w:val="left"/>
        <w:textAlignment w:val="auto"/>
        <w:rPr>
          <w:rFonts w:hAnsi="宋体"/>
          <w:color w:val="000000"/>
          <w:spacing w:val="2"/>
          <w:sz w:val="28"/>
          <w:szCs w:val="28"/>
        </w:rPr>
      </w:pPr>
      <w:r>
        <w:rPr>
          <w:rFonts w:hint="eastAsia" w:hAnsi="宋体"/>
          <w:color w:val="000000"/>
          <w:spacing w:val="2"/>
          <w:sz w:val="28"/>
          <w:szCs w:val="28"/>
        </w:rPr>
        <w:t>1、收入支出与预算对比分析</w:t>
      </w:r>
    </w:p>
    <w:p>
      <w:pPr>
        <w:keepNext w:val="0"/>
        <w:keepLines w:val="0"/>
        <w:pageBreakBefore w:val="0"/>
        <w:widowControl/>
        <w:kinsoku/>
        <w:wordWrap/>
        <w:overflowPunct/>
        <w:topLinePunct w:val="0"/>
        <w:autoSpaceDE/>
        <w:autoSpaceDN/>
        <w:bidi w:val="0"/>
        <w:adjustRightInd/>
        <w:snapToGrid/>
        <w:ind w:firstLine="568" w:firstLineChars="200"/>
        <w:jc w:val="left"/>
        <w:textAlignment w:val="auto"/>
        <w:rPr>
          <w:rFonts w:ascii="仿宋_GB2312" w:eastAsia="仿宋_GB2312"/>
          <w:sz w:val="32"/>
          <w:szCs w:val="32"/>
        </w:rPr>
      </w:pPr>
      <w:r>
        <w:rPr>
          <w:rFonts w:hint="eastAsia" w:hAnsi="宋体"/>
          <w:color w:val="000000"/>
          <w:spacing w:val="2"/>
          <w:sz w:val="28"/>
          <w:szCs w:val="28"/>
        </w:rPr>
        <w:t>2018年全年</w:t>
      </w:r>
      <w:r>
        <w:rPr>
          <w:rFonts w:hint="eastAsia" w:ascii="仿宋_GB2312" w:eastAsia="仿宋_GB2312"/>
          <w:sz w:val="32"/>
          <w:szCs w:val="32"/>
        </w:rPr>
        <w:t>总收入6325933.24元，江北管理区财政拨款5703795.95元，</w:t>
      </w:r>
      <w:r>
        <w:rPr>
          <w:rFonts w:hint="eastAsia" w:ascii="仿宋_GB2312" w:hAnsi="宋体" w:eastAsia="仿宋_GB2312"/>
          <w:color w:val="000000"/>
          <w:spacing w:val="2"/>
          <w:sz w:val="32"/>
          <w:szCs w:val="32"/>
        </w:rPr>
        <w:t>其它收入</w:t>
      </w:r>
      <w:r>
        <w:rPr>
          <w:rFonts w:hint="eastAsia" w:ascii="仿宋_GB2312" w:eastAsia="仿宋_GB2312"/>
          <w:color w:val="000000"/>
          <w:spacing w:val="2"/>
          <w:sz w:val="32"/>
          <w:szCs w:val="32"/>
        </w:rPr>
        <w:t>622137.29</w:t>
      </w:r>
      <w:r>
        <w:rPr>
          <w:rFonts w:hint="eastAsia" w:ascii="仿宋_GB2312" w:hAnsi="宋体" w:eastAsia="仿宋_GB2312"/>
          <w:color w:val="000000"/>
          <w:spacing w:val="2"/>
          <w:sz w:val="32"/>
          <w:szCs w:val="32"/>
        </w:rPr>
        <w:t>元;</w:t>
      </w:r>
      <w:r>
        <w:rPr>
          <w:rFonts w:hint="eastAsia" w:ascii="仿宋_GB2312" w:eastAsia="仿宋_GB2312"/>
          <w:sz w:val="32"/>
          <w:szCs w:val="32"/>
        </w:rPr>
        <w:t xml:space="preserve"> 2018年全年总支出6325933.24，江北管理区财政拨款5703795.95元，</w:t>
      </w:r>
      <w:r>
        <w:rPr>
          <w:rFonts w:hint="eastAsia" w:ascii="仿宋_GB2312" w:hAnsi="宋体" w:eastAsia="仿宋_GB2312"/>
          <w:color w:val="000000"/>
          <w:spacing w:val="2"/>
          <w:sz w:val="32"/>
          <w:szCs w:val="32"/>
        </w:rPr>
        <w:t>其它支出</w:t>
      </w:r>
      <w:r>
        <w:rPr>
          <w:rFonts w:hint="eastAsia" w:ascii="仿宋_GB2312" w:eastAsia="仿宋_GB2312"/>
          <w:color w:val="000000"/>
          <w:spacing w:val="2"/>
          <w:sz w:val="32"/>
          <w:szCs w:val="32"/>
        </w:rPr>
        <w:t>622137.29</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eastAsia="仿宋_GB2312"/>
          <w:sz w:val="32"/>
          <w:szCs w:val="32"/>
        </w:rPr>
        <w:t>2018年，财政下达我单位预算数1867440元。2017年全年总收入4625702.75，江北管理区财政拨款4118799.88元，</w:t>
      </w:r>
      <w:r>
        <w:rPr>
          <w:rFonts w:hint="eastAsia" w:hAnsi="宋体"/>
          <w:color w:val="000000"/>
          <w:spacing w:val="2"/>
          <w:sz w:val="28"/>
          <w:szCs w:val="28"/>
        </w:rPr>
        <w:t>其它收入</w:t>
      </w:r>
      <w:r>
        <w:rPr>
          <w:rFonts w:hint="eastAsia"/>
          <w:color w:val="000000"/>
          <w:spacing w:val="2"/>
          <w:sz w:val="28"/>
          <w:szCs w:val="28"/>
        </w:rPr>
        <w:t>506902.87</w:t>
      </w:r>
      <w:r>
        <w:rPr>
          <w:rFonts w:hint="eastAsia" w:hAnsi="宋体"/>
          <w:color w:val="000000"/>
          <w:spacing w:val="2"/>
          <w:sz w:val="28"/>
          <w:szCs w:val="28"/>
        </w:rPr>
        <w:t>元</w:t>
      </w:r>
      <w:r>
        <w:rPr>
          <w:rFonts w:hint="eastAsia"/>
          <w:color w:val="000000"/>
          <w:spacing w:val="2"/>
          <w:sz w:val="28"/>
          <w:szCs w:val="28"/>
        </w:rPr>
        <w:t>。</w:t>
      </w:r>
      <w:r>
        <w:rPr>
          <w:rFonts w:hint="eastAsia" w:ascii="仿宋_GB2312" w:eastAsia="仿宋_GB2312"/>
          <w:sz w:val="32"/>
          <w:szCs w:val="32"/>
        </w:rPr>
        <w:t>2017年，财政下达我单位预算数1607539.26元。</w:t>
      </w:r>
    </w:p>
    <w:p>
      <w:pPr>
        <w:keepNext w:val="0"/>
        <w:keepLines w:val="0"/>
        <w:pageBreakBefore w:val="0"/>
        <w:widowControl/>
        <w:numPr>
          <w:ilvl w:val="0"/>
          <w:numId w:val="2"/>
        </w:numPr>
        <w:kinsoku/>
        <w:wordWrap/>
        <w:overflowPunct/>
        <w:topLinePunct w:val="0"/>
        <w:autoSpaceDE/>
        <w:autoSpaceDN/>
        <w:bidi w:val="0"/>
        <w:adjustRightInd/>
        <w:snapToGrid/>
        <w:ind w:firstLine="568" w:firstLineChars="200"/>
        <w:jc w:val="left"/>
        <w:textAlignment w:val="auto"/>
        <w:rPr>
          <w:rFonts w:hint="eastAsia" w:hAnsi="宋体"/>
          <w:color w:val="000000"/>
          <w:spacing w:val="2"/>
          <w:sz w:val="28"/>
          <w:szCs w:val="28"/>
        </w:rPr>
      </w:pPr>
      <w:r>
        <w:rPr>
          <w:rFonts w:hint="eastAsia" w:hAnsi="宋体"/>
          <w:color w:val="000000"/>
          <w:spacing w:val="2"/>
          <w:sz w:val="28"/>
          <w:szCs w:val="28"/>
        </w:rPr>
        <w:t>收入支出结构分析</w:t>
      </w:r>
    </w:p>
    <w:p>
      <w:pPr>
        <w:keepNext w:val="0"/>
        <w:keepLines w:val="0"/>
        <w:pageBreakBefore w:val="0"/>
        <w:widowControl/>
        <w:kinsoku/>
        <w:wordWrap/>
        <w:overflowPunct/>
        <w:topLinePunct w:val="0"/>
        <w:autoSpaceDE/>
        <w:autoSpaceDN/>
        <w:bidi w:val="0"/>
        <w:adjustRightInd/>
        <w:snapToGrid/>
        <w:ind w:firstLine="568" w:firstLineChars="200"/>
        <w:jc w:val="left"/>
        <w:textAlignment w:val="auto"/>
        <w:rPr>
          <w:rFonts w:hint="eastAsia" w:hAnsi="宋体"/>
          <w:color w:val="000000"/>
          <w:spacing w:val="2"/>
          <w:sz w:val="28"/>
          <w:szCs w:val="28"/>
        </w:rPr>
      </w:pPr>
      <w:r>
        <w:rPr>
          <w:rFonts w:hint="eastAsia" w:hAnsi="宋体"/>
          <w:color w:val="000000"/>
          <w:spacing w:val="2"/>
          <w:sz w:val="28"/>
          <w:szCs w:val="28"/>
        </w:rPr>
        <w:t>2018年全年总收入6325933.24元,其中财拔决算收入5703795.95,元,其它收入622137.29元, 2018年全年决算总支出6325933.24元,其中财拔决算支出6325933.24元,其它资金支出0元，支出按以下分类说明：</w:t>
      </w:r>
    </w:p>
    <w:p>
      <w:pPr>
        <w:keepNext w:val="0"/>
        <w:keepLines w:val="0"/>
        <w:pageBreakBefore w:val="0"/>
        <w:widowControl/>
        <w:kinsoku/>
        <w:wordWrap/>
        <w:overflowPunct/>
        <w:topLinePunct w:val="0"/>
        <w:autoSpaceDE/>
        <w:autoSpaceDN/>
        <w:bidi w:val="0"/>
        <w:adjustRightInd/>
        <w:snapToGrid/>
        <w:ind w:firstLine="568" w:firstLineChars="200"/>
        <w:jc w:val="left"/>
        <w:textAlignment w:val="auto"/>
        <w:rPr>
          <w:rFonts w:hint="eastAsia" w:hAnsi="宋体"/>
          <w:color w:val="000000"/>
          <w:spacing w:val="2"/>
          <w:sz w:val="28"/>
          <w:szCs w:val="28"/>
        </w:rPr>
      </w:pPr>
      <w:r>
        <w:rPr>
          <w:rFonts w:hint="eastAsia" w:hAnsi="宋体"/>
          <w:color w:val="000000"/>
          <w:spacing w:val="2"/>
          <w:sz w:val="28"/>
          <w:szCs w:val="28"/>
          <w:lang w:eastAsia="zh-CN"/>
        </w:rPr>
        <w:t>①</w:t>
      </w:r>
      <w:r>
        <w:rPr>
          <w:rFonts w:hint="eastAsia" w:hAnsi="宋体"/>
          <w:color w:val="000000"/>
          <w:spacing w:val="2"/>
          <w:sz w:val="28"/>
          <w:szCs w:val="28"/>
        </w:rPr>
        <w:t>支出功能分类：6325933.24元;一般公共服务支出581114.04元，科学技术支出256621.9元，文化体育与传媒支出13849.3元，医疗卫生与计划生育支出1910元，城乡社区支出5352438元，农林水支出120000元。</w:t>
      </w:r>
    </w:p>
    <w:p>
      <w:pPr>
        <w:keepNext w:val="0"/>
        <w:keepLines w:val="0"/>
        <w:pageBreakBefore w:val="0"/>
        <w:widowControl/>
        <w:kinsoku/>
        <w:wordWrap/>
        <w:overflowPunct/>
        <w:topLinePunct w:val="0"/>
        <w:autoSpaceDE/>
        <w:autoSpaceDN/>
        <w:bidi w:val="0"/>
        <w:adjustRightInd/>
        <w:snapToGrid/>
        <w:ind w:firstLine="568" w:firstLineChars="200"/>
        <w:jc w:val="left"/>
        <w:textAlignment w:val="auto"/>
        <w:rPr>
          <w:rFonts w:hint="eastAsia" w:hAnsi="宋体"/>
          <w:color w:val="000000"/>
          <w:spacing w:val="2"/>
          <w:sz w:val="28"/>
          <w:szCs w:val="28"/>
        </w:rPr>
      </w:pPr>
      <w:r>
        <w:rPr>
          <w:rFonts w:hint="eastAsia" w:hAnsi="宋体"/>
          <w:color w:val="000000"/>
          <w:spacing w:val="2"/>
          <w:sz w:val="28"/>
          <w:szCs w:val="28"/>
        </w:rPr>
        <w:t>②支出性质分类：6325933.24元，其中人员经费2433458.89元，公用经费3892474.35元</w:t>
      </w:r>
    </w:p>
    <w:p>
      <w:pPr>
        <w:keepNext w:val="0"/>
        <w:keepLines w:val="0"/>
        <w:pageBreakBefore w:val="0"/>
        <w:widowControl/>
        <w:kinsoku/>
        <w:wordWrap/>
        <w:overflowPunct/>
        <w:topLinePunct w:val="0"/>
        <w:autoSpaceDE/>
        <w:autoSpaceDN/>
        <w:bidi w:val="0"/>
        <w:adjustRightInd/>
        <w:snapToGrid/>
        <w:ind w:firstLine="568" w:firstLineChars="200"/>
        <w:jc w:val="left"/>
        <w:textAlignment w:val="auto"/>
        <w:rPr>
          <w:rFonts w:hint="eastAsia" w:hAnsi="宋体"/>
          <w:color w:val="000000"/>
          <w:spacing w:val="2"/>
          <w:sz w:val="28"/>
          <w:szCs w:val="28"/>
        </w:rPr>
      </w:pPr>
      <w:r>
        <w:rPr>
          <w:rFonts w:hint="eastAsia" w:hAnsi="宋体"/>
          <w:color w:val="000000"/>
          <w:spacing w:val="2"/>
          <w:sz w:val="28"/>
          <w:szCs w:val="28"/>
        </w:rPr>
        <w:t>③支出经济分类：6325933.24元，其中工资福利支出2433458.89元，商品服务支出3892474.35元。</w:t>
      </w:r>
    </w:p>
    <w:p>
      <w:pPr>
        <w:widowControl/>
        <w:shd w:val="clear" w:color="auto" w:fill="FFFFFF"/>
        <w:ind w:firstLine="562" w:firstLineChars="200"/>
        <w:jc w:val="left"/>
        <w:rPr>
          <w:rFonts w:hint="eastAsia" w:ascii="宋体" w:hAnsi="宋体" w:cs="宋体"/>
          <w:b/>
          <w:bCs/>
          <w:sz w:val="28"/>
          <w:szCs w:val="28"/>
        </w:rPr>
      </w:pPr>
      <w:r>
        <w:rPr>
          <w:rFonts w:hint="eastAsia" w:ascii="宋体" w:hAnsi="宋体" w:cs="宋体"/>
          <w:b/>
          <w:bCs/>
          <w:sz w:val="28"/>
          <w:szCs w:val="28"/>
        </w:rPr>
        <w:t>（二）关于“三公”经费支出说明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2018年决算公务车运行维护费15719元，预算数为15719元， 2018年决算公务接待数为0元，预算数为0元， 2018年决算因公出国（境）费0元，预算数为0元</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2017年决算公务车运行维护费9138元，</w:t>
      </w:r>
      <w:r>
        <w:rPr>
          <w:rFonts w:hint="eastAsia" w:asciiTheme="minorEastAsia" w:hAnsiTheme="minorEastAsia" w:cstheme="minorEastAsia"/>
          <w:sz w:val="28"/>
          <w:szCs w:val="28"/>
          <w:lang w:eastAsia="zh-CN"/>
        </w:rPr>
        <w:t>保有车辆</w:t>
      </w:r>
      <w:r>
        <w:rPr>
          <w:rFonts w:hint="eastAsia" w:asciiTheme="minorEastAsia" w:hAnsiTheme="minorEastAsia" w:cstheme="minorEastAsia"/>
          <w:sz w:val="28"/>
          <w:szCs w:val="28"/>
          <w:lang w:val="en-US" w:eastAsia="zh-CN"/>
        </w:rPr>
        <w:t>1辆；</w:t>
      </w:r>
      <w:r>
        <w:rPr>
          <w:rFonts w:hint="eastAsia" w:asciiTheme="minorEastAsia" w:hAnsiTheme="minorEastAsia" w:eastAsiaTheme="minorEastAsia" w:cstheme="minorEastAsia"/>
          <w:sz w:val="28"/>
          <w:szCs w:val="28"/>
        </w:rPr>
        <w:t xml:space="preserve"> 2017年决算公务接待数为680元，预算数为0元，2018年决算因公出国（境）费0元，预算数为0元；会议费支出情况: 2018年决算会议费为0元, 2017年决算会议费为0元；培训费支出情况：2018年决算培训费2500元， 2017年决算培训费280元</w:t>
      </w:r>
      <w:r>
        <w:rPr>
          <w:rFonts w:hint="eastAsia" w:asciiTheme="minorEastAsia" w:hAnsiTheme="minorEastAsia" w:cstheme="minorEastAsia"/>
          <w:sz w:val="28"/>
          <w:szCs w:val="28"/>
          <w:lang w:eastAsia="zh-CN"/>
        </w:rPr>
        <w:t>。</w:t>
      </w:r>
    </w:p>
    <w:p>
      <w:pPr>
        <w:widowControl/>
        <w:shd w:val="clear" w:color="auto" w:fill="FFFFFF"/>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2018年机关运行经费支出3665412.36元, 2017年机关运行经费支出2347735.08元,同比上年增加1317677.28元，同比上年增加56%，原因是黄石港区人社局业务增加。</w:t>
      </w:r>
    </w:p>
    <w:p>
      <w:pPr>
        <w:widowControl/>
        <w:shd w:val="clear" w:color="auto" w:fill="FFFFFF"/>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（四）关于政府采购支出说明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2018年政府采购总支出2549000元，其中政府采购货物支出18000元，政府采购工程支出2238000元，政府采购服务支出293000元。</w:t>
      </w:r>
    </w:p>
    <w:p>
      <w:pPr>
        <w:widowControl/>
        <w:shd w:val="clear" w:color="auto" w:fill="FFFFFF"/>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截至2018年12月31日，本单位共有车辆1辆，其中领导干部用车1辆，一般公务用车0辆，一般执法执勤用车0辆，特种专业技术用车0辆，其它用车0辆。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2017年12月31日，本单位共有车辆1辆，其中领导干部用车1辆，一般公务用车0辆，一般执法执勤用车0辆，特种专业技术用车0辆，其它用车0辆。2018年与2017年对比无增减变化。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bCs w:val="0"/>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bCs w:val="0"/>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b/>
          <w:bCs w:val="0"/>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sz w:val="28"/>
          <w:szCs w:val="28"/>
        </w:rPr>
      </w:pPr>
      <w:r>
        <w:rPr>
          <w:rFonts w:hint="eastAsia" w:ascii="宋体" w:hAnsi="宋体" w:cs="宋体"/>
          <w:sz w:val="28"/>
          <w:szCs w:val="28"/>
        </w:rPr>
        <w:t>（一）财政拨款（补助）：指省级财政当年拨付的资金。</w:t>
      </w:r>
    </w:p>
    <w:p>
      <w:pPr>
        <w:keepNext w:val="0"/>
        <w:keepLines w:val="0"/>
        <w:pageBreakBefore w:val="0"/>
        <w:widowControl w:val="0"/>
        <w:kinsoku/>
        <w:wordWrap/>
        <w:overflowPunct/>
        <w:topLinePunct w:val="0"/>
        <w:autoSpaceDE/>
        <w:autoSpaceDN/>
        <w:bidi w:val="0"/>
        <w:adjustRightInd/>
        <w:snapToGrid/>
        <w:ind w:left="559" w:leftChars="266" w:firstLine="0" w:firstLineChars="0"/>
        <w:textAlignment w:val="auto"/>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t xml:space="preserve">二）事业收入：指事业单位开展专业业务活动及其辅助活动取得的收入。 </w:t>
      </w:r>
      <w:r>
        <w:rPr>
          <w:rFonts w:hint="eastAsia" w:ascii="宋体" w:hAnsi="宋体" w:cs="宋体"/>
          <w:sz w:val="28"/>
          <w:szCs w:val="28"/>
        </w:rPr>
        <w:br w:type="textWrapping"/>
      </w:r>
      <w:r>
        <w:rPr>
          <w:rFonts w:hint="eastAsia" w:ascii="宋体" w:hAnsi="宋体" w:cs="宋体"/>
          <w:sz w:val="28"/>
          <w:szCs w:val="28"/>
        </w:rPr>
        <w:t xml:space="preserve">（三）其他收入：指预算单位在“财政拨款补助收入”、“事业收入”、“经营收入”以外取得的收入。 </w:t>
      </w:r>
      <w:r>
        <w:rPr>
          <w:rFonts w:hint="eastAsia" w:ascii="宋体" w:hAnsi="宋体" w:cs="宋体"/>
          <w:sz w:val="28"/>
          <w:szCs w:val="28"/>
        </w:rPr>
        <w:br w:type="textWrapping"/>
      </w:r>
      <w:r>
        <w:rPr>
          <w:rFonts w:hint="eastAsia" w:ascii="宋体" w:hAnsi="宋体" w:cs="宋体"/>
          <w:sz w:val="28"/>
          <w:szCs w:val="28"/>
        </w:rPr>
        <w:t xml:space="preserve">（四）上年结转：指以前年度尚未完成、结转到本年仍按原规定用途继续使用的资金。 </w:t>
      </w:r>
      <w:r>
        <w:rPr>
          <w:rFonts w:hint="eastAsia" w:ascii="宋体" w:hAnsi="宋体" w:cs="宋体"/>
          <w:sz w:val="28"/>
          <w:szCs w:val="28"/>
        </w:rPr>
        <w:br w:type="textWrapping"/>
      </w:r>
      <w:r>
        <w:rPr>
          <w:rFonts w:hint="eastAsia" w:ascii="宋体" w:hAnsi="宋体" w:cs="宋体"/>
          <w:sz w:val="28"/>
          <w:szCs w:val="28"/>
        </w:rPr>
        <w:t xml:space="preserve">（五）基本支出：指为保障机构正常运转、完成日常工作任务而发生的人员支出和公用支出。 </w:t>
      </w:r>
      <w:r>
        <w:rPr>
          <w:rFonts w:hint="eastAsia" w:ascii="宋体" w:hAnsi="宋体" w:cs="宋体"/>
          <w:sz w:val="28"/>
          <w:szCs w:val="28"/>
        </w:rPr>
        <w:br w:type="textWrapping"/>
      </w:r>
      <w:r>
        <w:rPr>
          <w:rFonts w:hint="eastAsia" w:ascii="宋体" w:hAnsi="宋体" w:cs="宋体"/>
          <w:sz w:val="28"/>
          <w:szCs w:val="28"/>
        </w:rPr>
        <w:t>（六）项目支出：指为完成特定的行政工作任务或事业发展目标，在基本支出之外发生的各项支出。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sz w:val="28"/>
          <w:szCs w:val="28"/>
        </w:rPr>
      </w:pPr>
      <w:r>
        <w:rPr>
          <w:rFonts w:hint="eastAsia" w:ascii="宋体" w:hAnsi="宋体" w:cs="宋体"/>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EA229"/>
    <w:multiLevelType w:val="singleLevel"/>
    <w:tmpl w:val="B0FEA229"/>
    <w:lvl w:ilvl="0" w:tentative="0">
      <w:start w:val="2"/>
      <w:numFmt w:val="decimal"/>
      <w:suff w:val="nothing"/>
      <w:lvlText w:val="%1、"/>
      <w:lvlJc w:val="left"/>
    </w:lvl>
  </w:abstractNum>
  <w:abstractNum w:abstractNumId="1">
    <w:nsid w:val="675E17CF"/>
    <w:multiLevelType w:val="singleLevel"/>
    <w:tmpl w:val="675E17CF"/>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12AD8"/>
    <w:rsid w:val="04CA693D"/>
    <w:rsid w:val="0664587B"/>
    <w:rsid w:val="08C015D3"/>
    <w:rsid w:val="0E836A5F"/>
    <w:rsid w:val="228A65CA"/>
    <w:rsid w:val="255E033E"/>
    <w:rsid w:val="289C3E82"/>
    <w:rsid w:val="2BBD2DF5"/>
    <w:rsid w:val="2C203A0A"/>
    <w:rsid w:val="2C2716FD"/>
    <w:rsid w:val="2D5063EA"/>
    <w:rsid w:val="32BD01BE"/>
    <w:rsid w:val="38203263"/>
    <w:rsid w:val="3C2D5DD2"/>
    <w:rsid w:val="3CF427BE"/>
    <w:rsid w:val="489106AE"/>
    <w:rsid w:val="4B3E3999"/>
    <w:rsid w:val="4BBC5AAB"/>
    <w:rsid w:val="514D2F0D"/>
    <w:rsid w:val="563E0CA4"/>
    <w:rsid w:val="5D9B5820"/>
    <w:rsid w:val="68850178"/>
    <w:rsid w:val="692B2102"/>
    <w:rsid w:val="70A32328"/>
    <w:rsid w:val="742820A6"/>
    <w:rsid w:val="746766E2"/>
    <w:rsid w:val="78186405"/>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asd</cp:lastModifiedBy>
  <dcterms:modified xsi:type="dcterms:W3CDTF">2020-08-11T08:48:34Z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