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江北管理区</w:t>
      </w:r>
      <w:r>
        <w:rPr>
          <w:rFonts w:hint="eastAsia" w:ascii="微软雅黑" w:hAnsi="微软雅黑" w:eastAsia="微软雅黑" w:cs="微软雅黑"/>
          <w:color w:val="BC1010"/>
          <w:sz w:val="40"/>
          <w:szCs w:val="40"/>
          <w:shd w:val="clear" w:color="auto" w:fill="FFFFFF"/>
          <w:lang w:eastAsia="zh-CN"/>
        </w:rPr>
        <w:t>2022年</w:t>
      </w:r>
      <w:r>
        <w:rPr>
          <w:rFonts w:hint="eastAsia" w:ascii="微软雅黑" w:hAnsi="微软雅黑" w:eastAsia="微软雅黑" w:cs="微软雅黑"/>
          <w:color w:val="BC1010"/>
          <w:sz w:val="40"/>
          <w:szCs w:val="40"/>
          <w:shd w:val="clear" w:color="auto" w:fill="FFFFFF"/>
        </w:rPr>
        <w:t>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numPr>
          <w:ilvl w:val="0"/>
          <w:numId w:val="1"/>
        </w:numPr>
        <w:spacing w:before="0" w:beforeAutospacing="0" w:after="0" w:afterAutospacing="0" w:line="560" w:lineRule="exact"/>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p>
    <w:p>
      <w:pPr>
        <w:pStyle w:val="5"/>
        <w:widowControl/>
        <w:numPr>
          <w:ilvl w:val="0"/>
          <w:numId w:val="0"/>
        </w:numPr>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lang w:eastAsia="zh-CN"/>
        </w:rPr>
        <w:t>九、项目支出表（表</w:t>
      </w:r>
      <w:r>
        <w:rPr>
          <w:rFonts w:hint="eastAsia" w:ascii="微软雅黑" w:hAnsi="微软雅黑" w:eastAsia="微软雅黑" w:cs="微软雅黑"/>
          <w:color w:val="333333"/>
          <w:shd w:val="clear" w:color="auto" w:fill="FFFFFF"/>
          <w:lang w:val="en-US" w:eastAsia="zh-CN"/>
        </w:rPr>
        <w:t>9</w:t>
      </w:r>
      <w:r>
        <w:rPr>
          <w:rFonts w:hint="eastAsia" w:ascii="微软雅黑" w:hAnsi="微软雅黑" w:eastAsia="微软雅黑" w:cs="微软雅黑"/>
          <w:color w:val="333333"/>
          <w:shd w:val="clear" w:color="auto" w:fill="FFFFFF"/>
          <w:lang w:eastAsia="zh-CN"/>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2022年</w:t>
      </w:r>
      <w:r>
        <w:rPr>
          <w:rFonts w:hint="eastAsia" w:ascii="微软雅黑" w:hAnsi="微软雅黑" w:eastAsia="微软雅黑" w:cs="微软雅黑"/>
          <w:color w:val="333333"/>
          <w:shd w:val="clear" w:color="auto" w:fill="FFFFFF"/>
        </w:rPr>
        <w:t>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江北管理区</w:t>
      </w:r>
      <w:r>
        <w:rPr>
          <w:rFonts w:hint="eastAsia" w:ascii="黑体" w:hAnsi="黑体" w:eastAsia="黑体" w:cs="宋体"/>
          <w:kern w:val="2"/>
          <w:sz w:val="40"/>
          <w:szCs w:val="40"/>
          <w:lang w:eastAsia="zh-CN"/>
        </w:rPr>
        <w:t>2022年</w:t>
      </w:r>
      <w:r>
        <w:rPr>
          <w:rFonts w:hint="eastAsia" w:ascii="黑体" w:hAnsi="黑体" w:eastAsia="黑体" w:cs="宋体"/>
          <w:kern w:val="2"/>
          <w:sz w:val="40"/>
          <w:szCs w:val="40"/>
        </w:rPr>
        <w:t>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2"/>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widowControl/>
        <w:shd w:val="clear" w:color="auto" w:fill="FFFFFF"/>
        <w:snapToGrid w:val="0"/>
        <w:spacing w:line="56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江北管理区系政府派出机构，目前实行“一套班子三块牌子”运作。其中，黄石港工业园区管理委员会负责园区建设管理和运营，江北管理区负责区域内社会事务管理工作.江北农场负责国有企业的资产运营和管理及农场遗留问题的协调处理</w:t>
      </w:r>
      <w:r>
        <w:rPr>
          <w:rFonts w:hint="eastAsia" w:asciiTheme="minorEastAsia" w:hAnsiTheme="minorEastAsia" w:eastAsiaTheme="minorEastAsia" w:cstheme="minorEastAsia"/>
          <w:bCs/>
          <w:sz w:val="28"/>
          <w:szCs w:val="28"/>
        </w:rPr>
        <w:t>。</w:t>
      </w: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color w:val="000000"/>
          <w:spacing w:val="2"/>
          <w:sz w:val="28"/>
          <w:szCs w:val="28"/>
        </w:rPr>
        <w:t>部门预算单位构成</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eastAsiaTheme="minorEastAsia" w:cstheme="minorEastAsia"/>
          <w:sz w:val="28"/>
          <w:szCs w:val="28"/>
        </w:rPr>
        <w:t>江北管理区内设党政办公室、社会事务办公室、经济发展办公室、资产经营办公室、综治办公室，下辖一个社区、一个自来水厂</w:t>
      </w:r>
      <w:r>
        <w:rPr>
          <w:rFonts w:hint="eastAsia" w:asciiTheme="minorEastAsia" w:hAnsiTheme="minorEastAsia" w:eastAsiaTheme="minorEastAsia" w:cstheme="minorEastAsia"/>
          <w:color w:val="333333"/>
          <w:kern w:val="0"/>
          <w:sz w:val="28"/>
          <w:szCs w:val="28"/>
        </w:rPr>
        <w:t>。</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2022年</w:t>
      </w:r>
      <w:r>
        <w:rPr>
          <w:rStyle w:val="8"/>
          <w:rFonts w:hint="eastAsia" w:ascii="微软雅黑" w:hAnsi="微软雅黑" w:eastAsia="微软雅黑" w:cs="微软雅黑"/>
          <w:color w:val="333333"/>
          <w:kern w:val="0"/>
          <w:sz w:val="24"/>
          <w:szCs w:val="22"/>
          <w:shd w:val="clear" w:color="auto" w:fill="FFFFFF"/>
        </w:rPr>
        <w:t>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江北管理区</w:t>
            </w:r>
            <w:r>
              <w:rPr>
                <w:rFonts w:hint="eastAsia" w:ascii="微软雅黑" w:hAnsi="微软雅黑" w:eastAsia="微软雅黑" w:cs="微软雅黑"/>
                <w:b/>
                <w:bCs/>
                <w:color w:val="333333"/>
                <w:kern w:val="0"/>
                <w:sz w:val="28"/>
                <w:szCs w:val="28"/>
                <w:shd w:val="clear" w:color="auto" w:fill="FFFFFF"/>
                <w:lang w:eastAsia="zh-CN"/>
              </w:rPr>
              <w:t>2022年</w:t>
            </w:r>
            <w:r>
              <w:rPr>
                <w:rFonts w:hint="eastAsia" w:ascii="微软雅黑" w:hAnsi="微软雅黑" w:eastAsia="微软雅黑" w:cs="微软雅黑"/>
                <w:b/>
                <w:bCs/>
                <w:color w:val="333333"/>
                <w:kern w:val="0"/>
                <w:sz w:val="28"/>
                <w:szCs w:val="28"/>
                <w:shd w:val="clear" w:color="auto" w:fill="FFFFFF"/>
              </w:rPr>
              <w:t>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3586314 </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eastAsia" w:eastAsia="宋体"/>
                <w:lang w:eastAsia="zh-CN"/>
              </w:rPr>
            </w:pPr>
            <w:r>
              <w:rPr>
                <w:rFonts w:hint="eastAsia" w:ascii="宋体" w:hAnsi="宋体" w:cs="宋体"/>
                <w:kern w:val="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3586314 </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hint="eastAsia" w:ascii="宋体" w:hAnsi="宋体" w:cs="宋体"/>
                <w:kern w:val="0"/>
                <w:sz w:val="24"/>
                <w:lang w:eastAsia="zh-CN"/>
              </w:rPr>
              <w:t xml:space="preserve">3586314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3586314 </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3586314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3586314 </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3586314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江北管理区</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 xml:space="preserve">3586314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eastAsia="zh-CN"/>
              </w:rPr>
              <w:t xml:space="preserve">3586314 </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eastAsia="zh-CN"/>
              </w:rPr>
            </w:pPr>
            <w:r>
              <w:rPr>
                <w:rFonts w:hint="eastAsia" w:ascii="宋体" w:hAnsi="宋体" w:cs="宋体"/>
                <w:kern w:val="0"/>
                <w:sz w:val="24"/>
                <w:lang w:eastAsia="zh-CN"/>
              </w:rPr>
              <w:t xml:space="preserve">3586314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 xml:space="preserve">3586314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12"/>
        <w:gridCol w:w="1028"/>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江北管理区</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12"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28"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3586314 </w:t>
            </w:r>
          </w:p>
        </w:tc>
        <w:tc>
          <w:tcPr>
            <w:tcW w:w="1012" w:type="dxa"/>
            <w:vAlign w:val="center"/>
          </w:tcPr>
          <w:p>
            <w:pPr>
              <w:widowControl/>
              <w:jc w:val="center"/>
              <w:rPr>
                <w:rFonts w:hint="default" w:eastAsia="宋体"/>
                <w:lang w:val="en-US" w:eastAsia="zh-CN"/>
              </w:rPr>
            </w:pPr>
            <w:r>
              <w:rPr>
                <w:rFonts w:hint="eastAsia" w:ascii="宋体" w:hAnsi="宋体" w:cs="宋体"/>
                <w:kern w:val="0"/>
                <w:sz w:val="24"/>
                <w:lang w:val="en-US" w:eastAsia="zh-CN"/>
              </w:rPr>
              <w:t>2936314</w:t>
            </w:r>
          </w:p>
        </w:tc>
        <w:tc>
          <w:tcPr>
            <w:tcW w:w="1028" w:type="dxa"/>
            <w:vAlign w:val="center"/>
          </w:tcPr>
          <w:p>
            <w:pPr>
              <w:keepNext w:val="0"/>
              <w:keepLines w:val="0"/>
              <w:widowControl/>
              <w:suppressLineNumbers w:val="0"/>
              <w:jc w:val="center"/>
              <w:textAlignment w:val="center"/>
              <w:rPr>
                <w:rFonts w:hint="eastAsia" w:eastAsia="宋体"/>
                <w:lang w:val="en-US" w:eastAsia="zh-CN"/>
              </w:rPr>
            </w:pPr>
            <w:r>
              <w:rPr>
                <w:rFonts w:hint="eastAsia" w:ascii="宋体" w:hAnsi="宋体" w:eastAsia="宋体" w:cs="宋体"/>
                <w:i w:val="0"/>
                <w:iCs w:val="0"/>
                <w:color w:val="000000"/>
                <w:kern w:val="0"/>
                <w:sz w:val="24"/>
                <w:szCs w:val="24"/>
                <w:u w:val="none"/>
                <w:lang w:val="en-US" w:eastAsia="zh-CN" w:bidi="ar"/>
              </w:rPr>
              <w:t xml:space="preserve">650000 </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12</w:t>
            </w:r>
          </w:p>
        </w:tc>
        <w:tc>
          <w:tcPr>
            <w:tcW w:w="1710" w:type="dxa"/>
            <w:vAlign w:val="center"/>
          </w:tcPr>
          <w:p>
            <w:pPr>
              <w:widowControl/>
              <w:jc w:val="left"/>
            </w:pPr>
            <w:r>
              <w:rPr>
                <w:rFonts w:hint="eastAsia"/>
              </w:rPr>
              <w:t>城乡社区支出</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3586314 </w:t>
            </w:r>
          </w:p>
        </w:tc>
        <w:tc>
          <w:tcPr>
            <w:tcW w:w="1012" w:type="dxa"/>
            <w:vAlign w:val="center"/>
          </w:tcPr>
          <w:p>
            <w:pPr>
              <w:widowControl/>
              <w:jc w:val="center"/>
              <w:rPr>
                <w:rFonts w:hint="eastAsia" w:eastAsia="宋体"/>
                <w:lang w:eastAsia="zh-CN"/>
              </w:rPr>
            </w:pPr>
            <w:r>
              <w:rPr>
                <w:rFonts w:hint="eastAsia" w:ascii="宋体" w:hAnsi="宋体" w:cs="宋体"/>
                <w:kern w:val="0"/>
                <w:sz w:val="24"/>
                <w:lang w:val="en-US" w:eastAsia="zh-CN"/>
              </w:rPr>
              <w:t>2936314</w:t>
            </w:r>
          </w:p>
        </w:tc>
        <w:tc>
          <w:tcPr>
            <w:tcW w:w="1028" w:type="dxa"/>
            <w:vAlign w:val="center"/>
          </w:tcPr>
          <w:p>
            <w:pPr>
              <w:keepNext w:val="0"/>
              <w:keepLines w:val="0"/>
              <w:widowControl/>
              <w:suppressLineNumbers w:val="0"/>
              <w:jc w:val="center"/>
              <w:textAlignment w:val="center"/>
              <w:rPr>
                <w:rFonts w:ascii="宋体" w:cs="宋体"/>
                <w:kern w:val="0"/>
                <w:sz w:val="24"/>
              </w:rPr>
            </w:pPr>
            <w:r>
              <w:rPr>
                <w:rFonts w:hint="eastAsia" w:ascii="宋体" w:hAnsi="宋体" w:eastAsia="宋体" w:cs="宋体"/>
                <w:i w:val="0"/>
                <w:iCs w:val="0"/>
                <w:color w:val="000000"/>
                <w:kern w:val="0"/>
                <w:sz w:val="24"/>
                <w:szCs w:val="24"/>
                <w:u w:val="none"/>
                <w:lang w:val="en-US" w:eastAsia="zh-CN" w:bidi="ar"/>
              </w:rPr>
              <w:t xml:space="preserve">650000 </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21201</w:t>
            </w:r>
          </w:p>
        </w:tc>
        <w:tc>
          <w:tcPr>
            <w:tcW w:w="1710" w:type="dxa"/>
            <w:vAlign w:val="center"/>
          </w:tcPr>
          <w:p>
            <w:pPr>
              <w:widowControl/>
              <w:jc w:val="left"/>
            </w:pPr>
            <w:r>
              <w:rPr>
                <w:rFonts w:hint="eastAsia" w:ascii="宋体" w:hAnsi="宋体" w:cs="宋体"/>
                <w:kern w:val="0"/>
                <w:sz w:val="24"/>
              </w:rPr>
              <w:t>城乡社区管理事务</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3586314 </w:t>
            </w:r>
          </w:p>
        </w:tc>
        <w:tc>
          <w:tcPr>
            <w:tcW w:w="1012" w:type="dxa"/>
            <w:vAlign w:val="center"/>
          </w:tcPr>
          <w:p>
            <w:pPr>
              <w:widowControl/>
              <w:jc w:val="center"/>
              <w:rPr>
                <w:rFonts w:hint="eastAsia" w:eastAsia="宋体"/>
                <w:lang w:eastAsia="zh-CN"/>
              </w:rPr>
            </w:pPr>
            <w:r>
              <w:rPr>
                <w:rFonts w:hint="eastAsia" w:ascii="宋体" w:hAnsi="宋体" w:cs="宋体"/>
                <w:kern w:val="0"/>
                <w:sz w:val="24"/>
                <w:lang w:val="en-US" w:eastAsia="zh-CN"/>
              </w:rPr>
              <w:t>2936314</w:t>
            </w:r>
          </w:p>
        </w:tc>
        <w:tc>
          <w:tcPr>
            <w:tcW w:w="1028"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 xml:space="preserve">650000 </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120101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 xml:space="preserve">3586314 </w:t>
            </w:r>
          </w:p>
        </w:tc>
        <w:tc>
          <w:tcPr>
            <w:tcW w:w="1012"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val="en-US" w:eastAsia="zh-CN"/>
              </w:rPr>
              <w:t>2936314</w:t>
            </w:r>
          </w:p>
        </w:tc>
        <w:tc>
          <w:tcPr>
            <w:tcW w:w="1028" w:type="dxa"/>
            <w:vAlign w:val="center"/>
          </w:tcPr>
          <w:p>
            <w:pPr>
              <w:keepNext w:val="0"/>
              <w:keepLines w:val="0"/>
              <w:widowControl/>
              <w:suppressLineNumbers w:val="0"/>
              <w:jc w:val="center"/>
              <w:textAlignment w:val="center"/>
              <w:rPr>
                <w:rFonts w:ascii="宋体" w:cs="宋体"/>
                <w:kern w:val="0"/>
                <w:sz w:val="24"/>
              </w:rPr>
            </w:pPr>
            <w:r>
              <w:rPr>
                <w:rFonts w:hint="eastAsia" w:ascii="宋体" w:hAnsi="宋体" w:eastAsia="宋体" w:cs="宋体"/>
                <w:i w:val="0"/>
                <w:iCs w:val="0"/>
                <w:color w:val="000000"/>
                <w:kern w:val="0"/>
                <w:sz w:val="24"/>
                <w:szCs w:val="24"/>
                <w:u w:val="none"/>
                <w:lang w:val="en-US" w:eastAsia="zh-CN" w:bidi="ar"/>
              </w:rPr>
              <w:t xml:space="preserve">650000 </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江北管理区</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 xml:space="preserve">3586314 </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 xml:space="preserve">3586314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3586314 </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3586314 </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 xml:space="preserve">3586314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3586314 </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 xml:space="preserve">3586314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江北管理区</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eastAsia="zh-CN"/>
              </w:rPr>
              <w:t xml:space="preserve">3586314 </w:t>
            </w:r>
          </w:p>
        </w:tc>
        <w:tc>
          <w:tcPr>
            <w:tcW w:w="1815"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val="en-US" w:eastAsia="zh-CN"/>
              </w:rPr>
              <w:t>2936314</w:t>
            </w:r>
          </w:p>
        </w:tc>
        <w:tc>
          <w:tcPr>
            <w:tcW w:w="1702"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 xml:space="preserve">650000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12</w:t>
            </w:r>
          </w:p>
        </w:tc>
        <w:tc>
          <w:tcPr>
            <w:tcW w:w="2100" w:type="dxa"/>
            <w:vAlign w:val="center"/>
          </w:tcPr>
          <w:p>
            <w:pPr>
              <w:widowControl/>
              <w:jc w:val="left"/>
            </w:pPr>
            <w:r>
              <w:rPr>
                <w:rFonts w:hint="eastAsia"/>
              </w:rPr>
              <w:t>城乡社区支出</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 xml:space="preserve">3586314 </w:t>
            </w:r>
          </w:p>
        </w:tc>
        <w:tc>
          <w:tcPr>
            <w:tcW w:w="1815" w:type="dxa"/>
            <w:vAlign w:val="center"/>
          </w:tcPr>
          <w:p>
            <w:pPr>
              <w:widowControl/>
              <w:jc w:val="center"/>
              <w:rPr>
                <w:rFonts w:hint="eastAsia" w:eastAsia="宋体"/>
                <w:lang w:eastAsia="zh-CN"/>
              </w:rPr>
            </w:pPr>
            <w:r>
              <w:rPr>
                <w:rFonts w:hint="eastAsia" w:ascii="宋体" w:hAnsi="宋体" w:cs="宋体"/>
                <w:kern w:val="0"/>
                <w:sz w:val="24"/>
                <w:lang w:val="en-US" w:eastAsia="zh-CN"/>
              </w:rPr>
              <w:t>2936314</w:t>
            </w:r>
          </w:p>
        </w:tc>
        <w:tc>
          <w:tcPr>
            <w:tcW w:w="1702" w:type="dxa"/>
            <w:vAlign w:val="center"/>
          </w:tcPr>
          <w:p>
            <w:pPr>
              <w:keepNext w:val="0"/>
              <w:keepLines w:val="0"/>
              <w:widowControl/>
              <w:suppressLineNumbers w:val="0"/>
              <w:jc w:val="center"/>
              <w:textAlignment w:val="center"/>
              <w:rPr>
                <w:rFonts w:ascii="宋体" w:cs="宋体"/>
                <w:kern w:val="0"/>
                <w:sz w:val="24"/>
              </w:rPr>
            </w:pPr>
            <w:r>
              <w:rPr>
                <w:rFonts w:hint="eastAsia" w:ascii="宋体" w:hAnsi="宋体" w:eastAsia="宋体" w:cs="宋体"/>
                <w:i w:val="0"/>
                <w:iCs w:val="0"/>
                <w:color w:val="000000"/>
                <w:kern w:val="0"/>
                <w:sz w:val="24"/>
                <w:szCs w:val="24"/>
                <w:u w:val="none"/>
                <w:lang w:val="en-US" w:eastAsia="zh-CN" w:bidi="ar"/>
              </w:rPr>
              <w:t xml:space="preserve">650000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21201</w:t>
            </w:r>
          </w:p>
        </w:tc>
        <w:tc>
          <w:tcPr>
            <w:tcW w:w="2100" w:type="dxa"/>
            <w:vAlign w:val="center"/>
          </w:tcPr>
          <w:p>
            <w:pPr>
              <w:widowControl/>
              <w:jc w:val="left"/>
            </w:pPr>
            <w:r>
              <w:rPr>
                <w:rFonts w:hint="eastAsia" w:ascii="宋体" w:hAnsi="宋体" w:cs="宋体"/>
                <w:kern w:val="0"/>
                <w:sz w:val="24"/>
              </w:rPr>
              <w:t>城乡社区管理事务</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 xml:space="preserve">3586314 </w:t>
            </w:r>
          </w:p>
        </w:tc>
        <w:tc>
          <w:tcPr>
            <w:tcW w:w="1815" w:type="dxa"/>
            <w:vAlign w:val="center"/>
          </w:tcPr>
          <w:p>
            <w:pPr>
              <w:widowControl/>
              <w:jc w:val="center"/>
              <w:rPr>
                <w:rFonts w:hint="eastAsia" w:eastAsia="宋体"/>
                <w:lang w:eastAsia="zh-CN"/>
              </w:rPr>
            </w:pPr>
            <w:r>
              <w:rPr>
                <w:rFonts w:hint="eastAsia" w:ascii="宋体" w:hAnsi="宋体" w:cs="宋体"/>
                <w:kern w:val="0"/>
                <w:sz w:val="24"/>
                <w:lang w:val="en-US" w:eastAsia="zh-CN"/>
              </w:rPr>
              <w:t>2936314</w:t>
            </w:r>
          </w:p>
        </w:tc>
        <w:tc>
          <w:tcPr>
            <w:tcW w:w="170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 xml:space="preserve">650000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120101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 xml:space="preserve">3586314 </w:t>
            </w:r>
          </w:p>
        </w:tc>
        <w:tc>
          <w:tcPr>
            <w:tcW w:w="1815"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val="en-US" w:eastAsia="zh-CN"/>
              </w:rPr>
              <w:t>2936314</w:t>
            </w:r>
          </w:p>
        </w:tc>
        <w:tc>
          <w:tcPr>
            <w:tcW w:w="1702" w:type="dxa"/>
            <w:vAlign w:val="center"/>
          </w:tcPr>
          <w:p>
            <w:pPr>
              <w:keepNext w:val="0"/>
              <w:keepLines w:val="0"/>
              <w:widowControl/>
              <w:suppressLineNumbers w:val="0"/>
              <w:jc w:val="center"/>
              <w:textAlignment w:val="center"/>
              <w:rPr>
                <w:rFonts w:ascii="宋体" w:cs="宋体"/>
                <w:kern w:val="0"/>
                <w:sz w:val="24"/>
              </w:rPr>
            </w:pPr>
            <w:r>
              <w:rPr>
                <w:rFonts w:hint="eastAsia" w:ascii="宋体" w:hAnsi="宋体" w:eastAsia="宋体" w:cs="宋体"/>
                <w:i w:val="0"/>
                <w:iCs w:val="0"/>
                <w:color w:val="000000"/>
                <w:kern w:val="0"/>
                <w:sz w:val="24"/>
                <w:szCs w:val="24"/>
                <w:u w:val="none"/>
                <w:lang w:val="en-US" w:eastAsia="zh-CN" w:bidi="ar"/>
              </w:rPr>
              <w:t xml:space="preserve">650000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3625"/>
        <w:gridCol w:w="1395"/>
        <w:gridCol w:w="1260"/>
        <w:gridCol w:w="1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ind w:firstLine="480"/>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江北管理区</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823" w:type="dxa"/>
            <w:gridSpan w:val="2"/>
            <w:shd w:val="clear" w:color="auto" w:fill="D7D7D7" w:themeFill="background1" w:themeFillShade="D8"/>
            <w:vAlign w:val="center"/>
          </w:tcPr>
          <w:p>
            <w:pPr>
              <w:widowControl/>
              <w:jc w:val="center"/>
            </w:pPr>
            <w:r>
              <w:rPr>
                <w:rFonts w:hint="eastAsia" w:ascii="宋体" w:hAnsi="宋体" w:cs="宋体"/>
                <w:kern w:val="0"/>
                <w:sz w:val="24"/>
              </w:rPr>
              <w:t>经济分类科目</w:t>
            </w:r>
          </w:p>
        </w:tc>
        <w:tc>
          <w:tcPr>
            <w:tcW w:w="1395" w:type="dxa"/>
            <w:vMerge w:val="restart"/>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782"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198"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3625"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395" w:type="dxa"/>
            <w:vMerge w:val="continue"/>
            <w:shd w:val="clear" w:color="auto" w:fill="D7D7D7" w:themeFill="background1" w:themeFillShade="D8"/>
            <w:vAlign w:val="center"/>
          </w:tcPr>
          <w:p>
            <w:pPr>
              <w:jc w:val="center"/>
              <w:rPr>
                <w:rFonts w:ascii="宋体"/>
                <w:sz w:val="24"/>
              </w:rPr>
            </w:pPr>
          </w:p>
        </w:tc>
        <w:tc>
          <w:tcPr>
            <w:tcW w:w="1260" w:type="dxa"/>
            <w:shd w:val="clear" w:color="auto" w:fill="D7D7D7" w:themeFill="background1" w:themeFillShade="D8"/>
            <w:vAlign w:val="center"/>
          </w:tcPr>
          <w:p>
            <w:pPr>
              <w:widowControl/>
              <w:jc w:val="center"/>
            </w:pPr>
            <w:r>
              <w:rPr>
                <w:rFonts w:hint="eastAsia" w:ascii="宋体" w:hAnsi="宋体" w:cs="宋体"/>
                <w:kern w:val="0"/>
                <w:sz w:val="24"/>
              </w:rPr>
              <w:t>人员经费</w:t>
            </w:r>
          </w:p>
        </w:tc>
        <w:tc>
          <w:tcPr>
            <w:tcW w:w="1522" w:type="dxa"/>
            <w:shd w:val="clear" w:color="auto" w:fill="D7D7D7" w:themeFill="background1" w:themeFillShade="D8"/>
            <w:vAlign w:val="center"/>
          </w:tcPr>
          <w:p>
            <w:pPr>
              <w:widowControl/>
              <w:jc w:val="center"/>
            </w:pPr>
            <w:r>
              <w:rPr>
                <w:rFonts w:hint="eastAsia" w:ascii="宋体" w:hAnsi="宋体" w:cs="宋体"/>
                <w:kern w:val="0"/>
                <w:sz w:val="24"/>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198" w:type="dxa"/>
            <w:shd w:val="clear" w:color="auto" w:fill="D7D7D7" w:themeFill="background1" w:themeFillShade="D8"/>
            <w:vAlign w:val="center"/>
          </w:tcPr>
          <w:p>
            <w:pPr>
              <w:widowControl/>
              <w:jc w:val="center"/>
              <w:rPr>
                <w:rFonts w:ascii="宋体" w:cs="宋体"/>
                <w:kern w:val="0"/>
                <w:sz w:val="24"/>
              </w:rPr>
            </w:pPr>
          </w:p>
        </w:tc>
        <w:tc>
          <w:tcPr>
            <w:tcW w:w="3625" w:type="dxa"/>
            <w:shd w:val="clear" w:color="auto" w:fill="D7D7D7" w:themeFill="background1" w:themeFillShade="D8"/>
            <w:vAlign w:val="center"/>
          </w:tcPr>
          <w:p>
            <w:pPr>
              <w:widowControl/>
              <w:ind w:firstLine="480"/>
              <w:jc w:val="center"/>
              <w:rPr>
                <w:rFonts w:ascii="Arial" w:hAnsi="Arial" w:cs="Arial"/>
                <w:kern w:val="0"/>
                <w:sz w:val="24"/>
              </w:rPr>
            </w:pPr>
            <w:r>
              <w:rPr>
                <w:rFonts w:hint="eastAsia" w:ascii="Arial" w:hAnsi="Arial" w:cs="Arial"/>
                <w:kern w:val="0"/>
                <w:sz w:val="24"/>
              </w:rPr>
              <w:t>合计</w:t>
            </w:r>
          </w:p>
        </w:tc>
        <w:tc>
          <w:tcPr>
            <w:tcW w:w="1395" w:type="dxa"/>
            <w:shd w:val="clear" w:color="auto" w:fill="D7D7D7" w:themeFill="background1" w:themeFillShade="D8"/>
            <w:vAlign w:val="center"/>
          </w:tcPr>
          <w:p>
            <w:pPr>
              <w:jc w:val="center"/>
              <w:rPr>
                <w:rFonts w:hint="eastAsia"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 xml:space="preserve">3586314 </w:t>
            </w:r>
          </w:p>
        </w:tc>
        <w:tc>
          <w:tcPr>
            <w:tcW w:w="1260" w:type="dxa"/>
            <w:shd w:val="clear" w:color="auto" w:fill="D7D7D7" w:themeFill="background1" w:themeFillShade="D8"/>
            <w:vAlign w:val="center"/>
          </w:tcPr>
          <w:p>
            <w:pPr>
              <w:jc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2692648</w:t>
            </w:r>
          </w:p>
        </w:tc>
        <w:tc>
          <w:tcPr>
            <w:tcW w:w="1522" w:type="dxa"/>
            <w:shd w:val="clear" w:color="auto" w:fill="D7D7D7" w:themeFill="background1" w:themeFillShade="D8"/>
            <w:vAlign w:val="center"/>
          </w:tcPr>
          <w:p>
            <w:pPr>
              <w:jc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126900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工资福利支出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2684078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2684078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基本工资</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506052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506052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津贴补贴</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1121300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1121300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奖金</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10535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10535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绩效工资</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30108</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机关事业单位基本养老保险缴费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233533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233533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职业年金缴费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30110</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职工基本医疗保险缴费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127217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127217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公务员医疗补助缴费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其他社会保障缴费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住房公积金</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116767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116767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其他工资福利支出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685440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685440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商品和服务支出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126900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126900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办公费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6500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印刷费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8400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8400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30205</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电费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12240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12240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邮电费</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11280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11280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物业管理费</w:t>
            </w:r>
          </w:p>
        </w:tc>
        <w:tc>
          <w:tcPr>
            <w:tcW w:w="1395" w:type="dxa"/>
            <w:vAlign w:val="center"/>
          </w:tcPr>
          <w:p>
            <w:pPr>
              <w:jc w:val="center"/>
              <w:rPr>
                <w:rFonts w:hint="default"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default"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差旅费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15000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w:t>
            </w:r>
            <w:r>
              <w:rPr>
                <w:rFonts w:hint="eastAsia" w:ascii="Arial" w:hAnsi="Arial" w:cs="Arial"/>
                <w:kern w:val="0"/>
                <w:sz w:val="24"/>
              </w:rPr>
              <w:t>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维修（护）费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1200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1200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培训费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14596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14596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公务接待费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30228</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工会经费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32758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32758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福利费</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24326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24326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公务用车运行维护费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其他交通费</w:t>
            </w:r>
          </w:p>
        </w:tc>
        <w:tc>
          <w:tcPr>
            <w:tcW w:w="1395" w:type="dxa"/>
            <w:vAlign w:val="center"/>
          </w:tcPr>
          <w:p>
            <w:pPr>
              <w:jc w:val="center"/>
              <w:rPr>
                <w:rFonts w:hint="default"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val="en-US" w:eastAsia="zh-CN"/>
              </w:rPr>
              <w:t>107400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其他商品和服务支出</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对个人和家庭补助</w:t>
            </w:r>
          </w:p>
        </w:tc>
        <w:tc>
          <w:tcPr>
            <w:tcW w:w="1395" w:type="dxa"/>
            <w:vAlign w:val="center"/>
          </w:tcPr>
          <w:p>
            <w:pPr>
              <w:jc w:val="center"/>
              <w:rPr>
                <w:rFonts w:hint="eastAsia"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8570</w:t>
            </w:r>
          </w:p>
        </w:tc>
        <w:tc>
          <w:tcPr>
            <w:tcW w:w="1260" w:type="dxa"/>
            <w:vAlign w:val="center"/>
          </w:tcPr>
          <w:p>
            <w:pPr>
              <w:jc w:val="center"/>
              <w:rPr>
                <w:rFonts w:cs="宋体" w:asciiTheme="minorEastAsia" w:hAnsiTheme="minorEastAsia" w:eastAsiaTheme="minorEastAsia"/>
                <w:color w:val="000000"/>
                <w:sz w:val="24"/>
              </w:rPr>
            </w:pPr>
            <w:r>
              <w:rPr>
                <w:rFonts w:hint="eastAsia" w:cs="宋体" w:asciiTheme="minorEastAsia" w:hAnsiTheme="minorEastAsia" w:eastAsiaTheme="minorEastAsia"/>
                <w:b/>
                <w:bCs/>
                <w:color w:val="000000"/>
                <w:sz w:val="24"/>
                <w:lang w:val="en-US" w:eastAsia="zh-CN"/>
              </w:rPr>
              <w:t>8570</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hint="eastAsia" w:ascii="Arial" w:hAnsi="Arial" w:eastAsia="宋体" w:cs="Arial"/>
                <w:kern w:val="0"/>
                <w:sz w:val="24"/>
                <w:lang w:eastAsia="zh-CN"/>
              </w:rPr>
            </w:pPr>
            <w:r>
              <w:rPr>
                <w:rFonts w:ascii="Arial" w:hAnsi="Arial" w:cs="Arial"/>
                <w:kern w:val="0"/>
                <w:sz w:val="24"/>
              </w:rPr>
              <w:t>3030</w:t>
            </w:r>
            <w:r>
              <w:rPr>
                <w:rFonts w:hint="eastAsia" w:ascii="Arial" w:hAnsi="Arial" w:cs="Arial"/>
                <w:kern w:val="0"/>
                <w:sz w:val="24"/>
                <w:lang w:val="en-US" w:eastAsia="zh-CN"/>
              </w:rPr>
              <w:t>7</w:t>
            </w:r>
          </w:p>
        </w:tc>
        <w:tc>
          <w:tcPr>
            <w:tcW w:w="3625" w:type="dxa"/>
            <w:vAlign w:val="center"/>
          </w:tcPr>
          <w:p>
            <w:pPr>
              <w:widowControl/>
              <w:ind w:firstLine="240" w:firstLineChars="100"/>
              <w:rPr>
                <w:rFonts w:hint="eastAsia" w:ascii="Arial" w:hAnsi="Arial" w:eastAsia="宋体" w:cs="Arial"/>
                <w:kern w:val="0"/>
                <w:sz w:val="24"/>
                <w:lang w:eastAsia="zh-CN"/>
              </w:rPr>
            </w:pPr>
            <w:r>
              <w:rPr>
                <w:rFonts w:hint="eastAsia" w:ascii="Arial" w:hAnsi="Arial" w:cs="Arial"/>
                <w:kern w:val="0"/>
                <w:sz w:val="24"/>
                <w:lang w:eastAsia="zh-CN"/>
              </w:rPr>
              <w:t>医疗费救助</w:t>
            </w:r>
          </w:p>
        </w:tc>
        <w:tc>
          <w:tcPr>
            <w:tcW w:w="1395" w:type="dxa"/>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8570</w:t>
            </w:r>
          </w:p>
        </w:tc>
        <w:tc>
          <w:tcPr>
            <w:tcW w:w="1260" w:type="dxa"/>
            <w:vAlign w:val="center"/>
          </w:tcPr>
          <w:p>
            <w:pPr>
              <w:jc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val="en-US" w:eastAsia="zh-CN"/>
              </w:rPr>
              <w:t>8570</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30399</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其他对个人和家庭的补助</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江北管理区</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1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
        <w:gridCol w:w="1305"/>
        <w:gridCol w:w="75"/>
        <w:gridCol w:w="1740"/>
        <w:gridCol w:w="630"/>
        <w:gridCol w:w="360"/>
        <w:gridCol w:w="960"/>
        <w:gridCol w:w="210"/>
        <w:gridCol w:w="285"/>
        <w:gridCol w:w="495"/>
        <w:gridCol w:w="495"/>
        <w:gridCol w:w="420"/>
        <w:gridCol w:w="75"/>
        <w:gridCol w:w="495"/>
        <w:gridCol w:w="495"/>
        <w:gridCol w:w="495"/>
        <w:gridCol w:w="4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9000" w:type="dxa"/>
            <w:gridSpan w:val="16"/>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江北管理区</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trHeight w:val="432" w:hRule="atLeast"/>
          <w:jc w:val="center"/>
        </w:trPr>
        <w:tc>
          <w:tcPr>
            <w:tcW w:w="9000" w:type="dxa"/>
            <w:gridSpan w:val="16"/>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3750" w:type="dxa"/>
            <w:gridSpan w:val="4"/>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gridSpan w:val="3"/>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9"/>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gridSpan w:val="2"/>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gridSpan w:val="2"/>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gridSpan w:val="3"/>
            <w:vMerge w:val="continue"/>
            <w:shd w:val="clear" w:color="auto" w:fill="D7D7D7" w:themeFill="background1" w:themeFillShade="D8"/>
            <w:vAlign w:val="center"/>
          </w:tcPr>
          <w:p>
            <w:pPr>
              <w:jc w:val="center"/>
              <w:rPr>
                <w:rFonts w:ascii="宋体"/>
                <w:sz w:val="24"/>
              </w:rPr>
            </w:pPr>
          </w:p>
        </w:tc>
        <w:tc>
          <w:tcPr>
            <w:tcW w:w="1695" w:type="dxa"/>
            <w:gridSpan w:val="4"/>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gridSpan w:val="5"/>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gridSpan w:val="4"/>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gridSpan w:val="5"/>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p>
        </w:tc>
        <w:tc>
          <w:tcPr>
            <w:tcW w:w="1695" w:type="dxa"/>
            <w:gridSpan w:val="4"/>
            <w:vAlign w:val="center"/>
          </w:tcPr>
          <w:p>
            <w:pPr>
              <w:widowControl/>
              <w:jc w:val="left"/>
            </w:pPr>
            <w:r>
              <w:rPr>
                <w:rFonts w:hint="eastAsia" w:ascii="宋体" w:hAnsi="宋体" w:cs="宋体"/>
                <w:kern w:val="0"/>
                <w:sz w:val="24"/>
              </w:rPr>
              <w:t>　　　</w:t>
            </w:r>
          </w:p>
        </w:tc>
        <w:tc>
          <w:tcPr>
            <w:tcW w:w="2025" w:type="dxa"/>
            <w:gridSpan w:val="5"/>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p>
        </w:tc>
        <w:tc>
          <w:tcPr>
            <w:tcW w:w="1695" w:type="dxa"/>
            <w:gridSpan w:val="4"/>
            <w:vAlign w:val="center"/>
          </w:tcPr>
          <w:p>
            <w:pPr>
              <w:widowControl/>
              <w:jc w:val="left"/>
            </w:pPr>
            <w:r>
              <w:rPr>
                <w:rFonts w:hint="eastAsia" w:ascii="宋体" w:hAnsi="宋体" w:cs="宋体"/>
                <w:kern w:val="0"/>
                <w:sz w:val="24"/>
              </w:rPr>
              <w:t>　　　</w:t>
            </w:r>
          </w:p>
        </w:tc>
        <w:tc>
          <w:tcPr>
            <w:tcW w:w="2025" w:type="dxa"/>
            <w:gridSpan w:val="5"/>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9000" w:type="dxa"/>
            <w:gridSpan w:val="16"/>
            <w:vAlign w:val="center"/>
          </w:tcPr>
          <w:p>
            <w:pPr>
              <w:widowControl/>
              <w:jc w:val="left"/>
            </w:pPr>
            <w:r>
              <w:rPr>
                <w:rFonts w:hint="eastAsia" w:ascii="宋体" w:hAnsi="宋体" w:cs="宋体"/>
                <w:kern w:val="0"/>
                <w:sz w:val="24"/>
                <w:highlight w:val="none"/>
                <w:lang w:eastAsia="zh-CN"/>
              </w:rPr>
              <w:t>说明：本单位无政府性基金预算</w:t>
            </w:r>
            <w:r>
              <w:rPr>
                <w:rFonts w:hint="eastAsia" w:ascii="宋体" w:hAnsi="宋体" w:cs="宋体"/>
                <w:kern w:val="0"/>
                <w:sz w:val="24"/>
                <w:highlight w:val="none"/>
              </w:rPr>
              <w:t>　</w:t>
            </w: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380" w:hRule="atLeast"/>
        </w:trPr>
        <w:tc>
          <w:tcPr>
            <w:tcW w:w="1320"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表九</w:t>
            </w:r>
          </w:p>
        </w:tc>
        <w:tc>
          <w:tcPr>
            <w:tcW w:w="181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9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00" w:hRule="atLeast"/>
        </w:trPr>
        <w:tc>
          <w:tcPr>
            <w:tcW w:w="8550" w:type="dxa"/>
            <w:gridSpan w:val="1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项目支出表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180" w:hRule="atLeast"/>
        </w:trPr>
        <w:tc>
          <w:tcPr>
            <w:tcW w:w="1320"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1815" w:type="dxa"/>
            <w:gridSpan w:val="2"/>
            <w:tcBorders>
              <w:top w:val="nil"/>
              <w:left w:val="nil"/>
              <w:bottom w:val="nil"/>
              <w:right w:val="nil"/>
            </w:tcBorders>
            <w:shd w:val="clear" w:color="auto" w:fill="auto"/>
            <w:noWrap/>
            <w:vAlign w:val="bottom"/>
          </w:tcPr>
          <w:p>
            <w:pPr>
              <w:rPr>
                <w:rFonts w:hint="eastAsia" w:ascii="Calibri" w:hAnsi="Calibri" w:cs="Calibri"/>
                <w:i w:val="0"/>
                <w:iCs w:val="0"/>
                <w:color w:val="000000"/>
                <w:sz w:val="16"/>
                <w:szCs w:val="16"/>
                <w:u w:val="none"/>
              </w:rPr>
            </w:pPr>
          </w:p>
        </w:tc>
        <w:tc>
          <w:tcPr>
            <w:tcW w:w="99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9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980" w:type="dxa"/>
            <w:gridSpan w:val="5"/>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2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项目分类</w:t>
            </w:r>
          </w:p>
        </w:tc>
        <w:tc>
          <w:tcPr>
            <w:tcW w:w="18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990" w:type="dxa"/>
            <w:gridSpan w:val="2"/>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19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本年拨款</w:t>
            </w:r>
          </w:p>
        </w:tc>
        <w:tc>
          <w:tcPr>
            <w:tcW w:w="14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财政拨款结转结余</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财政专户管理资金</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84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90" w:type="dxa"/>
            <w:gridSpan w:val="2"/>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615" w:hRule="atLeast"/>
        </w:trPr>
        <w:tc>
          <w:tcPr>
            <w:tcW w:w="1320" w:type="dxa"/>
            <w:gridSpan w:val="2"/>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1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650000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650000</w:t>
            </w:r>
          </w:p>
        </w:tc>
        <w:tc>
          <w:tcPr>
            <w:tcW w:w="495" w:type="dxa"/>
            <w:gridSpan w:val="2"/>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gridSpan w:val="2"/>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00" w:hRule="atLeast"/>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经济建设经费</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255" w:hRule="atLeast"/>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基层治理经费</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cs="Calibri"/>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cs="Calibri"/>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cs="Calibri"/>
                <w:i w:val="0"/>
                <w:iCs w:val="0"/>
                <w:color w:val="000000"/>
                <w:sz w:val="22"/>
                <w:szCs w:val="22"/>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cs="Calibri"/>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cs="Calibri"/>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cs="Calibri"/>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255" w:hRule="atLeast"/>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城市更新、创文经费</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bl>
    <w:p>
      <w:pPr>
        <w:pStyle w:val="5"/>
        <w:widowControl/>
        <w:spacing w:before="0" w:beforeAutospacing="0" w:after="0" w:afterAutospacing="0" w:line="585" w:lineRule="atLeast"/>
        <w:rPr>
          <w:rStyle w:val="8"/>
          <w:rFonts w:hint="eastAsia" w:ascii="微软雅黑" w:hAnsi="微软雅黑" w:eastAsia="微软雅黑" w:cs="微软雅黑"/>
          <w:color w:val="333333"/>
          <w:shd w:val="clear" w:color="auto" w:fill="FFFFFF"/>
        </w:rPr>
      </w:pPr>
    </w:p>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85" w:lineRule="atLeas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2022年</w:t>
      </w:r>
      <w:r>
        <w:rPr>
          <w:rFonts w:hint="eastAsia" w:asciiTheme="minorEastAsia" w:hAnsiTheme="minorEastAsia" w:eastAsiaTheme="minorEastAsia" w:cstheme="minorEastAsia"/>
          <w:b/>
          <w:sz w:val="28"/>
          <w:szCs w:val="28"/>
        </w:rPr>
        <w:t>财政拨款收入支出情况说明</w:t>
      </w:r>
    </w:p>
    <w:p>
      <w:pPr>
        <w:pStyle w:val="5"/>
        <w:widowControl/>
        <w:spacing w:before="0" w:beforeAutospacing="0" w:after="0" w:afterAutospacing="0" w:line="585" w:lineRule="atLeast"/>
        <w:ind w:firstLine="560" w:firstLineChars="200"/>
        <w:rPr>
          <w:rFonts w:hint="eastAsia" w:ascii="宋体" w:hAnsi="宋体"/>
          <w:color w:val="000000"/>
          <w:spacing w:val="2"/>
          <w:kern w:val="2"/>
          <w:sz w:val="28"/>
          <w:szCs w:val="28"/>
          <w:highlight w:val="none"/>
        </w:rPr>
      </w:pPr>
      <w:r>
        <w:rPr>
          <w:rFonts w:hint="eastAsia"/>
          <w:sz w:val="28"/>
          <w:szCs w:val="28"/>
          <w:highlight w:val="none"/>
          <w:lang w:eastAsia="zh-CN"/>
        </w:rPr>
        <w:t>2022年</w:t>
      </w:r>
      <w:r>
        <w:rPr>
          <w:rFonts w:hint="eastAsia" w:ascii="宋体" w:hAnsi="宋体"/>
          <w:color w:val="000000"/>
          <w:spacing w:val="2"/>
          <w:kern w:val="2"/>
          <w:sz w:val="28"/>
          <w:szCs w:val="28"/>
          <w:highlight w:val="none"/>
        </w:rPr>
        <w:t>初预算总收入</w:t>
      </w:r>
      <w:r>
        <w:rPr>
          <w:rFonts w:hint="eastAsia" w:ascii="宋体" w:hAnsi="宋体" w:cs="宋体"/>
          <w:sz w:val="28"/>
          <w:szCs w:val="28"/>
          <w:highlight w:val="none"/>
          <w:lang w:eastAsia="zh-CN"/>
        </w:rPr>
        <w:t xml:space="preserve">3586314 </w:t>
      </w:r>
      <w:r>
        <w:rPr>
          <w:rFonts w:hint="eastAsia" w:ascii="宋体" w:hAnsi="宋体"/>
          <w:color w:val="000000"/>
          <w:spacing w:val="2"/>
          <w:kern w:val="2"/>
          <w:sz w:val="28"/>
          <w:szCs w:val="28"/>
          <w:highlight w:val="none"/>
        </w:rPr>
        <w:t>元，其中财政拨款收入</w:t>
      </w:r>
      <w:r>
        <w:rPr>
          <w:rFonts w:hint="eastAsia" w:ascii="宋体" w:hAnsi="宋体" w:cs="宋体"/>
          <w:sz w:val="28"/>
          <w:szCs w:val="28"/>
          <w:highlight w:val="none"/>
          <w:lang w:eastAsia="zh-CN"/>
        </w:rPr>
        <w:t xml:space="preserve">3586314 </w:t>
      </w:r>
      <w:r>
        <w:rPr>
          <w:rFonts w:hint="eastAsia" w:ascii="宋体" w:hAnsi="宋体"/>
          <w:color w:val="000000"/>
          <w:spacing w:val="2"/>
          <w:kern w:val="2"/>
          <w:sz w:val="28"/>
          <w:szCs w:val="28"/>
          <w:highlight w:val="none"/>
        </w:rPr>
        <w:t>元，占预算收入100%。</w:t>
      </w:r>
    </w:p>
    <w:p>
      <w:pPr>
        <w:pStyle w:val="5"/>
        <w:widowControl/>
        <w:spacing w:before="0" w:beforeAutospacing="0" w:after="0" w:afterAutospacing="0" w:line="585" w:lineRule="atLeast"/>
        <w:ind w:firstLine="568" w:firstLineChars="200"/>
        <w:rPr>
          <w:rFonts w:hint="default" w:ascii="宋体" w:hAnsi="宋体"/>
          <w:color w:val="000000"/>
          <w:spacing w:val="2"/>
          <w:kern w:val="2"/>
          <w:sz w:val="28"/>
          <w:szCs w:val="28"/>
          <w:highlight w:val="none"/>
          <w:lang w:val="en-US" w:eastAsia="zh-CN"/>
        </w:rPr>
      </w:pPr>
      <w:r>
        <w:rPr>
          <w:rFonts w:hint="eastAsia" w:ascii="宋体" w:hAnsi="宋体"/>
          <w:color w:val="000000"/>
          <w:spacing w:val="2"/>
          <w:kern w:val="2"/>
          <w:sz w:val="28"/>
          <w:szCs w:val="28"/>
          <w:highlight w:val="none"/>
          <w:lang w:val="en-US" w:eastAsia="zh-CN"/>
        </w:rPr>
        <w:t>2022年初预算支出</w:t>
      </w:r>
      <w:r>
        <w:rPr>
          <w:rFonts w:hint="eastAsia" w:ascii="宋体" w:hAnsi="宋体" w:cs="宋体"/>
          <w:sz w:val="28"/>
          <w:szCs w:val="28"/>
          <w:highlight w:val="none"/>
          <w:lang w:eastAsia="zh-CN"/>
        </w:rPr>
        <w:t xml:space="preserve">3586314 </w:t>
      </w:r>
      <w:r>
        <w:rPr>
          <w:rFonts w:hint="eastAsia" w:ascii="宋体" w:hAnsi="宋体"/>
          <w:color w:val="000000"/>
          <w:spacing w:val="2"/>
          <w:kern w:val="2"/>
          <w:sz w:val="28"/>
          <w:szCs w:val="28"/>
          <w:highlight w:val="none"/>
          <w:lang w:val="en-US" w:eastAsia="zh-CN"/>
        </w:rPr>
        <w:t>元，其中基本支出2936314元，占比82%，项目支出650000元，占比18%。</w:t>
      </w:r>
    </w:p>
    <w:p>
      <w:pPr>
        <w:numPr>
          <w:ilvl w:val="0"/>
          <w:numId w:val="2"/>
        </w:numPr>
        <w:ind w:left="0" w:leftChars="0" w:firstLine="0" w:firstLineChars="0"/>
        <w:rPr>
          <w:rFonts w:hint="eastAsia" w:ascii="宋体" w:hAnsi="宋体" w:cs="宋体"/>
          <w:b/>
          <w:kern w:val="0"/>
          <w:sz w:val="28"/>
          <w:szCs w:val="28"/>
        </w:rPr>
      </w:pPr>
      <w:r>
        <w:rPr>
          <w:rFonts w:hint="eastAsia" w:ascii="宋体" w:hAnsi="宋体" w:cs="宋体"/>
          <w:b/>
          <w:kern w:val="0"/>
          <w:sz w:val="28"/>
          <w:szCs w:val="28"/>
        </w:rPr>
        <w:t>预算收支增减变化说明</w:t>
      </w:r>
    </w:p>
    <w:p>
      <w:pPr>
        <w:numPr>
          <w:ilvl w:val="0"/>
          <w:numId w:val="0"/>
        </w:numPr>
        <w:ind w:leftChars="0"/>
        <w:rPr>
          <w:rFonts w:hint="eastAsia" w:ascii="宋体" w:hAnsi="宋体" w:eastAsia="宋体" w:cs="宋体"/>
          <w:b w:val="0"/>
          <w:bCs/>
          <w:kern w:val="0"/>
          <w:sz w:val="28"/>
          <w:szCs w:val="28"/>
          <w:highlight w:val="none"/>
          <w:lang w:val="en-US" w:eastAsia="zh-CN"/>
        </w:rPr>
      </w:pPr>
      <w:r>
        <w:rPr>
          <w:rFonts w:hint="eastAsia" w:ascii="宋体" w:hAnsi="宋体" w:cs="宋体"/>
          <w:b/>
          <w:kern w:val="0"/>
          <w:sz w:val="28"/>
          <w:szCs w:val="28"/>
          <w:highlight w:val="none"/>
          <w:lang w:val="en-US" w:eastAsia="zh-CN"/>
        </w:rPr>
        <w:t xml:space="preserve">   </w:t>
      </w:r>
      <w:r>
        <w:rPr>
          <w:rFonts w:hint="eastAsia" w:ascii="宋体" w:hAnsi="宋体" w:cs="宋体"/>
          <w:b w:val="0"/>
          <w:bCs/>
          <w:kern w:val="0"/>
          <w:sz w:val="28"/>
          <w:szCs w:val="28"/>
          <w:highlight w:val="none"/>
          <w:lang w:val="en-US" w:eastAsia="zh-CN"/>
        </w:rPr>
        <w:t>（一）收入预算</w:t>
      </w:r>
    </w:p>
    <w:p>
      <w:pPr>
        <w:pStyle w:val="5"/>
        <w:widowControl/>
        <w:spacing w:before="0" w:beforeAutospacing="0" w:after="0" w:afterAutospacing="0" w:line="585" w:lineRule="atLeast"/>
        <w:ind w:firstLine="560" w:firstLineChars="200"/>
        <w:rPr>
          <w:rFonts w:hint="eastAsia" w:ascii="宋体" w:hAnsi="宋体" w:cs="宋体"/>
          <w:kern w:val="0"/>
          <w:sz w:val="28"/>
          <w:szCs w:val="28"/>
          <w:highlight w:val="none"/>
          <w:lang w:val="en-US" w:eastAsia="zh-CN"/>
        </w:rPr>
      </w:pPr>
      <w:r>
        <w:rPr>
          <w:rFonts w:ascii="宋体" w:hAnsi="宋体" w:cs="宋体"/>
          <w:kern w:val="0"/>
          <w:sz w:val="28"/>
          <w:szCs w:val="28"/>
          <w:highlight w:val="none"/>
        </w:rPr>
        <w:t xml:space="preserve"> </w:t>
      </w:r>
      <w:r>
        <w:rPr>
          <w:rFonts w:hint="eastAsia" w:ascii="宋体" w:hAnsi="宋体" w:cs="宋体"/>
          <w:kern w:val="0"/>
          <w:sz w:val="28"/>
          <w:szCs w:val="28"/>
          <w:highlight w:val="none"/>
        </w:rPr>
        <w:t>本单位</w:t>
      </w:r>
      <w:r>
        <w:rPr>
          <w:rFonts w:hint="eastAsia" w:ascii="宋体" w:hAnsi="宋体" w:cs="宋体"/>
          <w:kern w:val="0"/>
          <w:sz w:val="28"/>
          <w:szCs w:val="28"/>
          <w:highlight w:val="none"/>
          <w:lang w:eastAsia="zh-CN"/>
        </w:rPr>
        <w:t>2022年</w:t>
      </w:r>
      <w:r>
        <w:rPr>
          <w:rFonts w:hint="eastAsia" w:ascii="宋体" w:hAnsi="宋体" w:cs="宋体"/>
          <w:kern w:val="0"/>
          <w:sz w:val="28"/>
          <w:szCs w:val="28"/>
          <w:highlight w:val="none"/>
        </w:rPr>
        <w:t>财政拨款预算收</w:t>
      </w:r>
      <w:r>
        <w:rPr>
          <w:rFonts w:hint="eastAsia" w:ascii="宋体" w:hAnsi="宋体" w:cs="宋体"/>
          <w:kern w:val="0"/>
          <w:sz w:val="28"/>
          <w:szCs w:val="28"/>
          <w:highlight w:val="none"/>
          <w:lang w:eastAsia="zh-CN"/>
        </w:rPr>
        <w:t>入</w:t>
      </w:r>
      <w:r>
        <w:rPr>
          <w:rFonts w:hint="eastAsia" w:ascii="宋体" w:hAnsi="宋体" w:cs="宋体"/>
          <w:sz w:val="28"/>
          <w:szCs w:val="28"/>
          <w:highlight w:val="none"/>
          <w:lang w:eastAsia="zh-CN"/>
        </w:rPr>
        <w:t>3586314</w:t>
      </w:r>
      <w:r>
        <w:rPr>
          <w:rFonts w:hint="eastAsia" w:ascii="宋体" w:hAnsi="宋体" w:cs="宋体"/>
          <w:kern w:val="0"/>
          <w:sz w:val="28"/>
          <w:szCs w:val="28"/>
          <w:highlight w:val="none"/>
        </w:rPr>
        <w:t>元，</w:t>
      </w:r>
      <w:r>
        <w:rPr>
          <w:rFonts w:hint="eastAsia" w:ascii="宋体" w:hAnsi="宋体" w:cs="宋体"/>
          <w:kern w:val="0"/>
          <w:sz w:val="28"/>
          <w:szCs w:val="28"/>
          <w:highlight w:val="none"/>
          <w:lang w:eastAsia="zh-CN"/>
        </w:rPr>
        <w:t>较</w:t>
      </w:r>
      <w:r>
        <w:rPr>
          <w:rFonts w:hint="eastAsia" w:ascii="宋体" w:hAnsi="宋体" w:cs="宋体"/>
          <w:kern w:val="0"/>
          <w:sz w:val="28"/>
          <w:szCs w:val="28"/>
          <w:highlight w:val="none"/>
          <w:lang w:val="en-US" w:eastAsia="zh-CN"/>
        </w:rPr>
        <w:t>2021年预算收入</w:t>
      </w:r>
      <w:r>
        <w:rPr>
          <w:rFonts w:hint="eastAsia" w:ascii="宋体" w:hAnsi="宋体" w:cs="宋体"/>
          <w:sz w:val="28"/>
          <w:szCs w:val="28"/>
          <w:highlight w:val="none"/>
          <w:lang w:val="en-US" w:eastAsia="zh-CN"/>
        </w:rPr>
        <w:t>2869441</w:t>
      </w:r>
      <w:r>
        <w:rPr>
          <w:rFonts w:hint="eastAsia" w:ascii="宋体" w:hAnsi="宋体" w:cs="宋体"/>
          <w:kern w:val="0"/>
          <w:sz w:val="28"/>
          <w:szCs w:val="28"/>
          <w:highlight w:val="none"/>
          <w:lang w:val="en-US" w:eastAsia="zh-CN"/>
        </w:rPr>
        <w:t>元增加716873元，增加原因：2022年度本单位工资提标，按新标准列入预算发生增加。</w:t>
      </w:r>
    </w:p>
    <w:p>
      <w:pPr>
        <w:pStyle w:val="5"/>
        <w:widowControl/>
        <w:numPr>
          <w:ilvl w:val="0"/>
          <w:numId w:val="3"/>
        </w:numPr>
        <w:spacing w:before="0" w:beforeAutospacing="0" w:after="0" w:afterAutospacing="0" w:line="585" w:lineRule="atLeast"/>
        <w:ind w:firstLine="560" w:firstLineChars="200"/>
        <w:rPr>
          <w:rFonts w:hint="eastAsia"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支出预算</w:t>
      </w:r>
    </w:p>
    <w:p>
      <w:pPr>
        <w:pStyle w:val="5"/>
        <w:widowControl/>
        <w:numPr>
          <w:ilvl w:val="0"/>
          <w:numId w:val="0"/>
        </w:numPr>
        <w:spacing w:before="0" w:beforeAutospacing="0" w:after="0" w:afterAutospacing="0" w:line="585" w:lineRule="atLeast"/>
        <w:rPr>
          <w:rFonts w:hint="eastAsia"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 xml:space="preserve">    本单位2022年预算支出合计</w:t>
      </w:r>
      <w:r>
        <w:rPr>
          <w:rFonts w:hint="eastAsia" w:ascii="宋体" w:hAnsi="宋体" w:cs="宋体"/>
          <w:sz w:val="28"/>
          <w:szCs w:val="28"/>
          <w:highlight w:val="none"/>
          <w:lang w:eastAsia="zh-CN"/>
        </w:rPr>
        <w:t>3586314</w:t>
      </w:r>
      <w:r>
        <w:rPr>
          <w:rFonts w:hint="eastAsia" w:ascii="宋体" w:hAnsi="宋体" w:cs="宋体"/>
          <w:kern w:val="0"/>
          <w:sz w:val="28"/>
          <w:szCs w:val="28"/>
          <w:highlight w:val="none"/>
        </w:rPr>
        <w:t>元</w:t>
      </w:r>
      <w:r>
        <w:rPr>
          <w:rFonts w:hint="eastAsia" w:ascii="宋体" w:hAnsi="宋体" w:cs="宋体"/>
          <w:kern w:val="0"/>
          <w:sz w:val="28"/>
          <w:szCs w:val="28"/>
          <w:highlight w:val="none"/>
          <w:lang w:eastAsia="zh-CN"/>
        </w:rPr>
        <w:t>，较</w:t>
      </w:r>
      <w:r>
        <w:rPr>
          <w:rFonts w:hint="eastAsia" w:ascii="宋体" w:hAnsi="宋体" w:cs="宋体"/>
          <w:kern w:val="0"/>
          <w:sz w:val="28"/>
          <w:szCs w:val="28"/>
          <w:highlight w:val="none"/>
          <w:lang w:val="en-US" w:eastAsia="zh-CN"/>
        </w:rPr>
        <w:t>2021年预算支出</w:t>
      </w:r>
      <w:r>
        <w:rPr>
          <w:rFonts w:hint="eastAsia" w:ascii="宋体" w:hAnsi="宋体" w:cs="宋体"/>
          <w:sz w:val="28"/>
          <w:szCs w:val="28"/>
          <w:highlight w:val="none"/>
          <w:lang w:val="en-US" w:eastAsia="zh-CN"/>
        </w:rPr>
        <w:t>2869441</w:t>
      </w:r>
      <w:r>
        <w:rPr>
          <w:rFonts w:hint="eastAsia" w:ascii="宋体" w:hAnsi="宋体" w:cs="宋体"/>
          <w:kern w:val="0"/>
          <w:sz w:val="28"/>
          <w:szCs w:val="28"/>
          <w:highlight w:val="none"/>
          <w:lang w:val="en-US" w:eastAsia="zh-CN"/>
        </w:rPr>
        <w:t>元增加716873元，增加原因：2022年度本单位工资提标，按新标准列入预算发生增加。其中：工资福利支出</w:t>
      </w:r>
      <w:r>
        <w:rPr>
          <w:rFonts w:hint="eastAsia" w:ascii="宋体" w:hAnsi="宋体" w:cs="宋体"/>
          <w:sz w:val="28"/>
          <w:szCs w:val="28"/>
          <w:highlight w:val="none"/>
          <w:lang w:val="en-US" w:eastAsia="zh-CN"/>
        </w:rPr>
        <w:t>2684078</w:t>
      </w:r>
      <w:r>
        <w:rPr>
          <w:rFonts w:hint="eastAsia" w:ascii="宋体" w:hAnsi="宋体" w:cs="宋体"/>
          <w:kern w:val="0"/>
          <w:sz w:val="28"/>
          <w:szCs w:val="28"/>
          <w:highlight w:val="none"/>
          <w:lang w:val="en-US" w:eastAsia="zh-CN"/>
        </w:rPr>
        <w:t>元，商品和服务支出</w:t>
      </w:r>
      <w:r>
        <w:rPr>
          <w:rFonts w:hint="eastAsia" w:ascii="宋体" w:hAnsi="宋体" w:cs="宋体"/>
          <w:sz w:val="28"/>
          <w:szCs w:val="28"/>
          <w:highlight w:val="none"/>
          <w:lang w:val="en-US" w:eastAsia="zh-CN"/>
        </w:rPr>
        <w:t>26900</w:t>
      </w:r>
      <w:r>
        <w:rPr>
          <w:rFonts w:hint="eastAsia" w:asciiTheme="minorEastAsia" w:hAnsiTheme="minorEastAsia" w:eastAsiaTheme="minorEastAsia"/>
          <w:b/>
          <w:bCs/>
          <w:color w:val="000000"/>
          <w:sz w:val="24"/>
          <w:highlight w:val="none"/>
        </w:rPr>
        <w:t xml:space="preserve"> </w:t>
      </w:r>
      <w:r>
        <w:rPr>
          <w:rFonts w:hint="eastAsia" w:ascii="宋体" w:hAnsi="宋体" w:cs="宋体"/>
          <w:kern w:val="0"/>
          <w:sz w:val="28"/>
          <w:szCs w:val="28"/>
          <w:highlight w:val="none"/>
          <w:lang w:val="en-US" w:eastAsia="zh-CN"/>
        </w:rPr>
        <w:t>元，对个人和家庭补助支出</w:t>
      </w:r>
      <w:r>
        <w:rPr>
          <w:rFonts w:hint="eastAsia" w:ascii="宋体" w:cs="宋体"/>
          <w:sz w:val="28"/>
          <w:szCs w:val="28"/>
          <w:highlight w:val="none"/>
          <w:lang w:val="en-US" w:eastAsia="zh-CN"/>
        </w:rPr>
        <w:t>8570</w:t>
      </w:r>
      <w:r>
        <w:rPr>
          <w:rFonts w:hint="eastAsia" w:ascii="宋体" w:hAnsi="宋体" w:cs="宋体"/>
          <w:kern w:val="0"/>
          <w:sz w:val="28"/>
          <w:szCs w:val="28"/>
          <w:highlight w:val="none"/>
          <w:lang w:val="en-US" w:eastAsia="zh-CN"/>
        </w:rPr>
        <w:t>元，</w:t>
      </w:r>
      <w:r>
        <w:rPr>
          <w:rFonts w:hint="eastAsia" w:ascii="宋体" w:hAnsi="宋体" w:cs="宋体"/>
          <w:sz w:val="28"/>
          <w:szCs w:val="28"/>
          <w:highlight w:val="none"/>
        </w:rPr>
        <w:t>专项经费</w:t>
      </w:r>
      <w:r>
        <w:rPr>
          <w:rFonts w:hint="eastAsia" w:ascii="宋体" w:hAnsi="宋体"/>
          <w:color w:val="000000"/>
          <w:spacing w:val="2"/>
          <w:kern w:val="2"/>
          <w:sz w:val="28"/>
          <w:szCs w:val="28"/>
          <w:highlight w:val="none"/>
          <w:lang w:val="en-US" w:eastAsia="zh-CN"/>
        </w:rPr>
        <w:t>650000</w:t>
      </w:r>
      <w:r>
        <w:rPr>
          <w:rFonts w:hint="eastAsia" w:ascii="宋体" w:hAnsi="宋体" w:cs="宋体"/>
          <w:sz w:val="28"/>
          <w:szCs w:val="28"/>
          <w:highlight w:val="none"/>
        </w:rPr>
        <w:t>元。</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、业务招待费按区建设局原核定的标准安排。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宋体" w:cs="宋体"/>
                <w:color w:val="000000"/>
                <w:sz w:val="24"/>
              </w:rPr>
            </w:pPr>
            <w:r>
              <w:rPr>
                <w:rFonts w:hint="eastAsia" w:ascii="宋体" w:hAnsi="宋体" w:cs="宋体"/>
                <w:color w:val="000000"/>
                <w:kern w:val="0"/>
                <w:sz w:val="24"/>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12</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10575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126900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12</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6500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12</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2400</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12</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4100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11</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3300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7700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600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12240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11280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12</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1200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12</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10080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890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2640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机动车</w:t>
            </w:r>
            <w:r>
              <w:rPr>
                <w:rFonts w:ascii="Times New Roman" w:hAnsi="Times New Roman"/>
                <w:color w:val="000000"/>
                <w:kern w:val="0"/>
                <w:sz w:val="24"/>
              </w:rPr>
              <w:t>(</w:t>
            </w:r>
            <w:r>
              <w:rPr>
                <w:rFonts w:hint="eastAsia" w:ascii="仿宋_GB2312" w:hAnsi="Times New Roman" w:eastAsia="仿宋_GB2312" w:cs="仿宋_GB2312"/>
                <w:color w:val="000000"/>
                <w:kern w:val="0"/>
                <w:sz w:val="24"/>
              </w:rPr>
              <w:t>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6090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12</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15000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11</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11000</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12</w:t>
            </w: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1200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973056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14596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1637887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32758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973056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24326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2022年</w:t>
      </w:r>
      <w:r>
        <w:rPr>
          <w:rFonts w:hint="eastAsia" w:ascii="宋体" w:hAnsi="宋体" w:cs="宋体"/>
          <w:sz w:val="28"/>
          <w:szCs w:val="28"/>
        </w:rPr>
        <w:t>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2022年</w:t>
      </w:r>
      <w:r>
        <w:rPr>
          <w:rFonts w:hint="eastAsia" w:ascii="宋体" w:hAnsi="宋体" w:cs="宋体"/>
          <w:sz w:val="28"/>
          <w:szCs w:val="28"/>
        </w:rPr>
        <w:t>“三公”经费预算0万元，较</w:t>
      </w:r>
      <w:r>
        <w:rPr>
          <w:rFonts w:hint="eastAsia" w:ascii="宋体" w:hAnsi="宋体" w:cs="宋体"/>
          <w:sz w:val="28"/>
          <w:szCs w:val="28"/>
          <w:lang w:eastAsia="zh-CN"/>
        </w:rPr>
        <w:t>2021 年</w:t>
      </w:r>
      <w:r>
        <w:rPr>
          <w:rFonts w:hint="eastAsia" w:ascii="宋体" w:hAnsi="宋体" w:cs="宋体"/>
          <w:sz w:val="28"/>
          <w:szCs w:val="28"/>
        </w:rPr>
        <w:t>预算减少0万元。其中：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2021 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w:t>
      </w:r>
      <w:r>
        <w:rPr>
          <w:rFonts w:hint="eastAsia" w:ascii="宋体" w:hAnsi="宋体" w:cs="宋体"/>
          <w:sz w:val="28"/>
          <w:szCs w:val="28"/>
          <w:highlight w:val="none"/>
          <w:lang w:eastAsia="zh-CN"/>
        </w:rPr>
        <w:t>其中：公务用车购置费</w:t>
      </w:r>
      <w:r>
        <w:rPr>
          <w:rFonts w:hint="eastAsia" w:ascii="宋体" w:hAnsi="宋体" w:cs="宋体"/>
          <w:sz w:val="28"/>
          <w:szCs w:val="28"/>
          <w:highlight w:val="none"/>
          <w:lang w:val="en-US" w:eastAsia="zh-CN"/>
        </w:rPr>
        <w:t>0万元，运行维护费0万元；</w:t>
      </w:r>
      <w:r>
        <w:rPr>
          <w:rFonts w:hint="eastAsia" w:ascii="宋体" w:hAnsi="宋体" w:cs="宋体"/>
          <w:sz w:val="28"/>
          <w:szCs w:val="28"/>
        </w:rPr>
        <w:t>0车辆，与</w:t>
      </w:r>
      <w:r>
        <w:rPr>
          <w:rFonts w:hint="eastAsia" w:ascii="宋体" w:hAnsi="宋体" w:cs="宋体"/>
          <w:sz w:val="28"/>
          <w:szCs w:val="28"/>
          <w:lang w:eastAsia="zh-CN"/>
        </w:rPr>
        <w:t>2021 年</w:t>
      </w:r>
      <w:r>
        <w:rPr>
          <w:rFonts w:hint="eastAsia" w:ascii="宋体" w:hAnsi="宋体" w:cs="宋体"/>
          <w:sz w:val="28"/>
          <w:szCs w:val="28"/>
        </w:rPr>
        <w:t>预算一致。</w:t>
      </w:r>
    </w:p>
    <w:p>
      <w:pPr>
        <w:widowControl/>
        <w:shd w:val="clear" w:color="auto" w:fill="FFFFFF"/>
        <w:spacing w:line="560" w:lineRule="exact"/>
        <w:jc w:val="left"/>
        <w:rPr>
          <w:rFonts w:hint="eastAsia" w:ascii="宋体" w:eastAsia="宋体" w:cs="宋体"/>
          <w:sz w:val="28"/>
          <w:szCs w:val="28"/>
          <w:lang w:eastAsia="zh-CN"/>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、公务接待费预算0万元，</w:t>
      </w:r>
      <w:r>
        <w:rPr>
          <w:rFonts w:hint="eastAsia" w:ascii="宋体" w:hAnsi="宋体" w:cs="宋体"/>
          <w:sz w:val="28"/>
          <w:szCs w:val="28"/>
          <w:lang w:eastAsia="zh-CN"/>
        </w:rPr>
        <w:t>与2021 年一致。</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4"/>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2022年</w:t>
      </w:r>
      <w:r>
        <w:rPr>
          <w:rFonts w:hint="eastAsia" w:asciiTheme="minorEastAsia" w:hAnsiTheme="minorEastAsia" w:eastAsiaTheme="minorEastAsia" w:cstheme="minorEastAsia"/>
          <w:sz w:val="28"/>
          <w:szCs w:val="28"/>
        </w:rPr>
        <w:t>初，本部门共有车辆0辆；单位价值50万元以上通用设备0台（套），单价100万元以上专用设备0台（套）。</w:t>
      </w:r>
    </w:p>
    <w:p>
      <w:pPr>
        <w:pStyle w:val="5"/>
        <w:widowControl/>
        <w:numPr>
          <w:ilvl w:val="0"/>
          <w:numId w:val="4"/>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hint="default" w:ascii="宋体" w:hAnsi="宋体" w:cs="宋体"/>
          <w:b w:val="0"/>
          <w:bCs/>
          <w:sz w:val="28"/>
          <w:szCs w:val="28"/>
          <w:highlight w:val="none"/>
          <w:lang w:val="en-US" w:eastAsia="zh-CN"/>
        </w:rPr>
      </w:pPr>
      <w:r>
        <w:rPr>
          <w:rFonts w:hint="eastAsia" w:ascii="宋体" w:hAnsi="宋体" w:cs="宋体"/>
          <w:b w:val="0"/>
          <w:bCs/>
          <w:sz w:val="28"/>
          <w:szCs w:val="28"/>
          <w:highlight w:val="none"/>
          <w:lang w:val="en-US" w:eastAsia="zh-CN"/>
        </w:rPr>
        <w:t>（一）绩效工作开展情况</w:t>
      </w:r>
    </w:p>
    <w:p>
      <w:pPr>
        <w:widowControl/>
        <w:shd w:val="clear" w:color="auto" w:fill="FFFFFF"/>
        <w:spacing w:line="560" w:lineRule="exact"/>
        <w:ind w:firstLine="560" w:firstLineChars="200"/>
        <w:jc w:val="left"/>
        <w:rPr>
          <w:rFonts w:hint="default"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一是认真组织开展项目支出绩效评价和部门整体支出绩效评价工作，并充分运用绩效评价结果，调整设置</w:t>
      </w:r>
      <w:bookmarkStart w:id="0" w:name="_GoBack"/>
      <w:bookmarkEnd w:id="0"/>
      <w:r>
        <w:rPr>
          <w:rFonts w:hint="eastAsia" w:asciiTheme="minorEastAsia" w:hAnsiTheme="minorEastAsia" w:eastAsiaTheme="minorEastAsia" w:cstheme="minorEastAsia"/>
          <w:kern w:val="0"/>
          <w:sz w:val="28"/>
          <w:szCs w:val="28"/>
          <w:highlight w:val="none"/>
          <w:lang w:val="en-US" w:eastAsia="zh-CN" w:bidi="ar-SA"/>
        </w:rPr>
        <w:t>的指标体系和绩效目标，加快建立绩效导向的预算管理制度。对2021年度机关预算支出进行了绩效自评，支出绩效情况较为理想，基本达到了设定的绩效目标。</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二是在预算执行中，依据绩效目标对项目资金运行状况及绩效目标的预期实现程度开展了一次绩效监控，确保预算绩效目标的实现。</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三是在预算编制中，认真梳理项目活动，依据项目活动明确项目绩效目标、量化关键绩效指标，将预算绩效评价结果作为预算安排的依据，提高预算绩效目标申报的及时性与规范性。</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四是完善绩效报告与公开制度，推动绩效信息公开，自觉接受社会监督。</w:t>
      </w:r>
    </w:p>
    <w:p>
      <w:pPr>
        <w:widowControl/>
        <w:numPr>
          <w:ilvl w:val="0"/>
          <w:numId w:val="0"/>
        </w:numPr>
        <w:shd w:val="clear" w:color="auto" w:fill="FFFFFF"/>
        <w:spacing w:line="560" w:lineRule="exact"/>
        <w:ind w:leftChars="200"/>
        <w:jc w:val="left"/>
        <w:rPr>
          <w:rFonts w:hint="eastAsia"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（二）重点项目预算绩效目标表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395"/>
        <w:gridCol w:w="1101"/>
        <w:gridCol w:w="862"/>
        <w:gridCol w:w="194"/>
        <w:gridCol w:w="1591"/>
        <w:gridCol w:w="198"/>
        <w:gridCol w:w="353"/>
        <w:gridCol w:w="592"/>
        <w:gridCol w:w="28"/>
        <w:gridCol w:w="847"/>
        <w:gridCol w:w="82"/>
        <w:gridCol w:w="830"/>
        <w:gridCol w:w="44"/>
        <w:gridCol w:w="4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1180" w:hRule="atLeast"/>
        </w:trPr>
        <w:tc>
          <w:tcPr>
            <w:tcW w:w="3614" w:type="pct"/>
            <w:gridSpan w:val="12"/>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黄石港区202</w:t>
            </w:r>
            <w:r>
              <w:rPr>
                <w:rFonts w:hint="eastAsia" w:ascii="宋体" w:hAnsi="宋体" w:cs="宋体"/>
                <w:b/>
                <w:bCs/>
                <w:i w:val="0"/>
                <w:iCs w:val="0"/>
                <w:color w:val="000000"/>
                <w:kern w:val="0"/>
                <w:sz w:val="44"/>
                <w:szCs w:val="44"/>
                <w:u w:val="none"/>
                <w:bdr w:val="none" w:color="auto" w:sz="0" w:space="0"/>
                <w:lang w:val="en-US" w:eastAsia="zh-CN" w:bidi="ar"/>
              </w:rPr>
              <w:t>2</w:t>
            </w:r>
            <w:r>
              <w:rPr>
                <w:rFonts w:hint="eastAsia" w:ascii="宋体" w:hAnsi="宋体" w:eastAsia="宋体" w:cs="宋体"/>
                <w:b/>
                <w:bCs/>
                <w:i w:val="0"/>
                <w:iCs w:val="0"/>
                <w:color w:val="000000"/>
                <w:kern w:val="0"/>
                <w:sz w:val="44"/>
                <w:szCs w:val="44"/>
                <w:u w:val="none"/>
                <w:bdr w:val="none" w:color="auto" w:sz="0" w:space="0"/>
                <w:lang w:val="en-US" w:eastAsia="zh-CN" w:bidi="ar"/>
              </w:rPr>
              <w:t>年项目绩效目标申报表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58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填 报 单 位（盖章）：</w:t>
            </w:r>
          </w:p>
        </w:tc>
        <w:tc>
          <w:tcPr>
            <w:tcW w:w="2678" w:type="pct"/>
            <w:gridSpan w:val="10"/>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黄石市江北管理区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6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项 目 名 称：</w:t>
            </w:r>
          </w:p>
        </w:tc>
        <w:tc>
          <w:tcPr>
            <w:tcW w:w="2678" w:type="pct"/>
            <w:gridSpan w:val="10"/>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结算经费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500" w:hRule="atLeast"/>
        </w:trPr>
        <w:tc>
          <w:tcPr>
            <w:tcW w:w="3614" w:type="pct"/>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项目绩效总目标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名称</w:t>
            </w:r>
          </w:p>
        </w:tc>
        <w:tc>
          <w:tcPr>
            <w:tcW w:w="2678" w:type="pct"/>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w:t>
            </w:r>
          </w:p>
        </w:tc>
        <w:tc>
          <w:tcPr>
            <w:tcW w:w="2678" w:type="pct"/>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保障街道和社区人员经费和公用经费，保证街道和社区各项日常工作正常运转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678" w:type="pct"/>
            <w:gridSpan w:val="10"/>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w:t>
            </w:r>
          </w:p>
        </w:tc>
        <w:tc>
          <w:tcPr>
            <w:tcW w:w="2678" w:type="pct"/>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保障街道和社区人员经费和公用经费，保证街道和社区各项日常工作正常运转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678" w:type="pct"/>
            <w:gridSpan w:val="10"/>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3614" w:type="pct"/>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长期绩效目标表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1230"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三级指标</w:t>
            </w: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697"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长期绩效目标1</w:t>
            </w: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45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1230"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开展业务培训</w:t>
            </w: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≥1次</w:t>
            </w:r>
          </w:p>
        </w:tc>
        <w:tc>
          <w:tcPr>
            <w:tcW w:w="697"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30"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97"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1230"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各项财政法规政策落实度</w:t>
            </w: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697"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30"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97"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51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1230"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预决算按时公开</w:t>
            </w: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人大批复后20日内</w:t>
            </w:r>
          </w:p>
        </w:tc>
        <w:tc>
          <w:tcPr>
            <w:tcW w:w="697"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30"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97"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1230"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全年一般公共预算支出</w:t>
            </w: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预算内</w:t>
            </w:r>
          </w:p>
        </w:tc>
        <w:tc>
          <w:tcPr>
            <w:tcW w:w="697"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30"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三公经费</w:t>
            </w: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零增长</w:t>
            </w:r>
          </w:p>
        </w:tc>
        <w:tc>
          <w:tcPr>
            <w:tcW w:w="697"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1230"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资金保障能力</w:t>
            </w: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不断提升</w:t>
            </w:r>
          </w:p>
        </w:tc>
        <w:tc>
          <w:tcPr>
            <w:tcW w:w="697"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1230"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严肃财经纪律，保障资金安全</w:t>
            </w: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有效保障</w:t>
            </w:r>
          </w:p>
        </w:tc>
        <w:tc>
          <w:tcPr>
            <w:tcW w:w="697"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1230"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97"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1230"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推进资金预算管理科学化、规范化、精细化</w:t>
            </w: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持续推进</w:t>
            </w:r>
          </w:p>
        </w:tc>
        <w:tc>
          <w:tcPr>
            <w:tcW w:w="697"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30"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97"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84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1230"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街道及社区满意度</w:t>
            </w: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98%</w:t>
            </w:r>
          </w:p>
        </w:tc>
        <w:tc>
          <w:tcPr>
            <w:tcW w:w="697"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3614" w:type="pct"/>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年度绩效目标表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45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w:t>
            </w:r>
          </w:p>
        </w:tc>
        <w:tc>
          <w:tcPr>
            <w:tcW w:w="902"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w:t>
            </w:r>
          </w:p>
        </w:tc>
        <w:tc>
          <w:tcPr>
            <w:tcW w:w="284"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前年</w:t>
            </w:r>
          </w:p>
        </w:tc>
        <w:tc>
          <w:tcPr>
            <w:tcW w:w="29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上年</w:t>
            </w: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预计当年</w:t>
            </w: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28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9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实现</w:t>
            </w:r>
          </w:p>
        </w:tc>
        <w:tc>
          <w:tcPr>
            <w:tcW w:w="378" w:type="pct"/>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285" w:hRule="atLeast"/>
        </w:trPr>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年度绩效目标1</w:t>
            </w: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45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开展业务培训</w:t>
            </w:r>
          </w:p>
        </w:tc>
        <w:tc>
          <w:tcPr>
            <w:tcW w:w="28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≥1次</w:t>
            </w: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8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各项财政法规政策落实度</w:t>
            </w:r>
          </w:p>
        </w:tc>
        <w:tc>
          <w:tcPr>
            <w:tcW w:w="28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100.00%</w:t>
            </w: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8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51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预决算按时公开</w:t>
            </w:r>
          </w:p>
        </w:tc>
        <w:tc>
          <w:tcPr>
            <w:tcW w:w="28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人大批复后20日内</w:t>
            </w: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8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全年一般公共预算支出</w:t>
            </w:r>
          </w:p>
        </w:tc>
        <w:tc>
          <w:tcPr>
            <w:tcW w:w="28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预算内</w:t>
            </w: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8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资金保障能力</w:t>
            </w:r>
          </w:p>
        </w:tc>
        <w:tc>
          <w:tcPr>
            <w:tcW w:w="28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不断提升</w:t>
            </w: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严肃财经纪律，保障资金安全</w:t>
            </w:r>
          </w:p>
        </w:tc>
        <w:tc>
          <w:tcPr>
            <w:tcW w:w="28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有效保障</w:t>
            </w: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8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51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推进资金预算管理科学化、规范化、精细化</w:t>
            </w:r>
          </w:p>
        </w:tc>
        <w:tc>
          <w:tcPr>
            <w:tcW w:w="28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持续推进</w:t>
            </w: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28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54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4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街道及社区满意度</w:t>
            </w:r>
          </w:p>
        </w:tc>
        <w:tc>
          <w:tcPr>
            <w:tcW w:w="28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29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98.00%</w:t>
            </w:r>
          </w:p>
        </w:tc>
        <w:tc>
          <w:tcPr>
            <w:tcW w:w="378"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385" w:type="pct"/>
          <w:trHeight w:val="48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财政批复意见</w:t>
            </w:r>
          </w:p>
        </w:tc>
        <w:tc>
          <w:tcPr>
            <w:tcW w:w="2678" w:type="pct"/>
            <w:gridSpan w:val="10"/>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同意申报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80" w:hRule="atLeast"/>
        </w:trPr>
        <w:tc>
          <w:tcPr>
            <w:tcW w:w="5000" w:type="pct"/>
            <w:gridSpan w:val="14"/>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黄石港区202</w:t>
            </w:r>
            <w:r>
              <w:rPr>
                <w:rFonts w:hint="eastAsia" w:ascii="宋体" w:hAnsi="宋体" w:cs="宋体"/>
                <w:b/>
                <w:bCs/>
                <w:i w:val="0"/>
                <w:iCs w:val="0"/>
                <w:color w:val="000000"/>
                <w:kern w:val="0"/>
                <w:sz w:val="44"/>
                <w:szCs w:val="44"/>
                <w:u w:val="none"/>
                <w:bdr w:val="none" w:color="auto" w:sz="0" w:space="0"/>
                <w:lang w:val="en-US" w:eastAsia="zh-CN" w:bidi="ar"/>
              </w:rPr>
              <w:t>2</w:t>
            </w:r>
            <w:r>
              <w:rPr>
                <w:rFonts w:hint="eastAsia" w:ascii="宋体" w:hAnsi="宋体" w:eastAsia="宋体" w:cs="宋体"/>
                <w:b/>
                <w:bCs/>
                <w:i w:val="0"/>
                <w:iCs w:val="0"/>
                <w:color w:val="000000"/>
                <w:kern w:val="0"/>
                <w:sz w:val="44"/>
                <w:szCs w:val="44"/>
                <w:u w:val="none"/>
                <w:bdr w:val="none" w:color="auto" w:sz="0" w:space="0"/>
                <w:lang w:val="en-US" w:eastAsia="zh-CN" w:bidi="ar"/>
              </w:rPr>
              <w:t>年项目绩效目标申报表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填 报 单 位（盖章）：</w:t>
            </w:r>
          </w:p>
        </w:tc>
        <w:tc>
          <w:tcPr>
            <w:tcW w:w="4063" w:type="pct"/>
            <w:gridSpan w:val="1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黄石市江北管理区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项 目 名 称：</w:t>
            </w:r>
          </w:p>
        </w:tc>
        <w:tc>
          <w:tcPr>
            <w:tcW w:w="4063" w:type="pct"/>
            <w:gridSpan w:val="1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经济建设经费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000" w:type="pct"/>
            <w:gridSpan w:val="1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项目绩效总目标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名称</w:t>
            </w:r>
          </w:p>
        </w:tc>
        <w:tc>
          <w:tcPr>
            <w:tcW w:w="4063" w:type="pct"/>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w:t>
            </w:r>
          </w:p>
        </w:tc>
        <w:tc>
          <w:tcPr>
            <w:tcW w:w="4063" w:type="pct"/>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保障街道经济建设相关工作正常开展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063" w:type="pct"/>
            <w:gridSpan w:val="1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w:t>
            </w:r>
          </w:p>
        </w:tc>
        <w:tc>
          <w:tcPr>
            <w:tcW w:w="4063" w:type="pct"/>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保障街道经济建设相关工作正常开展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063" w:type="pct"/>
            <w:gridSpan w:val="1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000" w:type="pct"/>
            <w:gridSpan w:val="1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长期绩效目标表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三级指标</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长期绩效目标1</w:t>
            </w: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开展业务培训</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≥1次</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各项财政法规政策落实度</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预决算按时公开</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人大批复后20日内</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全年一般公共预算支出</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预算内</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三公经费</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零增长</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资金保障能力</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不断提升</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严肃财经纪律，保障资金安全</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有效保障</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推进资金预算管理科学化、规范化、精细化</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持续推进</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街道及社区满意度</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98%</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000" w:type="pct"/>
            <w:gridSpan w:val="1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年度绩效目标表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w:t>
            </w:r>
          </w:p>
        </w:tc>
        <w:tc>
          <w:tcPr>
            <w:tcW w:w="1196" w:type="pct"/>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w:t>
            </w:r>
          </w:p>
        </w:tc>
        <w:tc>
          <w:tcPr>
            <w:tcW w:w="490" w:type="pct"/>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前年</w:t>
            </w:r>
          </w:p>
        </w:tc>
        <w:tc>
          <w:tcPr>
            <w:tcW w:w="352"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上年</w:t>
            </w: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预计当年</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490"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实现</w:t>
            </w:r>
          </w:p>
        </w:tc>
        <w:tc>
          <w:tcPr>
            <w:tcW w:w="1367"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年度绩效目标1</w:t>
            </w: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开展业务培训</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≥1次</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各项财政法规政策落实度</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100.00%</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预决算按时公开</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人大批复后20日内</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全年一般公共预算支出</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预算内</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资金保障能力</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不断提升</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严肃财经纪律，保障资金安全</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有效保障</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推进资金预算管理科学化、规范化、精细化</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持续推进</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街道及社区满意度</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98.00%</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财政批复意见</w:t>
            </w:r>
          </w:p>
        </w:tc>
        <w:tc>
          <w:tcPr>
            <w:tcW w:w="4063" w:type="pct"/>
            <w:gridSpan w:val="1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同意申报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80" w:hRule="atLeast"/>
        </w:trPr>
        <w:tc>
          <w:tcPr>
            <w:tcW w:w="5000" w:type="pct"/>
            <w:gridSpan w:val="14"/>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黄石港区202</w:t>
            </w:r>
            <w:r>
              <w:rPr>
                <w:rFonts w:hint="eastAsia" w:ascii="宋体" w:hAnsi="宋体" w:cs="宋体"/>
                <w:b/>
                <w:bCs/>
                <w:i w:val="0"/>
                <w:iCs w:val="0"/>
                <w:color w:val="000000"/>
                <w:kern w:val="0"/>
                <w:sz w:val="44"/>
                <w:szCs w:val="44"/>
                <w:u w:val="none"/>
                <w:bdr w:val="none" w:color="auto" w:sz="0" w:space="0"/>
                <w:lang w:val="en-US" w:eastAsia="zh-CN" w:bidi="ar"/>
              </w:rPr>
              <w:t>2</w:t>
            </w:r>
            <w:r>
              <w:rPr>
                <w:rFonts w:hint="eastAsia" w:ascii="宋体" w:hAnsi="宋体" w:eastAsia="宋体" w:cs="宋体"/>
                <w:b/>
                <w:bCs/>
                <w:i w:val="0"/>
                <w:iCs w:val="0"/>
                <w:color w:val="000000"/>
                <w:kern w:val="0"/>
                <w:sz w:val="44"/>
                <w:szCs w:val="44"/>
                <w:u w:val="none"/>
                <w:bdr w:val="none" w:color="auto" w:sz="0" w:space="0"/>
                <w:lang w:val="en-US" w:eastAsia="zh-CN" w:bidi="ar"/>
              </w:rPr>
              <w:t>年项目绩效目标申报表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填 报 单 位（盖章）：</w:t>
            </w:r>
          </w:p>
        </w:tc>
        <w:tc>
          <w:tcPr>
            <w:tcW w:w="4063" w:type="pct"/>
            <w:gridSpan w:val="1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黄石市江北管理区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项 目 名 称：</w:t>
            </w:r>
          </w:p>
        </w:tc>
        <w:tc>
          <w:tcPr>
            <w:tcW w:w="4063" w:type="pct"/>
            <w:gridSpan w:val="1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基层治理经费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000" w:type="pct"/>
            <w:gridSpan w:val="1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项目绩效总目标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名称</w:t>
            </w:r>
          </w:p>
        </w:tc>
        <w:tc>
          <w:tcPr>
            <w:tcW w:w="4063" w:type="pct"/>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w:t>
            </w:r>
          </w:p>
        </w:tc>
        <w:tc>
          <w:tcPr>
            <w:tcW w:w="4063" w:type="pct"/>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保障街道和社区维稳相关工作正常运转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063" w:type="pct"/>
            <w:gridSpan w:val="1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w:t>
            </w:r>
          </w:p>
        </w:tc>
        <w:tc>
          <w:tcPr>
            <w:tcW w:w="4063" w:type="pct"/>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保障街道和社区维稳相关工作正常运转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063" w:type="pct"/>
            <w:gridSpan w:val="1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000" w:type="pct"/>
            <w:gridSpan w:val="1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长期绩效目标表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三级指标</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长期绩效目标1</w:t>
            </w: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开展业务培训</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≥1次</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各项财政法规政策落实度</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预决算按时公开</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人大批复后20日内</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全年一般公共预算支出</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预算内</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三公经费</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零增长</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资金保障能力</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不断提升</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严肃财经纪律，保障资金安全</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有效保障</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推进资金预算管理科学化、规范化、精细化</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持续推进</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街道及社区满意度</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98%</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000" w:type="pct"/>
            <w:gridSpan w:val="1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年度绩效目标表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w:t>
            </w:r>
          </w:p>
        </w:tc>
        <w:tc>
          <w:tcPr>
            <w:tcW w:w="1196" w:type="pct"/>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w:t>
            </w:r>
          </w:p>
        </w:tc>
        <w:tc>
          <w:tcPr>
            <w:tcW w:w="490" w:type="pct"/>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前年</w:t>
            </w:r>
          </w:p>
        </w:tc>
        <w:tc>
          <w:tcPr>
            <w:tcW w:w="352"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上年</w:t>
            </w: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预计当年</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490"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实现</w:t>
            </w:r>
          </w:p>
        </w:tc>
        <w:tc>
          <w:tcPr>
            <w:tcW w:w="1367"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年度绩效目标1</w:t>
            </w: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开展业务培训</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≥1次</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各项财政法规政策落实度</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100.00%</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预决算按时公开</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人大批复后20日内</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全年一般公共预算支出</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预算内</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资金保障能力</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不断提升</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严肃财经纪律，保障资金安全</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有效保障</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推进资金预算管理科学化、规范化、精细化</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持续推进</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街道及社区满意度</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98.00%</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财政批复意见</w:t>
            </w:r>
          </w:p>
        </w:tc>
        <w:tc>
          <w:tcPr>
            <w:tcW w:w="4063" w:type="pct"/>
            <w:gridSpan w:val="1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同意申报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80" w:hRule="atLeast"/>
        </w:trPr>
        <w:tc>
          <w:tcPr>
            <w:tcW w:w="5000" w:type="pct"/>
            <w:gridSpan w:val="14"/>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黄石港区202</w:t>
            </w:r>
            <w:r>
              <w:rPr>
                <w:rFonts w:hint="eastAsia" w:ascii="宋体" w:hAnsi="宋体" w:cs="宋体"/>
                <w:b/>
                <w:bCs/>
                <w:i w:val="0"/>
                <w:iCs w:val="0"/>
                <w:color w:val="000000"/>
                <w:kern w:val="0"/>
                <w:sz w:val="44"/>
                <w:szCs w:val="44"/>
                <w:u w:val="none"/>
                <w:bdr w:val="none" w:color="auto" w:sz="0" w:space="0"/>
                <w:lang w:val="en-US" w:eastAsia="zh-CN" w:bidi="ar"/>
              </w:rPr>
              <w:t>2</w:t>
            </w:r>
            <w:r>
              <w:rPr>
                <w:rFonts w:hint="eastAsia" w:ascii="宋体" w:hAnsi="宋体" w:eastAsia="宋体" w:cs="宋体"/>
                <w:b/>
                <w:bCs/>
                <w:i w:val="0"/>
                <w:iCs w:val="0"/>
                <w:color w:val="000000"/>
                <w:kern w:val="0"/>
                <w:sz w:val="44"/>
                <w:szCs w:val="44"/>
                <w:u w:val="none"/>
                <w:bdr w:val="none" w:color="auto" w:sz="0" w:space="0"/>
                <w:lang w:val="en-US" w:eastAsia="zh-CN" w:bidi="ar"/>
              </w:rPr>
              <w:t>年项目绩效目标申报表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填 报 单 位（盖章）：</w:t>
            </w:r>
          </w:p>
        </w:tc>
        <w:tc>
          <w:tcPr>
            <w:tcW w:w="4063" w:type="pct"/>
            <w:gridSpan w:val="1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黄石市江北管理区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项 目 名 称：</w:t>
            </w:r>
          </w:p>
        </w:tc>
        <w:tc>
          <w:tcPr>
            <w:tcW w:w="4063" w:type="pct"/>
            <w:gridSpan w:val="1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城市更新、创文经费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000" w:type="pct"/>
            <w:gridSpan w:val="1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项目绩效总目标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名称</w:t>
            </w:r>
          </w:p>
        </w:tc>
        <w:tc>
          <w:tcPr>
            <w:tcW w:w="4063" w:type="pct"/>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w:t>
            </w:r>
          </w:p>
        </w:tc>
        <w:tc>
          <w:tcPr>
            <w:tcW w:w="4063" w:type="pct"/>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保障街道和社区城市更新、创文工作正常开展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063" w:type="pct"/>
            <w:gridSpan w:val="1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w:t>
            </w:r>
          </w:p>
        </w:tc>
        <w:tc>
          <w:tcPr>
            <w:tcW w:w="4063" w:type="pct"/>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保障街道和社区城市更新、创文工作正常开展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063" w:type="pct"/>
            <w:gridSpan w:val="1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000" w:type="pct"/>
            <w:gridSpan w:val="1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长期绩效目标表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三级指标</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长期绩效目标1</w:t>
            </w: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开展业务培训</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≥1次</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各项财政法规政策落实度</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预决算按时公开</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人大批复后20日内</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全年一般公共预算支出</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预算内</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三公经费</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零增长</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资金保障能力</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不断提升</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严肃财经纪律，保障资金安全</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有效保障</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推进资金预算管理科学化、规范化、精细化</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持续推进</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84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143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街道及社区满意度</w:t>
            </w: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98%</w:t>
            </w:r>
          </w:p>
        </w:tc>
        <w:tc>
          <w:tcPr>
            <w:tcW w:w="1720"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000" w:type="pct"/>
            <w:gridSpan w:val="1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年度绩效目标表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w:t>
            </w:r>
          </w:p>
        </w:tc>
        <w:tc>
          <w:tcPr>
            <w:tcW w:w="1196" w:type="pct"/>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w:t>
            </w:r>
          </w:p>
        </w:tc>
        <w:tc>
          <w:tcPr>
            <w:tcW w:w="490" w:type="pct"/>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前年</w:t>
            </w:r>
          </w:p>
        </w:tc>
        <w:tc>
          <w:tcPr>
            <w:tcW w:w="352"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上年</w:t>
            </w: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预计当年</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490"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2"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实现</w:t>
            </w:r>
          </w:p>
        </w:tc>
        <w:tc>
          <w:tcPr>
            <w:tcW w:w="1367"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年度绩效目标1</w:t>
            </w: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开展业务培训</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≥1次</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各项财政法规政策落实度</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100.00%</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预决算按时公开</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人大批复后20日内</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全年一般公共预算支出</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预算内</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资金保障能力</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不断提升</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严肃财经纪律，保障资金安全</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有效保障</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推进资金预算管理科学化、规范化、精细化</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持续推进</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街道及社区满意度</w:t>
            </w:r>
          </w:p>
        </w:tc>
        <w:tc>
          <w:tcPr>
            <w:tcW w:w="4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98.00%</w:t>
            </w:r>
          </w:p>
        </w:tc>
        <w:tc>
          <w:tcPr>
            <w:tcW w:w="13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0" w:hRule="atLeast"/>
        </w:trPr>
        <w:tc>
          <w:tcPr>
            <w:tcW w:w="93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财政批复意见</w:t>
            </w:r>
          </w:p>
        </w:tc>
        <w:tc>
          <w:tcPr>
            <w:tcW w:w="4063" w:type="pct"/>
            <w:gridSpan w:val="1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同意申报</w:t>
            </w:r>
          </w:p>
        </w:tc>
      </w:tr>
    </w:tbl>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F2757F"/>
    <w:multiLevelType w:val="singleLevel"/>
    <w:tmpl w:val="F5F2757F"/>
    <w:lvl w:ilvl="0" w:tentative="0">
      <w:start w:val="2"/>
      <w:numFmt w:val="chineseCounting"/>
      <w:suff w:val="nothing"/>
      <w:lvlText w:val="（%1）"/>
      <w:lvlJc w:val="left"/>
      <w:rPr>
        <w:rFonts w:hint="eastAsia"/>
      </w:rPr>
    </w:lvl>
  </w:abstractNum>
  <w:abstractNum w:abstractNumId="1">
    <w:nsid w:val="226002C6"/>
    <w:multiLevelType w:val="singleLevel"/>
    <w:tmpl w:val="226002C6"/>
    <w:lvl w:ilvl="0" w:tentative="0">
      <w:start w:val="1"/>
      <w:numFmt w:val="chineseCounting"/>
      <w:suff w:val="nothing"/>
      <w:lvlText w:val="%1、"/>
      <w:lvlJc w:val="left"/>
      <w:rPr>
        <w:rFonts w:hint="eastAsia"/>
      </w:rPr>
    </w:lvl>
  </w:abstractNum>
  <w:abstractNum w:abstractNumId="2">
    <w:nsid w:val="3F828D1D"/>
    <w:multiLevelType w:val="singleLevel"/>
    <w:tmpl w:val="3F828D1D"/>
    <w:lvl w:ilvl="0" w:tentative="0">
      <w:start w:val="1"/>
      <w:numFmt w:val="chineseCounting"/>
      <w:suff w:val="nothing"/>
      <w:lvlText w:val="%1、"/>
      <w:lvlJc w:val="left"/>
      <w:rPr>
        <w:rFonts w:hint="eastAsia"/>
      </w:rPr>
    </w:lvl>
  </w:abstractNum>
  <w:abstractNum w:abstractNumId="3">
    <w:nsid w:val="49CC4933"/>
    <w:multiLevelType w:val="singleLevel"/>
    <w:tmpl w:val="49CC4933"/>
    <w:lvl w:ilvl="0" w:tentative="0">
      <w:start w:val="6"/>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mNjMDE4ZGU3OTAwYzg0NDg4MDA5MDE1N2I3MjYifQ=="/>
  </w:docVars>
  <w:rsids>
    <w:rsidRoot w:val="55403DF7"/>
    <w:rsid w:val="0001348C"/>
    <w:rsid w:val="000174D0"/>
    <w:rsid w:val="00036F66"/>
    <w:rsid w:val="00040F87"/>
    <w:rsid w:val="00045B5B"/>
    <w:rsid w:val="0005426C"/>
    <w:rsid w:val="000642D8"/>
    <w:rsid w:val="00083031"/>
    <w:rsid w:val="000C5BAF"/>
    <w:rsid w:val="000F5C47"/>
    <w:rsid w:val="00111F12"/>
    <w:rsid w:val="00142BAF"/>
    <w:rsid w:val="00144D41"/>
    <w:rsid w:val="00160079"/>
    <w:rsid w:val="00161F75"/>
    <w:rsid w:val="0017239E"/>
    <w:rsid w:val="00177A50"/>
    <w:rsid w:val="00183B02"/>
    <w:rsid w:val="001903D2"/>
    <w:rsid w:val="00195C90"/>
    <w:rsid w:val="001B3819"/>
    <w:rsid w:val="001C2B32"/>
    <w:rsid w:val="001D7AA5"/>
    <w:rsid w:val="00206D1B"/>
    <w:rsid w:val="00221035"/>
    <w:rsid w:val="0022746B"/>
    <w:rsid w:val="002340D3"/>
    <w:rsid w:val="0024107E"/>
    <w:rsid w:val="002548C4"/>
    <w:rsid w:val="002577A1"/>
    <w:rsid w:val="00271324"/>
    <w:rsid w:val="002865A3"/>
    <w:rsid w:val="00293F0E"/>
    <w:rsid w:val="002A0349"/>
    <w:rsid w:val="002A64C5"/>
    <w:rsid w:val="002A6854"/>
    <w:rsid w:val="002B0615"/>
    <w:rsid w:val="002B35A9"/>
    <w:rsid w:val="002B6DCF"/>
    <w:rsid w:val="002C7A87"/>
    <w:rsid w:val="002E4195"/>
    <w:rsid w:val="002E769A"/>
    <w:rsid w:val="002F2D80"/>
    <w:rsid w:val="00300C86"/>
    <w:rsid w:val="00301018"/>
    <w:rsid w:val="00321081"/>
    <w:rsid w:val="00324BDD"/>
    <w:rsid w:val="00342611"/>
    <w:rsid w:val="00362247"/>
    <w:rsid w:val="0037390F"/>
    <w:rsid w:val="00374E82"/>
    <w:rsid w:val="003C5494"/>
    <w:rsid w:val="003C62AB"/>
    <w:rsid w:val="003C675A"/>
    <w:rsid w:val="003E0016"/>
    <w:rsid w:val="003F7CAA"/>
    <w:rsid w:val="004072E2"/>
    <w:rsid w:val="004126C4"/>
    <w:rsid w:val="004255FA"/>
    <w:rsid w:val="00437E0A"/>
    <w:rsid w:val="0044409E"/>
    <w:rsid w:val="004603AF"/>
    <w:rsid w:val="00475940"/>
    <w:rsid w:val="004919C9"/>
    <w:rsid w:val="00495756"/>
    <w:rsid w:val="004B394C"/>
    <w:rsid w:val="004C58CF"/>
    <w:rsid w:val="004D1FCB"/>
    <w:rsid w:val="004D7DB5"/>
    <w:rsid w:val="004E60C4"/>
    <w:rsid w:val="004F3EBC"/>
    <w:rsid w:val="00505352"/>
    <w:rsid w:val="00522225"/>
    <w:rsid w:val="00523282"/>
    <w:rsid w:val="0054487B"/>
    <w:rsid w:val="00564C5A"/>
    <w:rsid w:val="005A282C"/>
    <w:rsid w:val="005A7369"/>
    <w:rsid w:val="005B4264"/>
    <w:rsid w:val="005B5C34"/>
    <w:rsid w:val="005E1192"/>
    <w:rsid w:val="00621778"/>
    <w:rsid w:val="006413CA"/>
    <w:rsid w:val="00644901"/>
    <w:rsid w:val="00646AD5"/>
    <w:rsid w:val="00667B14"/>
    <w:rsid w:val="006759D3"/>
    <w:rsid w:val="006A3FBE"/>
    <w:rsid w:val="006D383D"/>
    <w:rsid w:val="006F13E4"/>
    <w:rsid w:val="00703113"/>
    <w:rsid w:val="00710241"/>
    <w:rsid w:val="0071120F"/>
    <w:rsid w:val="007277F3"/>
    <w:rsid w:val="007319F2"/>
    <w:rsid w:val="007474FB"/>
    <w:rsid w:val="00760E50"/>
    <w:rsid w:val="0076521F"/>
    <w:rsid w:val="007715A3"/>
    <w:rsid w:val="007B3C24"/>
    <w:rsid w:val="007B4BAE"/>
    <w:rsid w:val="007C66C6"/>
    <w:rsid w:val="007D2B0A"/>
    <w:rsid w:val="007D4739"/>
    <w:rsid w:val="007D5555"/>
    <w:rsid w:val="007D71D1"/>
    <w:rsid w:val="007F6801"/>
    <w:rsid w:val="00835DDB"/>
    <w:rsid w:val="0085298B"/>
    <w:rsid w:val="00853346"/>
    <w:rsid w:val="008549D6"/>
    <w:rsid w:val="008659EC"/>
    <w:rsid w:val="00872B7A"/>
    <w:rsid w:val="008858E2"/>
    <w:rsid w:val="00886357"/>
    <w:rsid w:val="008A260F"/>
    <w:rsid w:val="008B110D"/>
    <w:rsid w:val="008C65D5"/>
    <w:rsid w:val="008D5649"/>
    <w:rsid w:val="008D7FC9"/>
    <w:rsid w:val="00926A8F"/>
    <w:rsid w:val="00933189"/>
    <w:rsid w:val="00933436"/>
    <w:rsid w:val="009363EE"/>
    <w:rsid w:val="00941C56"/>
    <w:rsid w:val="00996000"/>
    <w:rsid w:val="009B1589"/>
    <w:rsid w:val="009B4255"/>
    <w:rsid w:val="009C1767"/>
    <w:rsid w:val="009C17E9"/>
    <w:rsid w:val="009C2041"/>
    <w:rsid w:val="009E431F"/>
    <w:rsid w:val="009F61AD"/>
    <w:rsid w:val="00A138D5"/>
    <w:rsid w:val="00A53C33"/>
    <w:rsid w:val="00A57822"/>
    <w:rsid w:val="00A65ADD"/>
    <w:rsid w:val="00A76686"/>
    <w:rsid w:val="00AA6B7D"/>
    <w:rsid w:val="00AB6928"/>
    <w:rsid w:val="00AC46E0"/>
    <w:rsid w:val="00AC794A"/>
    <w:rsid w:val="00B35E06"/>
    <w:rsid w:val="00B44C01"/>
    <w:rsid w:val="00B54B62"/>
    <w:rsid w:val="00B611F2"/>
    <w:rsid w:val="00B91E1C"/>
    <w:rsid w:val="00B931B2"/>
    <w:rsid w:val="00B94DFE"/>
    <w:rsid w:val="00B9780B"/>
    <w:rsid w:val="00BA58BC"/>
    <w:rsid w:val="00BA6024"/>
    <w:rsid w:val="00BA7485"/>
    <w:rsid w:val="00BC77F3"/>
    <w:rsid w:val="00BD12D4"/>
    <w:rsid w:val="00BE7A20"/>
    <w:rsid w:val="00BF697C"/>
    <w:rsid w:val="00C05975"/>
    <w:rsid w:val="00C131B6"/>
    <w:rsid w:val="00C136F5"/>
    <w:rsid w:val="00C1680C"/>
    <w:rsid w:val="00C17661"/>
    <w:rsid w:val="00C33AF8"/>
    <w:rsid w:val="00C3422E"/>
    <w:rsid w:val="00C47445"/>
    <w:rsid w:val="00C5046C"/>
    <w:rsid w:val="00C540CA"/>
    <w:rsid w:val="00C55A7D"/>
    <w:rsid w:val="00C56B12"/>
    <w:rsid w:val="00C57395"/>
    <w:rsid w:val="00C76EBA"/>
    <w:rsid w:val="00C91340"/>
    <w:rsid w:val="00CA07CE"/>
    <w:rsid w:val="00CA26EA"/>
    <w:rsid w:val="00CA67A9"/>
    <w:rsid w:val="00CC3826"/>
    <w:rsid w:val="00CC70FC"/>
    <w:rsid w:val="00CD0FFA"/>
    <w:rsid w:val="00CD1D80"/>
    <w:rsid w:val="00CF525C"/>
    <w:rsid w:val="00D01A5E"/>
    <w:rsid w:val="00D04567"/>
    <w:rsid w:val="00D0704E"/>
    <w:rsid w:val="00D1107C"/>
    <w:rsid w:val="00D12FAD"/>
    <w:rsid w:val="00D148E8"/>
    <w:rsid w:val="00D156CA"/>
    <w:rsid w:val="00D157F7"/>
    <w:rsid w:val="00D226FC"/>
    <w:rsid w:val="00D303F0"/>
    <w:rsid w:val="00D44255"/>
    <w:rsid w:val="00D46058"/>
    <w:rsid w:val="00D570BA"/>
    <w:rsid w:val="00D71AAA"/>
    <w:rsid w:val="00D80C5F"/>
    <w:rsid w:val="00D8445C"/>
    <w:rsid w:val="00DA4654"/>
    <w:rsid w:val="00DB5EF9"/>
    <w:rsid w:val="00DC6896"/>
    <w:rsid w:val="00DD38AF"/>
    <w:rsid w:val="00DD7E29"/>
    <w:rsid w:val="00DE4741"/>
    <w:rsid w:val="00E14DA4"/>
    <w:rsid w:val="00E30992"/>
    <w:rsid w:val="00E34F36"/>
    <w:rsid w:val="00E564DB"/>
    <w:rsid w:val="00E62E0E"/>
    <w:rsid w:val="00E67D59"/>
    <w:rsid w:val="00E7676E"/>
    <w:rsid w:val="00E97481"/>
    <w:rsid w:val="00EA56F6"/>
    <w:rsid w:val="00EC0F9A"/>
    <w:rsid w:val="00ED6AFD"/>
    <w:rsid w:val="00EE74D1"/>
    <w:rsid w:val="00EF18EB"/>
    <w:rsid w:val="00EF4ACB"/>
    <w:rsid w:val="00EF4BD6"/>
    <w:rsid w:val="00EF6499"/>
    <w:rsid w:val="00EF715C"/>
    <w:rsid w:val="00EF76CA"/>
    <w:rsid w:val="00F25ECC"/>
    <w:rsid w:val="00F6296B"/>
    <w:rsid w:val="00F63148"/>
    <w:rsid w:val="00F95681"/>
    <w:rsid w:val="00FB0164"/>
    <w:rsid w:val="00FB36B7"/>
    <w:rsid w:val="00FB3C99"/>
    <w:rsid w:val="00FE2E3E"/>
    <w:rsid w:val="00FE799A"/>
    <w:rsid w:val="09A409FC"/>
    <w:rsid w:val="0F1831C3"/>
    <w:rsid w:val="15E37A96"/>
    <w:rsid w:val="1ACF0677"/>
    <w:rsid w:val="1AFC74FE"/>
    <w:rsid w:val="21731A44"/>
    <w:rsid w:val="25CB747A"/>
    <w:rsid w:val="30610163"/>
    <w:rsid w:val="31B87C05"/>
    <w:rsid w:val="36391FDF"/>
    <w:rsid w:val="38AA0644"/>
    <w:rsid w:val="4F252D6C"/>
    <w:rsid w:val="4FFB0223"/>
    <w:rsid w:val="55403DF7"/>
    <w:rsid w:val="5FAA5B11"/>
    <w:rsid w:val="633279A8"/>
    <w:rsid w:val="64CD7429"/>
    <w:rsid w:val="6D807C9F"/>
    <w:rsid w:val="72D2263F"/>
    <w:rsid w:val="7E0021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0FFACA-40FE-408C-98BF-34F8CB7E71E9}">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3546</Words>
  <Characters>4454</Characters>
  <Lines>43</Lines>
  <Paragraphs>12</Paragraphs>
  <TotalTime>2</TotalTime>
  <ScaleCrop>false</ScaleCrop>
  <LinksUpToDate>false</LinksUpToDate>
  <CharactersWithSpaces>5580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2019-10-28T07:45:00Z</dcterms:created>
  <dc:creator>侒靜啲喧嘩</dc:creator>
  <cp:lastModifiedBy>ADMIN</cp:lastModifiedBy>
  <cp:lastPrinted>2019-10-24T08:46:00Z</cp:lastPrinted>
  <dcterms:modified xsi:type="dcterms:W3CDTF">2023-05-01T02:30:19Z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369CE1CA35284062AF86DA284295E99C</vt:lpwstr>
  </property>
</Properties>
</file>