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hint="default"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lang w:val="en-US" w:eastAsia="zh-CN"/>
        </w:rPr>
        <w:t>黄石港区江北管理区</w:t>
      </w:r>
      <w:r>
        <w:rPr>
          <w:rFonts w:ascii="微软雅黑" w:hAnsi="微软雅黑" w:eastAsia="微软雅黑" w:cs="微软雅黑"/>
          <w:color w:val="BC1010"/>
          <w:sz w:val="40"/>
          <w:szCs w:val="40"/>
          <w:shd w:val="clear" w:color="auto" w:fill="FFFFFF"/>
        </w:rPr>
        <w:t>202</w:t>
      </w:r>
      <w:r>
        <w:rPr>
          <w:rFonts w:hint="eastAsia" w:ascii="微软雅黑" w:hAnsi="微软雅黑" w:eastAsia="微软雅黑" w:cs="微软雅黑"/>
          <w:color w:val="BC1010"/>
          <w:sz w:val="40"/>
          <w:szCs w:val="40"/>
          <w:shd w:val="clear" w:color="auto" w:fill="FFFFFF"/>
          <w:lang w:val="en-US" w:eastAsia="zh-CN"/>
        </w:rPr>
        <w:t>2</w:t>
      </w:r>
      <w:r>
        <w:rPr>
          <w:rFonts w:ascii="微软雅黑" w:hAnsi="微软雅黑" w:eastAsia="微软雅黑" w:cs="微软雅黑"/>
          <w:color w:val="BC1010"/>
          <w:sz w:val="40"/>
          <w:szCs w:val="40"/>
          <w:shd w:val="clear" w:color="auto" w:fill="FFFFFF"/>
        </w:rPr>
        <w:t>年</w:t>
      </w:r>
      <w:r>
        <w:rPr>
          <w:rFonts w:hint="eastAsia" w:ascii="微软雅黑" w:hAnsi="微软雅黑" w:eastAsia="微软雅黑" w:cs="微软雅黑"/>
          <w:color w:val="BC1010"/>
          <w:sz w:val="40"/>
          <w:szCs w:val="40"/>
          <w:shd w:val="clear" w:color="auto" w:fill="FFFFFF"/>
          <w:lang w:val="en-US" w:eastAsia="zh-CN"/>
        </w:rPr>
        <w:t>部门</w:t>
      </w:r>
      <w:r>
        <w:rPr>
          <w:rFonts w:ascii="微软雅黑" w:hAnsi="微软雅黑" w:eastAsia="微软雅黑" w:cs="微软雅黑"/>
          <w:color w:val="BC1010"/>
          <w:sz w:val="40"/>
          <w:szCs w:val="40"/>
          <w:shd w:val="clear" w:color="auto" w:fill="FFFFFF"/>
        </w:rPr>
        <w:t>决算公开</w:t>
      </w:r>
    </w:p>
    <w:p>
      <w:pPr>
        <w:pStyle w:val="5"/>
        <w:widowControl/>
        <w:spacing w:before="76" w:beforeAutospacing="0" w:after="76" w:afterAutospacing="0" w:line="450" w:lineRule="atLeast"/>
        <w:ind w:firstLine="420"/>
        <w:jc w:val="center"/>
        <w:rPr>
          <w:color w:val="333333"/>
        </w:rPr>
      </w:pPr>
      <w:r>
        <w:rPr>
          <w:rStyle w:val="8"/>
          <w:rFonts w:hint="eastAsia" w:ascii="微软雅黑" w:hAnsi="微软雅黑" w:eastAsia="微软雅黑" w:cs="微软雅黑"/>
          <w:color w:val="333333"/>
          <w:shd w:val="clear" w:color="auto" w:fill="FFFFFF"/>
          <w:lang w:val="en-US" w:eastAsia="zh-CN"/>
        </w:rPr>
        <w:t>江北管理区</w:t>
      </w:r>
      <w:r>
        <w:rPr>
          <w:rStyle w:val="8"/>
          <w:rFonts w:hint="eastAsia" w:ascii="微软雅黑" w:hAnsi="微软雅黑" w:eastAsia="微软雅黑" w:cs="微软雅黑"/>
          <w:color w:val="333333"/>
          <w:shd w:val="clear" w:color="auto" w:fill="FFFFFF"/>
        </w:rPr>
        <w:t>202</w:t>
      </w:r>
      <w:r>
        <w:rPr>
          <w:rStyle w:val="8"/>
          <w:rFonts w:hint="eastAsia" w:ascii="微软雅黑" w:hAnsi="微软雅黑" w:eastAsia="微软雅黑" w:cs="微软雅黑"/>
          <w:color w:val="333333"/>
          <w:shd w:val="clear" w:color="auto" w:fill="FFFFFF"/>
          <w:lang w:val="en-US" w:eastAsia="zh-CN"/>
        </w:rPr>
        <w:t>2</w:t>
      </w:r>
      <w:r>
        <w:rPr>
          <w:rStyle w:val="8"/>
          <w:rFonts w:hint="eastAsia" w:ascii="微软雅黑" w:hAnsi="微软雅黑" w:eastAsia="微软雅黑" w:cs="微软雅黑"/>
          <w:color w:val="333333"/>
          <w:shd w:val="clear" w:color="auto" w:fill="FFFFFF"/>
        </w:rPr>
        <w:t>年</w:t>
      </w:r>
      <w:r>
        <w:rPr>
          <w:rStyle w:val="8"/>
          <w:rFonts w:hint="eastAsia" w:ascii="微软雅黑" w:hAnsi="微软雅黑" w:eastAsia="微软雅黑" w:cs="微软雅黑"/>
          <w:color w:val="333333"/>
          <w:shd w:val="clear" w:color="auto" w:fill="FFFFFF"/>
          <w:lang w:val="en-US" w:eastAsia="zh-CN"/>
        </w:rPr>
        <w:t>部门</w:t>
      </w:r>
      <w:r>
        <w:rPr>
          <w:rStyle w:val="8"/>
          <w:rFonts w:hint="eastAsia" w:ascii="微软雅黑" w:hAnsi="微软雅黑" w:eastAsia="微软雅黑" w:cs="微软雅黑"/>
          <w:color w:val="333333"/>
          <w:shd w:val="clear" w:color="auto" w:fill="FFFFFF"/>
        </w:rPr>
        <w:t>决算公开</w:t>
      </w:r>
    </w:p>
    <w:p>
      <w:pPr>
        <w:pStyle w:val="5"/>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  录</w:t>
      </w:r>
    </w:p>
    <w:p>
      <w:pPr>
        <w:pStyle w:val="5"/>
        <w:widowControl/>
        <w:spacing w:before="76" w:beforeAutospacing="0" w:after="76" w:afterAutospacing="0" w:line="450" w:lineRule="atLeast"/>
        <w:ind w:firstLine="420"/>
        <w:rPr>
          <w:rFonts w:hint="eastAsia" w:eastAsia="微软雅黑"/>
          <w:color w:val="333333"/>
          <w:lang w:eastAsia="zh-CN"/>
        </w:rPr>
      </w:pPr>
      <w:r>
        <w:rPr>
          <w:rFonts w:hint="eastAsia" w:ascii="微软雅黑" w:hAnsi="微软雅黑" w:eastAsia="微软雅黑" w:cs="微软雅黑"/>
          <w:color w:val="333333"/>
          <w:shd w:val="clear" w:color="auto" w:fill="FFFFFF"/>
        </w:rPr>
        <w:t>第一部分:</w:t>
      </w:r>
      <w:r>
        <w:rPr>
          <w:rFonts w:hint="eastAsia" w:ascii="微软雅黑" w:hAnsi="微软雅黑" w:eastAsia="微软雅黑" w:cs="微软雅黑"/>
          <w:color w:val="333333"/>
          <w:shd w:val="clear" w:color="auto" w:fill="FFFFFF"/>
          <w:lang w:val="en-US" w:eastAsia="zh-CN"/>
        </w:rPr>
        <w:t>黄石港区江北管理区单位概况</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二、部门决算单位构成</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 xml:space="preserve">第二部分: </w:t>
      </w:r>
      <w:r>
        <w:rPr>
          <w:rFonts w:hint="eastAsia" w:ascii="微软雅黑" w:hAnsi="微软雅黑" w:eastAsia="微软雅黑" w:cs="微软雅黑"/>
          <w:color w:val="333333"/>
          <w:shd w:val="clear" w:color="auto" w:fill="FFFFFF"/>
          <w:lang w:val="en-US" w:eastAsia="zh-CN"/>
        </w:rPr>
        <w:t>黄石港区江北管理区单位</w:t>
      </w:r>
      <w:r>
        <w:rPr>
          <w:rFonts w:hint="eastAsia" w:ascii="微软雅黑" w:hAnsi="微软雅黑" w:eastAsia="微软雅黑" w:cs="微软雅黑"/>
          <w:color w:val="333333"/>
          <w:shd w:val="clear" w:color="auto" w:fill="FFFFFF"/>
        </w:rPr>
        <w:t>202</w:t>
      </w:r>
      <w:r>
        <w:rPr>
          <w:rFonts w:hint="eastAsia" w:ascii="微软雅黑" w:hAnsi="微软雅黑" w:eastAsia="微软雅黑" w:cs="微软雅黑"/>
          <w:color w:val="333333"/>
          <w:shd w:val="clear" w:color="auto" w:fill="FFFFFF"/>
          <w:lang w:val="en-US" w:eastAsia="zh-CN"/>
        </w:rPr>
        <w:t>2</w:t>
      </w:r>
      <w:r>
        <w:rPr>
          <w:rFonts w:hint="eastAsia" w:ascii="微软雅黑" w:hAnsi="微软雅黑" w:eastAsia="微软雅黑" w:cs="微软雅黑"/>
          <w:color w:val="333333"/>
          <w:shd w:val="clear" w:color="auto" w:fill="FFFFFF"/>
        </w:rPr>
        <w:t>年部门决算表</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w:t>
      </w:r>
      <w:r>
        <w:rPr>
          <w:rFonts w:hint="eastAsia" w:ascii="微软雅黑" w:hAnsi="微软雅黑" w:eastAsia="微软雅黑" w:cs="微软雅黑"/>
          <w:color w:val="333333"/>
          <w:shd w:val="clear" w:color="auto" w:fill="FFFFFF"/>
          <w:lang w:val="en-US" w:eastAsia="zh-CN"/>
        </w:rPr>
        <w:t>公开0</w:t>
      </w:r>
      <w:r>
        <w:rPr>
          <w:rFonts w:hint="eastAsia"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lang w:val="en-US" w:eastAsia="zh-CN"/>
        </w:rPr>
        <w:t>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w:t>
      </w:r>
      <w:r>
        <w:rPr>
          <w:rFonts w:hint="eastAsia" w:ascii="微软雅黑" w:hAnsi="微软雅黑" w:eastAsia="微软雅黑" w:cs="微软雅黑"/>
          <w:color w:val="333333"/>
          <w:shd w:val="clear" w:color="auto" w:fill="FFFFFF"/>
          <w:lang w:val="en-US" w:eastAsia="zh-CN"/>
        </w:rPr>
        <w:t>公开02表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w:t>
      </w:r>
      <w:r>
        <w:rPr>
          <w:rFonts w:hint="eastAsia" w:ascii="微软雅黑" w:hAnsi="微软雅黑" w:eastAsia="微软雅黑" w:cs="微软雅黑"/>
          <w:color w:val="333333"/>
          <w:shd w:val="clear" w:color="auto" w:fill="FFFFFF"/>
          <w:lang w:val="en-US" w:eastAsia="zh-CN"/>
        </w:rPr>
        <w:t>公开03表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w:t>
      </w:r>
      <w:r>
        <w:rPr>
          <w:rFonts w:hint="eastAsia" w:ascii="微软雅黑" w:hAnsi="微软雅黑" w:eastAsia="微软雅黑" w:cs="微软雅黑"/>
          <w:color w:val="333333"/>
          <w:shd w:val="clear" w:color="auto" w:fill="FFFFFF"/>
          <w:lang w:val="en-US" w:eastAsia="zh-CN"/>
        </w:rPr>
        <w:t>公开04表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w:t>
      </w:r>
      <w:r>
        <w:rPr>
          <w:rFonts w:hint="eastAsia" w:ascii="微软雅黑" w:hAnsi="微软雅黑" w:eastAsia="微软雅黑" w:cs="微软雅黑"/>
          <w:color w:val="333333"/>
          <w:shd w:val="clear" w:color="auto" w:fill="FFFFFF"/>
          <w:lang w:val="en-US" w:eastAsia="zh-CN"/>
        </w:rPr>
        <w:t>公开05表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w:t>
      </w:r>
      <w:r>
        <w:rPr>
          <w:rFonts w:hint="eastAsia" w:ascii="微软雅黑" w:hAnsi="微软雅黑" w:eastAsia="微软雅黑" w:cs="微软雅黑"/>
          <w:color w:val="333333"/>
          <w:shd w:val="clear" w:color="auto" w:fill="FFFFFF"/>
          <w:lang w:val="en-US" w:eastAsia="zh-CN"/>
        </w:rPr>
        <w:t>公开06表</w:t>
      </w:r>
      <w:r>
        <w:rPr>
          <w:rFonts w:hint="eastAsia" w:ascii="微软雅黑" w:hAnsi="微软雅黑" w:eastAsia="微软雅黑" w:cs="微软雅黑"/>
          <w:color w:val="333333"/>
          <w:shd w:val="clear" w:color="auto" w:fill="FFFFFF"/>
        </w:rPr>
        <w:t>）</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七、一般公共预算财政拨款“三公”经费支出决算表（</w:t>
      </w:r>
      <w:r>
        <w:rPr>
          <w:rFonts w:hint="eastAsia" w:ascii="微软雅黑" w:hAnsi="微软雅黑" w:eastAsia="微软雅黑" w:cs="微软雅黑"/>
          <w:color w:val="333333"/>
          <w:shd w:val="clear" w:color="auto" w:fill="FFFFFF"/>
          <w:lang w:val="en-US" w:eastAsia="zh-CN"/>
        </w:rPr>
        <w:t>公开07表</w:t>
      </w:r>
      <w:r>
        <w:rPr>
          <w:rFonts w:hint="eastAsia" w:ascii="微软雅黑" w:hAnsi="微软雅黑" w:eastAsia="微软雅黑" w:cs="微软雅黑"/>
          <w:color w:val="333333"/>
          <w:shd w:val="clear" w:color="auto"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八、政府性基金预算财政拨款收入支出决算表（</w:t>
      </w:r>
      <w:r>
        <w:rPr>
          <w:rFonts w:hint="eastAsia" w:ascii="微软雅黑" w:hAnsi="微软雅黑" w:eastAsia="微软雅黑" w:cs="微软雅黑"/>
          <w:color w:val="333333"/>
          <w:shd w:val="clear" w:color="auto" w:fill="FFFFFF"/>
          <w:lang w:val="en-US" w:eastAsia="zh-CN"/>
        </w:rPr>
        <w:t>公开08表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eastAsia" w:ascii="微软雅黑" w:hAnsi="微软雅黑" w:eastAsia="微软雅黑" w:cs="微软雅黑"/>
          <w:b w:val="0"/>
          <w:i w:val="0"/>
          <w:caps w:val="0"/>
          <w:color w:val="333333"/>
          <w:spacing w:val="0"/>
          <w:sz w:val="24"/>
          <w:szCs w:val="24"/>
          <w:shd w:val="clear" w:fill="FFFFFF"/>
          <w:lang w:val="en-US" w:eastAsia="zh-CN"/>
        </w:rPr>
      </w:pPr>
      <w:r>
        <w:rPr>
          <w:rFonts w:hint="eastAsia" w:ascii="微软雅黑" w:hAnsi="微软雅黑" w:eastAsia="微软雅黑" w:cs="微软雅黑"/>
          <w:b w:val="0"/>
          <w:i w:val="0"/>
          <w:caps w:val="0"/>
          <w:color w:val="333333"/>
          <w:spacing w:val="0"/>
          <w:sz w:val="24"/>
          <w:szCs w:val="24"/>
          <w:shd w:val="clear" w:fill="FFFFFF"/>
          <w:lang w:val="en-US" w:eastAsia="zh-CN"/>
        </w:rPr>
        <w:t>九、国有资本经营预算财政拨款支出决算表（</w:t>
      </w:r>
      <w:r>
        <w:rPr>
          <w:rFonts w:hint="eastAsia" w:ascii="微软雅黑" w:hAnsi="微软雅黑" w:eastAsia="微软雅黑" w:cs="微软雅黑"/>
          <w:color w:val="333333"/>
          <w:shd w:val="clear" w:color="auto" w:fill="FFFFFF"/>
          <w:lang w:val="en-US" w:eastAsia="zh-CN"/>
        </w:rPr>
        <w:t>公开09表</w:t>
      </w:r>
      <w:r>
        <w:rPr>
          <w:rFonts w:hint="eastAsia" w:ascii="微软雅黑" w:hAnsi="微软雅黑" w:eastAsia="微软雅黑" w:cs="微软雅黑"/>
          <w:b w:val="0"/>
          <w:i w:val="0"/>
          <w:caps w:val="0"/>
          <w:color w:val="333333"/>
          <w:spacing w:val="0"/>
          <w:sz w:val="24"/>
          <w:szCs w:val="24"/>
          <w:shd w:val="clear" w:fill="FFFFFF"/>
          <w:lang w:val="en-US"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rPr>
          <w:rFonts w:hint="default" w:ascii="微软雅黑" w:hAnsi="微软雅黑" w:eastAsia="微软雅黑" w:cs="微软雅黑"/>
          <w:b w:val="0"/>
          <w:i w:val="0"/>
          <w:caps w:val="0"/>
          <w:color w:val="333333"/>
          <w:spacing w:val="0"/>
          <w:sz w:val="24"/>
          <w:szCs w:val="24"/>
          <w:shd w:val="clear" w:fill="FFFFFF"/>
          <w:lang w:val="en-US" w:eastAsia="zh-CN"/>
        </w:rPr>
      </w:pP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第三部分：部门202</w:t>
      </w:r>
      <w:r>
        <w:rPr>
          <w:rFonts w:hint="eastAsia" w:ascii="微软雅黑" w:hAnsi="微软雅黑" w:eastAsia="微软雅黑" w:cs="微软雅黑"/>
          <w:color w:val="333333"/>
          <w:shd w:val="clear" w:color="auto" w:fill="FFFFFF"/>
          <w:lang w:val="en-US" w:eastAsia="zh-CN"/>
        </w:rPr>
        <w:t>1</w:t>
      </w:r>
      <w:r>
        <w:rPr>
          <w:rFonts w:hint="eastAsia" w:ascii="微软雅黑" w:hAnsi="微软雅黑" w:eastAsia="微软雅黑" w:cs="微软雅黑"/>
          <w:color w:val="333333"/>
          <w:shd w:val="clear" w:color="auto" w:fill="FFFFFF"/>
        </w:rPr>
        <w:t>年部门决算情况说明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一、收入支出决算总体情况说明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二、收入决算情况说明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三、支出决算情况说明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四、财政拨款收入支出决算总体情况说明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五、一般公共预算财政拨款支出决算情况说明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七、财政拨款“三公”经费支出决算情况说明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 xml:space="preserve">八、政府性基金预算财政拨款收入支出决算情况说明 </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九、国有资本经营预算财政拨款支出决算情况说明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十、机关运行经费支出说明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十一、政府采购支出说明</w:t>
      </w:r>
    </w:p>
    <w:p>
      <w:pPr>
        <w:keepNext w:val="0"/>
        <w:keepLines w:val="0"/>
        <w:pageBreakBefore w:val="0"/>
        <w:widowControl w:val="0"/>
        <w:numPr>
          <w:ilvl w:val="0"/>
          <w:numId w:val="0"/>
        </w:numPr>
        <w:kinsoku/>
        <w:wordWrap/>
        <w:overflowPunct/>
        <w:topLinePunct w:val="0"/>
        <w:autoSpaceDE/>
        <w:autoSpaceDN/>
        <w:bidi w:val="0"/>
        <w:spacing w:line="360" w:lineRule="auto"/>
        <w:ind w:left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十二、国有资产占用情况说明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十三、预算绩效情况说明</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outlineLvl w:val="9"/>
        <w:rPr>
          <w:rFonts w:hint="eastAsia" w:ascii="微软雅黑" w:hAnsi="微软雅黑" w:eastAsia="微软雅黑" w:cs="微软雅黑"/>
          <w:b w:val="0"/>
          <w:i w:val="0"/>
          <w:caps w:val="0"/>
          <w:color w:val="333333"/>
          <w:spacing w:val="0"/>
          <w:kern w:val="0"/>
          <w:sz w:val="24"/>
          <w:szCs w:val="24"/>
          <w:shd w:val="clear" w:fill="FFFFFF"/>
          <w:lang w:val="en-US" w:eastAsia="zh-CN" w:bidi="ar-SA"/>
        </w:rPr>
      </w:pPr>
      <w:r>
        <w:rPr>
          <w:rFonts w:hint="eastAsia" w:ascii="微软雅黑" w:hAnsi="微软雅黑" w:eastAsia="微软雅黑" w:cs="微软雅黑"/>
          <w:b w:val="0"/>
          <w:i w:val="0"/>
          <w:caps w:val="0"/>
          <w:color w:val="333333"/>
          <w:spacing w:val="0"/>
          <w:kern w:val="0"/>
          <w:sz w:val="24"/>
          <w:szCs w:val="24"/>
          <w:shd w:val="clear" w:fill="FFFFFF"/>
          <w:lang w:val="en-US" w:eastAsia="zh-CN" w:bidi="ar-SA"/>
        </w:rPr>
        <w:t>十四、专项支出、转移支付支出情况说明</w:t>
      </w: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第四部分：名词解释 </w:t>
      </w:r>
    </w:p>
    <w:p>
      <w:pPr>
        <w:pStyle w:val="5"/>
        <w:widowControl/>
        <w:spacing w:before="76" w:beforeAutospacing="0" w:after="76" w:afterAutospacing="0" w:line="450" w:lineRule="atLeast"/>
        <w:rPr>
          <w:rFonts w:hint="eastAsia" w:ascii="微软雅黑" w:hAnsi="微软雅黑" w:eastAsia="微软雅黑" w:cs="微软雅黑"/>
          <w:color w:val="333333"/>
          <w:shd w:val="clear" w:color="auto" w:fill="FFFFFF"/>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第一部分  部门概况</w:t>
      </w:r>
    </w:p>
    <w:p>
      <w:pPr>
        <w:pStyle w:val="9"/>
        <w:widowControl/>
        <w:numPr>
          <w:ilvl w:val="0"/>
          <w:numId w:val="0"/>
        </w:numPr>
        <w:shd w:val="clear" w:color="auto" w:fill="FFFFFF"/>
        <w:ind w:firstLine="562" w:firstLineChars="200"/>
        <w:jc w:val="left"/>
        <w:rPr>
          <w:rFonts w:ascii="宋体" w:hAnsi="宋体" w:cs="宋体"/>
          <w:b/>
          <w:bCs/>
          <w:sz w:val="28"/>
          <w:szCs w:val="28"/>
          <w:highlight w:val="none"/>
        </w:rPr>
      </w:pPr>
      <w:r>
        <w:rPr>
          <w:rFonts w:hint="eastAsia" w:ascii="宋体" w:hAnsi="宋体" w:cs="宋体"/>
          <w:b/>
          <w:bCs/>
          <w:sz w:val="28"/>
          <w:szCs w:val="28"/>
          <w:highlight w:val="none"/>
          <w:lang w:eastAsia="zh-CN"/>
        </w:rPr>
        <w:t>（</w:t>
      </w:r>
      <w:r>
        <w:rPr>
          <w:rFonts w:hint="eastAsia" w:ascii="宋体" w:hAnsi="宋体" w:cs="宋体"/>
          <w:b/>
          <w:bCs/>
          <w:sz w:val="28"/>
          <w:szCs w:val="28"/>
          <w:highlight w:val="none"/>
          <w:lang w:val="en-US" w:eastAsia="zh-CN"/>
        </w:rPr>
        <w:t>一</w:t>
      </w:r>
      <w:r>
        <w:rPr>
          <w:rFonts w:hint="eastAsia" w:ascii="宋体" w:hAnsi="宋体" w:cs="宋体"/>
          <w:b/>
          <w:bCs/>
          <w:sz w:val="28"/>
          <w:szCs w:val="28"/>
          <w:highlight w:val="none"/>
          <w:lang w:eastAsia="zh-CN"/>
        </w:rPr>
        <w:t>）</w:t>
      </w:r>
      <w:r>
        <w:rPr>
          <w:rFonts w:hint="eastAsia" w:ascii="宋体" w:hAnsi="宋体" w:cs="宋体"/>
          <w:b/>
          <w:bCs/>
          <w:sz w:val="28"/>
          <w:szCs w:val="28"/>
          <w:highlight w:val="none"/>
        </w:rPr>
        <w:t>主要职责</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一、部门主要职责</w:t>
      </w:r>
    </w:p>
    <w:p>
      <w:pPr>
        <w:adjustRightInd w:val="0"/>
        <w:snapToGrid w:val="0"/>
        <w:spacing w:line="580" w:lineRule="atLeast"/>
        <w:ind w:firstLine="560" w:firstLineChars="200"/>
        <w:rPr>
          <w:rFonts w:hint="eastAsia" w:ascii="宋体" w:hAnsi="宋体" w:eastAsia="宋体" w:cs="宋体"/>
          <w:sz w:val="28"/>
          <w:szCs w:val="28"/>
        </w:rPr>
      </w:pPr>
      <w:r>
        <w:rPr>
          <w:rFonts w:hint="eastAsia" w:ascii="宋体" w:hAnsi="宋体" w:eastAsia="宋体" w:cs="宋体"/>
          <w:sz w:val="28"/>
          <w:szCs w:val="28"/>
        </w:rPr>
        <w:t>江北管理区系黄石港区政府派出机构，目前，江北管理区为“一套班子”“三块牌子”（湖北黄石港工业园区管理委员会、江北管理区、江北农场）的架构。湖北黄石港工业园区管理委员会主要负责园区建设管理和运营，江北管理区负责区域内社会事务管理等工作,江北农场负责国有企业的资产运营和管理及农场遗留问题的协调处理。</w:t>
      </w:r>
    </w:p>
    <w:p>
      <w:pPr>
        <w:adjustRightInd w:val="0"/>
        <w:snapToGrid w:val="0"/>
        <w:spacing w:line="580" w:lineRule="atLeast"/>
        <w:ind w:firstLine="640" w:firstLineChars="200"/>
        <w:rPr>
          <w:rFonts w:hint="eastAsia" w:ascii="楷体" w:hAnsi="楷体" w:eastAsia="楷体" w:cs="楷体"/>
          <w:bCs/>
          <w:sz w:val="32"/>
          <w:szCs w:val="32"/>
          <w:highlight w:val="none"/>
          <w:u w:val="none"/>
          <w:lang w:val="en-US" w:eastAsia="zh-CN"/>
        </w:rPr>
      </w:pPr>
      <w:r>
        <w:rPr>
          <w:rFonts w:hint="eastAsia" w:ascii="楷体" w:hAnsi="楷体" w:eastAsia="楷体" w:cs="楷体"/>
          <w:bCs/>
          <w:sz w:val="32"/>
          <w:szCs w:val="32"/>
          <w:highlight w:val="none"/>
          <w:u w:val="none"/>
          <w:lang w:val="en-US" w:eastAsia="zh-CN"/>
        </w:rPr>
        <w:t>二、机构设置情况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江北管理区内设党政办公室、社会事务办公室、经济发展办公室、资产经营办公室、综治办公室，下辖一个社区、一个自来水厂。其中：党政办负责综合管理工作及党建工作,社会事务办负责辖区社会事务管理工作；经济发展办负责园区建设管理，运营、招商统计及财务管理核算工作，资产经营办主要负责江北农场资产的经营管理和农场遗留问题协调处理工作，综合办负责区域内的治安、维稳、信访、城管及综合治理工作，江北社区主要负责辖区内社会事务等工作,江北自来水厂负责供应辖区居民生活用水及工业用水。</w:t>
      </w:r>
    </w:p>
    <w:p>
      <w:pPr>
        <w:widowControl/>
        <w:shd w:val="clear" w:color="auto" w:fill="FFFFFF"/>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第二部分  2022年度部门决算表</w:t>
      </w: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一、收入支出决算总表</w:t>
      </w:r>
    </w:p>
    <w:tbl>
      <w:tblPr>
        <w:tblStyle w:val="6"/>
        <w:tblW w:w="1369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875"/>
        <w:gridCol w:w="535"/>
        <w:gridCol w:w="3901"/>
        <w:gridCol w:w="3636"/>
        <w:gridCol w:w="535"/>
        <w:gridCol w:w="1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3875" w:type="dxa"/>
            <w:shd w:val="clear" w:color="auto" w:fill="FFFFFF"/>
            <w:vAlign w:val="center"/>
          </w:tcPr>
          <w:p>
            <w:pPr>
              <w:jc w:val="left"/>
              <w:rPr>
                <w:rFonts w:hint="eastAsia" w:ascii="宋体" w:hAnsi="宋体" w:eastAsia="宋体" w:cs="宋体"/>
                <w:i w:val="0"/>
                <w:color w:val="000000"/>
                <w:sz w:val="18"/>
                <w:szCs w:val="18"/>
                <w:u w:val="none"/>
              </w:rPr>
            </w:pPr>
          </w:p>
        </w:tc>
        <w:tc>
          <w:tcPr>
            <w:tcW w:w="535" w:type="dxa"/>
            <w:shd w:val="clear" w:color="auto" w:fill="FFFFFF"/>
            <w:vAlign w:val="center"/>
          </w:tcPr>
          <w:p>
            <w:pPr>
              <w:jc w:val="left"/>
              <w:rPr>
                <w:rFonts w:hint="eastAsia" w:ascii="宋体" w:hAnsi="宋体" w:eastAsia="宋体" w:cs="宋体"/>
                <w:i w:val="0"/>
                <w:color w:val="000000"/>
                <w:sz w:val="18"/>
                <w:szCs w:val="18"/>
                <w:u w:val="none"/>
              </w:rPr>
            </w:pPr>
          </w:p>
        </w:tc>
        <w:tc>
          <w:tcPr>
            <w:tcW w:w="3901" w:type="dxa"/>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收入支出决算总表</w:t>
            </w:r>
          </w:p>
        </w:tc>
        <w:tc>
          <w:tcPr>
            <w:tcW w:w="3636" w:type="dxa"/>
            <w:shd w:val="clear" w:color="auto" w:fill="FFFFFF"/>
            <w:vAlign w:val="center"/>
          </w:tcPr>
          <w:p>
            <w:pPr>
              <w:jc w:val="left"/>
              <w:rPr>
                <w:rFonts w:hint="eastAsia" w:ascii="宋体" w:hAnsi="宋体" w:eastAsia="宋体" w:cs="宋体"/>
                <w:i w:val="0"/>
                <w:color w:val="000000"/>
                <w:sz w:val="18"/>
                <w:szCs w:val="18"/>
                <w:u w:val="none"/>
              </w:rPr>
            </w:pPr>
          </w:p>
        </w:tc>
        <w:tc>
          <w:tcPr>
            <w:tcW w:w="535" w:type="dxa"/>
            <w:shd w:val="clear" w:color="auto" w:fill="FFFFFF"/>
            <w:vAlign w:val="center"/>
          </w:tcPr>
          <w:p>
            <w:pPr>
              <w:jc w:val="left"/>
              <w:rPr>
                <w:rFonts w:hint="eastAsia" w:ascii="宋体" w:hAnsi="宋体" w:eastAsia="宋体" w:cs="宋体"/>
                <w:i w:val="0"/>
                <w:color w:val="000000"/>
                <w:sz w:val="18"/>
                <w:szCs w:val="18"/>
                <w:u w:val="none"/>
              </w:rPr>
            </w:pPr>
          </w:p>
        </w:tc>
        <w:tc>
          <w:tcPr>
            <w:tcW w:w="1210" w:type="dxa"/>
            <w:shd w:val="clear" w:color="auto" w:fill="FFFFFF"/>
            <w:vAlign w:val="center"/>
          </w:tcPr>
          <w:p>
            <w:pPr>
              <w:jc w:val="lef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shd w:val="clear" w:color="auto" w:fill="FFFFFF"/>
            <w:vAlign w:val="center"/>
          </w:tcPr>
          <w:p>
            <w:pPr>
              <w:jc w:val="left"/>
              <w:rPr>
                <w:rFonts w:hint="eastAsia" w:ascii="Tahoma" w:hAnsi="Tahoma" w:eastAsia="Tahoma" w:cs="Tahoma"/>
                <w:i w:val="0"/>
                <w:color w:val="000000"/>
                <w:sz w:val="16"/>
                <w:szCs w:val="16"/>
                <w:u w:val="none"/>
              </w:rPr>
            </w:pPr>
          </w:p>
        </w:tc>
        <w:tc>
          <w:tcPr>
            <w:tcW w:w="535" w:type="dxa"/>
            <w:shd w:val="clear" w:color="auto" w:fill="FFFFFF"/>
            <w:vAlign w:val="center"/>
          </w:tcPr>
          <w:p>
            <w:pPr>
              <w:jc w:val="left"/>
              <w:rPr>
                <w:rFonts w:hint="default" w:ascii="Tahoma" w:hAnsi="Tahoma" w:eastAsia="Tahoma" w:cs="Tahoma"/>
                <w:i w:val="0"/>
                <w:color w:val="000000"/>
                <w:sz w:val="16"/>
                <w:szCs w:val="16"/>
                <w:u w:val="none"/>
              </w:rPr>
            </w:pPr>
          </w:p>
        </w:tc>
        <w:tc>
          <w:tcPr>
            <w:tcW w:w="3901" w:type="dxa"/>
            <w:shd w:val="clear" w:color="auto" w:fill="FFFFFF"/>
            <w:vAlign w:val="center"/>
          </w:tcPr>
          <w:p>
            <w:pPr>
              <w:jc w:val="left"/>
              <w:rPr>
                <w:rFonts w:hint="default" w:ascii="Tahoma" w:hAnsi="Tahoma" w:eastAsia="Tahoma" w:cs="Tahoma"/>
                <w:i w:val="0"/>
                <w:color w:val="000000"/>
                <w:sz w:val="16"/>
                <w:szCs w:val="16"/>
                <w:u w:val="none"/>
              </w:rPr>
            </w:pPr>
          </w:p>
        </w:tc>
        <w:tc>
          <w:tcPr>
            <w:tcW w:w="3636" w:type="dxa"/>
            <w:shd w:val="clear" w:color="auto" w:fill="FFFFFF"/>
            <w:vAlign w:val="center"/>
          </w:tcPr>
          <w:p>
            <w:pPr>
              <w:jc w:val="left"/>
              <w:rPr>
                <w:rFonts w:hint="default" w:ascii="Tahoma" w:hAnsi="Tahoma" w:eastAsia="Tahoma" w:cs="Tahoma"/>
                <w:i w:val="0"/>
                <w:color w:val="000000"/>
                <w:sz w:val="16"/>
                <w:szCs w:val="16"/>
                <w:u w:val="none"/>
              </w:rPr>
            </w:pPr>
          </w:p>
        </w:tc>
        <w:tc>
          <w:tcPr>
            <w:tcW w:w="535" w:type="dxa"/>
            <w:shd w:val="clear" w:color="auto" w:fill="FFFFFF"/>
            <w:vAlign w:val="center"/>
          </w:tcPr>
          <w:p>
            <w:pPr>
              <w:jc w:val="left"/>
              <w:rPr>
                <w:rFonts w:hint="default" w:ascii="Tahoma" w:hAnsi="Tahoma" w:eastAsia="Tahoma" w:cs="Tahoma"/>
                <w:i w:val="0"/>
                <w:color w:val="000000"/>
                <w:sz w:val="16"/>
                <w:szCs w:val="16"/>
                <w:u w:val="none"/>
              </w:rPr>
            </w:pPr>
          </w:p>
        </w:tc>
        <w:tc>
          <w:tcPr>
            <w:tcW w:w="1210"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bottom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部门：黄石港区江北管理区</w:t>
            </w:r>
          </w:p>
        </w:tc>
        <w:tc>
          <w:tcPr>
            <w:tcW w:w="53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90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363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53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210" w:type="dxa"/>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311"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5381" w:type="dxa"/>
            <w:gridSpan w:val="3"/>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390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21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35"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90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35" w:type="dxa"/>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210"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630.67</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三、国有资本经营预算财政拨款收入</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四、上级补助收入</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五、事业收入</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六、经营收入</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七、附属单位上缴收入</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八、其他收入</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455.38</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1,043.44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b/>
                <w:i w:val="0"/>
                <w:color w:val="000000"/>
                <w:sz w:val="20"/>
                <w:szCs w:val="20"/>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0"/>
                <w:szCs w:val="20"/>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1,086.05</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使用非财政拨款结余</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0.31</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3901" w:type="dxa"/>
            <w:tcBorders>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2"/>
                <w:szCs w:val="22"/>
                <w:u w:val="none"/>
              </w:rPr>
            </w:pPr>
          </w:p>
        </w:tc>
        <w:tc>
          <w:tcPr>
            <w:tcW w:w="3636" w:type="dxa"/>
            <w:tcBorders>
              <w:bottom w:val="single" w:color="000000" w:sz="4" w:space="0"/>
              <w:right w:val="single" w:color="000000" w:sz="4" w:space="0"/>
            </w:tcBorders>
            <w:shd w:val="clear" w:color="auto" w:fill="C0C0C0"/>
            <w:vAlign w:val="center"/>
          </w:tcPr>
          <w:p>
            <w:pPr>
              <w:jc w:val="left"/>
              <w:rPr>
                <w:rFonts w:hint="eastAsia" w:ascii="宋体" w:hAnsi="宋体" w:eastAsia="宋体" w:cs="宋体"/>
                <w:i w:val="0"/>
                <w:color w:val="000000"/>
                <w:sz w:val="22"/>
                <w:szCs w:val="22"/>
                <w:u w:val="none"/>
              </w:rPr>
            </w:pP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210" w:type="dxa"/>
            <w:tcBorders>
              <w:bottom w:val="single" w:color="000000" w:sz="4" w:space="0"/>
              <w:right w:val="single" w:color="000000" w:sz="4" w:space="0"/>
            </w:tcBorders>
            <w:shd w:val="clear" w:color="auto" w:fill="FFFFFF"/>
            <w:vAlign w:val="center"/>
          </w:tcPr>
          <w:p>
            <w:pPr>
              <w:jc w:val="lef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3875" w:type="dxa"/>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390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1,086.36</w:t>
            </w:r>
          </w:p>
        </w:tc>
        <w:tc>
          <w:tcPr>
            <w:tcW w:w="3636" w:type="dxa"/>
            <w:tcBorders>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3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210"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1,086.36</w:t>
            </w: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numPr>
          <w:ilvl w:val="0"/>
          <w:numId w:val="1"/>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收入决算表</w:t>
      </w:r>
    </w:p>
    <w:tbl>
      <w:tblPr>
        <w:tblStyle w:val="6"/>
        <w:tblW w:w="136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2"/>
        <w:gridCol w:w="945"/>
        <w:gridCol w:w="945"/>
        <w:gridCol w:w="3853"/>
        <w:gridCol w:w="1769"/>
        <w:gridCol w:w="955"/>
        <w:gridCol w:w="951"/>
        <w:gridCol w:w="951"/>
        <w:gridCol w:w="951"/>
        <w:gridCol w:w="951"/>
        <w:gridCol w:w="9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3695" w:type="dxa"/>
            <w:gridSpan w:val="11"/>
            <w:shd w:val="clear" w:color="auto" w:fill="FFFFFF"/>
            <w:vAlign w:val="center"/>
          </w:tcPr>
          <w:p>
            <w:pPr>
              <w:ind w:firstLine="5400" w:firstLineChars="1800"/>
              <w:jc w:val="left"/>
              <w:rPr>
                <w:rFonts w:hint="eastAsia" w:ascii="宋体" w:hAnsi="宋体" w:eastAsia="宋体" w:cs="宋体"/>
                <w:i w:val="0"/>
                <w:color w:val="000000"/>
                <w:sz w:val="18"/>
                <w:szCs w:val="18"/>
                <w:u w:val="none"/>
              </w:rPr>
            </w:pPr>
            <w:r>
              <w:rPr>
                <w:rFonts w:hint="eastAsia" w:ascii="黑体" w:hAnsi="宋体" w:eastAsia="黑体" w:cs="黑体"/>
                <w:i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72" w:type="dxa"/>
            <w:shd w:val="clear" w:color="auto" w:fill="FFFFFF"/>
            <w:vAlign w:val="center"/>
          </w:tcPr>
          <w:p>
            <w:pPr>
              <w:jc w:val="left"/>
              <w:rPr>
                <w:rFonts w:hint="eastAsia" w:ascii="Tahoma" w:hAnsi="Tahoma" w:eastAsia="Tahoma" w:cs="Tahoma"/>
                <w:i w:val="0"/>
                <w:color w:val="000000"/>
                <w:sz w:val="16"/>
                <w:szCs w:val="16"/>
                <w:u w:val="none"/>
              </w:rPr>
            </w:pPr>
          </w:p>
        </w:tc>
        <w:tc>
          <w:tcPr>
            <w:tcW w:w="945" w:type="dxa"/>
            <w:shd w:val="clear" w:color="auto" w:fill="FFFFFF"/>
            <w:vAlign w:val="center"/>
          </w:tcPr>
          <w:p>
            <w:pPr>
              <w:jc w:val="left"/>
              <w:rPr>
                <w:rFonts w:hint="default" w:ascii="Tahoma" w:hAnsi="Tahoma" w:eastAsia="Tahoma" w:cs="Tahoma"/>
                <w:i w:val="0"/>
                <w:color w:val="000000"/>
                <w:sz w:val="16"/>
                <w:szCs w:val="16"/>
                <w:u w:val="none"/>
              </w:rPr>
            </w:pPr>
          </w:p>
        </w:tc>
        <w:tc>
          <w:tcPr>
            <w:tcW w:w="945" w:type="dxa"/>
            <w:shd w:val="clear" w:color="auto" w:fill="FFFFFF"/>
            <w:vAlign w:val="center"/>
          </w:tcPr>
          <w:p>
            <w:pPr>
              <w:jc w:val="left"/>
              <w:rPr>
                <w:rFonts w:hint="default" w:ascii="Tahoma" w:hAnsi="Tahoma" w:eastAsia="Tahoma" w:cs="Tahoma"/>
                <w:i w:val="0"/>
                <w:color w:val="000000"/>
                <w:sz w:val="16"/>
                <w:szCs w:val="16"/>
                <w:u w:val="none"/>
              </w:rPr>
            </w:pPr>
          </w:p>
        </w:tc>
        <w:tc>
          <w:tcPr>
            <w:tcW w:w="3853" w:type="dxa"/>
            <w:shd w:val="clear" w:color="auto" w:fill="FFFFFF"/>
            <w:vAlign w:val="center"/>
          </w:tcPr>
          <w:p>
            <w:pPr>
              <w:jc w:val="left"/>
              <w:rPr>
                <w:rFonts w:hint="default" w:ascii="Tahoma" w:hAnsi="Tahoma" w:eastAsia="Tahoma" w:cs="Tahoma"/>
                <w:i w:val="0"/>
                <w:color w:val="000000"/>
                <w:sz w:val="16"/>
                <w:szCs w:val="16"/>
                <w:u w:val="none"/>
              </w:rPr>
            </w:pPr>
          </w:p>
        </w:tc>
        <w:tc>
          <w:tcPr>
            <w:tcW w:w="1769" w:type="dxa"/>
            <w:shd w:val="clear" w:color="auto" w:fill="FFFFFF"/>
            <w:vAlign w:val="center"/>
          </w:tcPr>
          <w:p>
            <w:pPr>
              <w:jc w:val="left"/>
              <w:rPr>
                <w:rFonts w:hint="default" w:ascii="Tahoma" w:hAnsi="Tahoma" w:eastAsia="Tahoma" w:cs="Tahoma"/>
                <w:i w:val="0"/>
                <w:color w:val="000000"/>
                <w:sz w:val="16"/>
                <w:szCs w:val="16"/>
                <w:u w:val="none"/>
              </w:rPr>
            </w:pPr>
          </w:p>
        </w:tc>
        <w:tc>
          <w:tcPr>
            <w:tcW w:w="955" w:type="dxa"/>
            <w:shd w:val="clear" w:color="auto" w:fill="FFFFFF"/>
            <w:vAlign w:val="center"/>
          </w:tcPr>
          <w:p>
            <w:pPr>
              <w:jc w:val="left"/>
              <w:rPr>
                <w:rFonts w:hint="default" w:ascii="Tahoma" w:hAnsi="Tahoma" w:eastAsia="Tahoma" w:cs="Tahoma"/>
                <w:i w:val="0"/>
                <w:color w:val="000000"/>
                <w:sz w:val="16"/>
                <w:szCs w:val="16"/>
                <w:u w:val="none"/>
              </w:rPr>
            </w:pPr>
          </w:p>
        </w:tc>
        <w:tc>
          <w:tcPr>
            <w:tcW w:w="951" w:type="dxa"/>
            <w:shd w:val="clear" w:color="auto" w:fill="FFFFFF"/>
            <w:vAlign w:val="center"/>
          </w:tcPr>
          <w:p>
            <w:pPr>
              <w:jc w:val="left"/>
              <w:rPr>
                <w:rFonts w:hint="default" w:ascii="Tahoma" w:hAnsi="Tahoma" w:eastAsia="Tahoma" w:cs="Tahoma"/>
                <w:i w:val="0"/>
                <w:color w:val="000000"/>
                <w:sz w:val="16"/>
                <w:szCs w:val="16"/>
                <w:u w:val="none"/>
              </w:rPr>
            </w:pPr>
          </w:p>
        </w:tc>
        <w:tc>
          <w:tcPr>
            <w:tcW w:w="951" w:type="dxa"/>
            <w:shd w:val="clear" w:color="auto" w:fill="FFFFFF"/>
            <w:vAlign w:val="center"/>
          </w:tcPr>
          <w:p>
            <w:pPr>
              <w:jc w:val="left"/>
              <w:rPr>
                <w:rFonts w:hint="default" w:ascii="Tahoma" w:hAnsi="Tahoma" w:eastAsia="Tahoma" w:cs="Tahoma"/>
                <w:i w:val="0"/>
                <w:color w:val="000000"/>
                <w:sz w:val="16"/>
                <w:szCs w:val="16"/>
                <w:u w:val="none"/>
              </w:rPr>
            </w:pPr>
          </w:p>
        </w:tc>
        <w:tc>
          <w:tcPr>
            <w:tcW w:w="951" w:type="dxa"/>
            <w:shd w:val="clear" w:color="auto" w:fill="FFFFFF"/>
            <w:vAlign w:val="center"/>
          </w:tcPr>
          <w:p>
            <w:pPr>
              <w:jc w:val="left"/>
              <w:rPr>
                <w:rFonts w:hint="default" w:ascii="Tahoma" w:hAnsi="Tahoma" w:eastAsia="Tahoma" w:cs="Tahoma"/>
                <w:i w:val="0"/>
                <w:color w:val="000000"/>
                <w:sz w:val="16"/>
                <w:szCs w:val="16"/>
                <w:u w:val="none"/>
              </w:rPr>
            </w:pPr>
          </w:p>
        </w:tc>
        <w:tc>
          <w:tcPr>
            <w:tcW w:w="1903" w:type="dxa"/>
            <w:gridSpan w:val="2"/>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15" w:type="dxa"/>
            <w:gridSpan w:val="4"/>
            <w:tcBorders>
              <w:bottom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部门：黄石港区江北管理区</w:t>
            </w:r>
          </w:p>
        </w:tc>
        <w:tc>
          <w:tcPr>
            <w:tcW w:w="1769"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55"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5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5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51"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903" w:type="dxa"/>
            <w:gridSpan w:val="2"/>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15"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6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955"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95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95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95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951"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952"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62"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853"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6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62"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85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76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62"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853"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76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5"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1"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2"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15"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6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55"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52"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15"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合计</w:t>
            </w:r>
          </w:p>
        </w:tc>
        <w:tc>
          <w:tcPr>
            <w:tcW w:w="176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1,086.05</w:t>
            </w:r>
          </w:p>
        </w:tc>
        <w:tc>
          <w:tcPr>
            <w:tcW w:w="9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630.67</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455.38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201</w:t>
            </w:r>
          </w:p>
        </w:tc>
        <w:tc>
          <w:tcPr>
            <w:tcW w:w="38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一般公共服务支出</w:t>
            </w:r>
          </w:p>
        </w:tc>
        <w:tc>
          <w:tcPr>
            <w:tcW w:w="176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33.00</w:t>
            </w:r>
          </w:p>
        </w:tc>
        <w:tc>
          <w:tcPr>
            <w:tcW w:w="95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30.00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20103</w:t>
            </w:r>
          </w:p>
        </w:tc>
        <w:tc>
          <w:tcPr>
            <w:tcW w:w="38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政府办公厅（室）及相关机构事务</w:t>
            </w:r>
          </w:p>
        </w:tc>
        <w:tc>
          <w:tcPr>
            <w:tcW w:w="176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3.00</w:t>
            </w:r>
          </w:p>
        </w:tc>
        <w:tc>
          <w:tcPr>
            <w:tcW w:w="95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2010308</w:t>
            </w:r>
          </w:p>
        </w:tc>
        <w:tc>
          <w:tcPr>
            <w:tcW w:w="3853"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信访事务</w:t>
            </w:r>
          </w:p>
        </w:tc>
        <w:tc>
          <w:tcPr>
            <w:tcW w:w="176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3.00</w:t>
            </w:r>
          </w:p>
        </w:tc>
        <w:tc>
          <w:tcPr>
            <w:tcW w:w="9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20199</w:t>
            </w:r>
          </w:p>
        </w:tc>
        <w:tc>
          <w:tcPr>
            <w:tcW w:w="38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其他一般公共服务支出</w:t>
            </w:r>
          </w:p>
        </w:tc>
        <w:tc>
          <w:tcPr>
            <w:tcW w:w="176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30.00</w:t>
            </w:r>
          </w:p>
        </w:tc>
        <w:tc>
          <w:tcPr>
            <w:tcW w:w="95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30.00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2019999</w:t>
            </w:r>
          </w:p>
        </w:tc>
        <w:tc>
          <w:tcPr>
            <w:tcW w:w="3853"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其他一般公共服务支出</w:t>
            </w:r>
          </w:p>
        </w:tc>
        <w:tc>
          <w:tcPr>
            <w:tcW w:w="176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30.00</w:t>
            </w:r>
          </w:p>
        </w:tc>
        <w:tc>
          <w:tcPr>
            <w:tcW w:w="9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212</w:t>
            </w:r>
          </w:p>
        </w:tc>
        <w:tc>
          <w:tcPr>
            <w:tcW w:w="38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城乡社区支出</w:t>
            </w:r>
          </w:p>
        </w:tc>
        <w:tc>
          <w:tcPr>
            <w:tcW w:w="176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1,043.44</w:t>
            </w:r>
          </w:p>
        </w:tc>
        <w:tc>
          <w:tcPr>
            <w:tcW w:w="95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591.06</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452.38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21201</w:t>
            </w:r>
          </w:p>
        </w:tc>
        <w:tc>
          <w:tcPr>
            <w:tcW w:w="38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城乡社区管理事务</w:t>
            </w:r>
          </w:p>
        </w:tc>
        <w:tc>
          <w:tcPr>
            <w:tcW w:w="176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973.44</w:t>
            </w:r>
          </w:p>
        </w:tc>
        <w:tc>
          <w:tcPr>
            <w:tcW w:w="95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521.06</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452.38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2120101</w:t>
            </w:r>
          </w:p>
        </w:tc>
        <w:tc>
          <w:tcPr>
            <w:tcW w:w="3853"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行政运行</w:t>
            </w:r>
          </w:p>
        </w:tc>
        <w:tc>
          <w:tcPr>
            <w:tcW w:w="176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829.67</w:t>
            </w:r>
          </w:p>
        </w:tc>
        <w:tc>
          <w:tcPr>
            <w:tcW w:w="9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377.30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452.38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2120102</w:t>
            </w:r>
          </w:p>
        </w:tc>
        <w:tc>
          <w:tcPr>
            <w:tcW w:w="3853"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一般行政管理事务</w:t>
            </w:r>
          </w:p>
        </w:tc>
        <w:tc>
          <w:tcPr>
            <w:tcW w:w="176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6.53</w:t>
            </w:r>
          </w:p>
        </w:tc>
        <w:tc>
          <w:tcPr>
            <w:tcW w:w="9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6.53</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2120199</w:t>
            </w:r>
          </w:p>
        </w:tc>
        <w:tc>
          <w:tcPr>
            <w:tcW w:w="3853"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其他城乡社区管理事务支出</w:t>
            </w:r>
          </w:p>
        </w:tc>
        <w:tc>
          <w:tcPr>
            <w:tcW w:w="176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137.23</w:t>
            </w:r>
          </w:p>
        </w:tc>
        <w:tc>
          <w:tcPr>
            <w:tcW w:w="9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137.23</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21203</w:t>
            </w:r>
          </w:p>
        </w:tc>
        <w:tc>
          <w:tcPr>
            <w:tcW w:w="38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城乡社区公共设施</w:t>
            </w:r>
          </w:p>
        </w:tc>
        <w:tc>
          <w:tcPr>
            <w:tcW w:w="176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70.00</w:t>
            </w:r>
          </w:p>
        </w:tc>
        <w:tc>
          <w:tcPr>
            <w:tcW w:w="95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70.00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2120303</w:t>
            </w:r>
          </w:p>
        </w:tc>
        <w:tc>
          <w:tcPr>
            <w:tcW w:w="3853"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小城镇基础设施建设</w:t>
            </w:r>
          </w:p>
        </w:tc>
        <w:tc>
          <w:tcPr>
            <w:tcW w:w="176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70.00</w:t>
            </w:r>
          </w:p>
        </w:tc>
        <w:tc>
          <w:tcPr>
            <w:tcW w:w="9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70.00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214</w:t>
            </w:r>
          </w:p>
        </w:tc>
        <w:tc>
          <w:tcPr>
            <w:tcW w:w="38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交通运输支出</w:t>
            </w:r>
          </w:p>
        </w:tc>
        <w:tc>
          <w:tcPr>
            <w:tcW w:w="176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9.61</w:t>
            </w:r>
          </w:p>
        </w:tc>
        <w:tc>
          <w:tcPr>
            <w:tcW w:w="95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9.61</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21401</w:t>
            </w:r>
          </w:p>
        </w:tc>
        <w:tc>
          <w:tcPr>
            <w:tcW w:w="3853"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公路水路运输</w:t>
            </w:r>
          </w:p>
        </w:tc>
        <w:tc>
          <w:tcPr>
            <w:tcW w:w="176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9.61</w:t>
            </w:r>
          </w:p>
        </w:tc>
        <w:tc>
          <w:tcPr>
            <w:tcW w:w="955"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9.61</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auto"/>
                <w:sz w:val="22"/>
                <w:szCs w:val="22"/>
                <w:u w:val="none"/>
              </w:rPr>
            </w:pPr>
            <w:r>
              <w:rPr>
                <w:rFonts w:hint="eastAsia" w:ascii="宋体" w:hAnsi="宋体" w:eastAsia="宋体" w:cs="宋体"/>
                <w:b/>
                <w:i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62"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2140104</w:t>
            </w:r>
          </w:p>
        </w:tc>
        <w:tc>
          <w:tcPr>
            <w:tcW w:w="3853"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 xml:space="preserve">  公路建设</w:t>
            </w:r>
          </w:p>
        </w:tc>
        <w:tc>
          <w:tcPr>
            <w:tcW w:w="176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9.61</w:t>
            </w:r>
          </w:p>
        </w:tc>
        <w:tc>
          <w:tcPr>
            <w:tcW w:w="955"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9.61</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1"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c>
          <w:tcPr>
            <w:tcW w:w="952"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auto"/>
                <w:sz w:val="22"/>
                <w:szCs w:val="22"/>
                <w:u w:val="none"/>
              </w:rPr>
            </w:pPr>
            <w:r>
              <w:rPr>
                <w:rFonts w:hint="eastAsia" w:ascii="宋体" w:hAnsi="宋体" w:eastAsia="宋体" w:cs="宋体"/>
                <w:i w:val="0"/>
                <w:color w:val="auto"/>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3695" w:type="dxa"/>
            <w:gridSpan w:val="11"/>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bl>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三、支出决算表</w:t>
      </w:r>
    </w:p>
    <w:p>
      <w:pPr>
        <w:widowControl w:val="0"/>
        <w:numPr>
          <w:ilvl w:val="0"/>
          <w:numId w:val="0"/>
        </w:numPr>
        <w:adjustRightInd w:val="0"/>
        <w:snapToGrid w:val="0"/>
        <w:spacing w:line="580" w:lineRule="atLeast"/>
        <w:jc w:val="both"/>
        <w:rPr>
          <w:rFonts w:hint="eastAsia" w:ascii="楷体" w:hAnsi="楷体" w:eastAsia="楷体" w:cs="楷体"/>
          <w:bCs/>
          <w:sz w:val="32"/>
          <w:szCs w:val="32"/>
          <w:highlight w:val="none"/>
          <w:u w:val="none"/>
        </w:rPr>
      </w:pPr>
    </w:p>
    <w:tbl>
      <w:tblPr>
        <w:tblStyle w:val="6"/>
        <w:tblW w:w="1272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1"/>
        <w:gridCol w:w="943"/>
        <w:gridCol w:w="943"/>
        <w:gridCol w:w="3849"/>
        <w:gridCol w:w="1766"/>
        <w:gridCol w:w="959"/>
        <w:gridCol w:w="949"/>
        <w:gridCol w:w="949"/>
        <w:gridCol w:w="949"/>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12726" w:type="dxa"/>
            <w:gridSpan w:val="10"/>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30"/>
                <w:szCs w:val="30"/>
                <w:u w:val="none"/>
              </w:rPr>
            </w:pPr>
            <w:r>
              <w:rPr>
                <w:rFonts w:hint="eastAsia" w:ascii="黑体" w:hAnsi="宋体" w:eastAsia="黑体" w:cs="黑体"/>
                <w:i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471" w:type="dxa"/>
            <w:shd w:val="clear" w:color="auto" w:fill="FFFFFF"/>
            <w:vAlign w:val="center"/>
          </w:tcPr>
          <w:p>
            <w:pPr>
              <w:jc w:val="left"/>
              <w:rPr>
                <w:rFonts w:hint="eastAsia" w:ascii="Tahoma" w:hAnsi="Tahoma" w:eastAsia="Tahoma" w:cs="Tahoma"/>
                <w:i w:val="0"/>
                <w:color w:val="000000"/>
                <w:sz w:val="16"/>
                <w:szCs w:val="16"/>
                <w:u w:val="none"/>
              </w:rPr>
            </w:pPr>
          </w:p>
        </w:tc>
        <w:tc>
          <w:tcPr>
            <w:tcW w:w="943" w:type="dxa"/>
            <w:shd w:val="clear" w:color="auto" w:fill="FFFFFF"/>
            <w:vAlign w:val="center"/>
          </w:tcPr>
          <w:p>
            <w:pPr>
              <w:jc w:val="left"/>
              <w:rPr>
                <w:rFonts w:hint="default" w:ascii="Tahoma" w:hAnsi="Tahoma" w:eastAsia="Tahoma" w:cs="Tahoma"/>
                <w:i w:val="0"/>
                <w:color w:val="000000"/>
                <w:sz w:val="16"/>
                <w:szCs w:val="16"/>
                <w:u w:val="none"/>
              </w:rPr>
            </w:pPr>
          </w:p>
        </w:tc>
        <w:tc>
          <w:tcPr>
            <w:tcW w:w="943" w:type="dxa"/>
            <w:shd w:val="clear" w:color="auto" w:fill="FFFFFF"/>
            <w:vAlign w:val="center"/>
          </w:tcPr>
          <w:p>
            <w:pPr>
              <w:jc w:val="left"/>
              <w:rPr>
                <w:rFonts w:hint="default" w:ascii="Tahoma" w:hAnsi="Tahoma" w:eastAsia="Tahoma" w:cs="Tahoma"/>
                <w:i w:val="0"/>
                <w:color w:val="000000"/>
                <w:sz w:val="16"/>
                <w:szCs w:val="16"/>
                <w:u w:val="none"/>
              </w:rPr>
            </w:pPr>
          </w:p>
        </w:tc>
        <w:tc>
          <w:tcPr>
            <w:tcW w:w="3849" w:type="dxa"/>
            <w:shd w:val="clear" w:color="auto" w:fill="FFFFFF"/>
            <w:vAlign w:val="center"/>
          </w:tcPr>
          <w:p>
            <w:pPr>
              <w:jc w:val="left"/>
              <w:rPr>
                <w:rFonts w:hint="default" w:ascii="Tahoma" w:hAnsi="Tahoma" w:eastAsia="Tahoma" w:cs="Tahoma"/>
                <w:i w:val="0"/>
                <w:color w:val="000000"/>
                <w:sz w:val="16"/>
                <w:szCs w:val="16"/>
                <w:u w:val="none"/>
              </w:rPr>
            </w:pPr>
          </w:p>
        </w:tc>
        <w:tc>
          <w:tcPr>
            <w:tcW w:w="1766" w:type="dxa"/>
            <w:shd w:val="clear" w:color="auto" w:fill="FFFFFF"/>
            <w:vAlign w:val="center"/>
          </w:tcPr>
          <w:p>
            <w:pPr>
              <w:jc w:val="left"/>
              <w:rPr>
                <w:rFonts w:hint="default" w:ascii="Tahoma" w:hAnsi="Tahoma" w:eastAsia="Tahoma" w:cs="Tahoma"/>
                <w:i w:val="0"/>
                <w:color w:val="000000"/>
                <w:sz w:val="16"/>
                <w:szCs w:val="16"/>
                <w:u w:val="none"/>
              </w:rPr>
            </w:pPr>
          </w:p>
        </w:tc>
        <w:tc>
          <w:tcPr>
            <w:tcW w:w="959" w:type="dxa"/>
            <w:shd w:val="clear" w:color="auto" w:fill="FFFFFF"/>
            <w:vAlign w:val="center"/>
          </w:tcPr>
          <w:p>
            <w:pPr>
              <w:jc w:val="left"/>
              <w:rPr>
                <w:rFonts w:hint="default" w:ascii="Tahoma" w:hAnsi="Tahoma" w:eastAsia="Tahoma" w:cs="Tahoma"/>
                <w:i w:val="0"/>
                <w:color w:val="000000"/>
                <w:sz w:val="16"/>
                <w:szCs w:val="16"/>
                <w:u w:val="none"/>
              </w:rPr>
            </w:pPr>
          </w:p>
        </w:tc>
        <w:tc>
          <w:tcPr>
            <w:tcW w:w="949" w:type="dxa"/>
            <w:shd w:val="clear" w:color="auto" w:fill="FFFFFF"/>
            <w:vAlign w:val="center"/>
          </w:tcPr>
          <w:p>
            <w:pPr>
              <w:jc w:val="left"/>
              <w:rPr>
                <w:rFonts w:hint="default" w:ascii="Tahoma" w:hAnsi="Tahoma" w:eastAsia="Tahoma" w:cs="Tahoma"/>
                <w:i w:val="0"/>
                <w:color w:val="000000"/>
                <w:sz w:val="16"/>
                <w:szCs w:val="16"/>
                <w:u w:val="none"/>
              </w:rPr>
            </w:pPr>
          </w:p>
        </w:tc>
        <w:tc>
          <w:tcPr>
            <w:tcW w:w="949" w:type="dxa"/>
            <w:shd w:val="clear" w:color="auto" w:fill="FFFFFF"/>
            <w:vAlign w:val="center"/>
          </w:tcPr>
          <w:p>
            <w:pPr>
              <w:jc w:val="left"/>
              <w:rPr>
                <w:rFonts w:hint="default" w:ascii="Tahoma" w:hAnsi="Tahoma" w:eastAsia="Tahoma" w:cs="Tahoma"/>
                <w:i w:val="0"/>
                <w:color w:val="000000"/>
                <w:sz w:val="16"/>
                <w:szCs w:val="16"/>
                <w:u w:val="none"/>
              </w:rPr>
            </w:pPr>
          </w:p>
        </w:tc>
        <w:tc>
          <w:tcPr>
            <w:tcW w:w="949" w:type="dxa"/>
            <w:shd w:val="clear" w:color="auto" w:fill="FFFFFF"/>
            <w:vAlign w:val="center"/>
          </w:tcPr>
          <w:p>
            <w:pPr>
              <w:jc w:val="left"/>
              <w:rPr>
                <w:rFonts w:hint="default" w:ascii="Tahoma" w:hAnsi="Tahoma" w:eastAsia="Tahoma" w:cs="Tahoma"/>
                <w:i w:val="0"/>
                <w:color w:val="000000"/>
                <w:sz w:val="16"/>
                <w:szCs w:val="16"/>
                <w:u w:val="none"/>
              </w:rPr>
            </w:pPr>
          </w:p>
        </w:tc>
        <w:tc>
          <w:tcPr>
            <w:tcW w:w="948"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06" w:type="dxa"/>
            <w:gridSpan w:val="4"/>
            <w:tcBorders>
              <w:bottom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部门：黄石港区江北管理区</w:t>
            </w:r>
          </w:p>
        </w:tc>
        <w:tc>
          <w:tcPr>
            <w:tcW w:w="1766"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59"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49"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949" w:type="dxa"/>
            <w:tcBorders>
              <w:bottom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897" w:type="dxa"/>
            <w:gridSpan w:val="2"/>
            <w:tcBorders>
              <w:bottom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06"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66"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95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94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94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94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948"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57" w:type="dxa"/>
            <w:gridSpan w:val="3"/>
            <w:vMerge w:val="restart"/>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3849" w:type="dxa"/>
            <w:vMerge w:val="restart"/>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6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5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8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76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0" w:hRule="atLeast"/>
        </w:trPr>
        <w:tc>
          <w:tcPr>
            <w:tcW w:w="2357" w:type="dxa"/>
            <w:gridSpan w:val="3"/>
            <w:vMerge w:val="continue"/>
            <w:tcBorders>
              <w:left w:val="single" w:color="000000" w:sz="4" w:space="0"/>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38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1766"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5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9"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c>
          <w:tcPr>
            <w:tcW w:w="948" w:type="dxa"/>
            <w:vMerge w:val="continue"/>
            <w:tcBorders>
              <w:bottom w:val="single" w:color="000000" w:sz="4" w:space="0"/>
              <w:right w:val="single" w:color="000000" w:sz="4" w:space="0"/>
            </w:tcBorders>
            <w:shd w:val="clear" w:color="auto" w:fill="C0C0C0"/>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06"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66"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48" w:type="dxa"/>
            <w:tcBorders>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6206" w:type="dxa"/>
            <w:gridSpan w:val="4"/>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1,086.05</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1,086.05</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w:t>
            </w:r>
          </w:p>
        </w:tc>
        <w:tc>
          <w:tcPr>
            <w:tcW w:w="3849"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一般公共服务支出</w:t>
            </w:r>
          </w:p>
        </w:tc>
        <w:tc>
          <w:tcPr>
            <w:tcW w:w="176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33.00</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33.00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20103</w:t>
            </w:r>
          </w:p>
        </w:tc>
        <w:tc>
          <w:tcPr>
            <w:tcW w:w="3849"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政府办公厅（室）及相关机构事务</w:t>
            </w:r>
          </w:p>
        </w:tc>
        <w:tc>
          <w:tcPr>
            <w:tcW w:w="176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2010308</w:t>
            </w:r>
          </w:p>
        </w:tc>
        <w:tc>
          <w:tcPr>
            <w:tcW w:w="3849"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信访事务</w:t>
            </w:r>
          </w:p>
        </w:tc>
        <w:tc>
          <w:tcPr>
            <w:tcW w:w="1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20199</w:t>
            </w:r>
          </w:p>
        </w:tc>
        <w:tc>
          <w:tcPr>
            <w:tcW w:w="3849"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其他一般公共服务支出</w:t>
            </w:r>
          </w:p>
        </w:tc>
        <w:tc>
          <w:tcPr>
            <w:tcW w:w="176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3849"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1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w:t>
            </w:r>
          </w:p>
        </w:tc>
        <w:tc>
          <w:tcPr>
            <w:tcW w:w="3849"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城乡社区支出</w:t>
            </w:r>
          </w:p>
        </w:tc>
        <w:tc>
          <w:tcPr>
            <w:tcW w:w="176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1,043.44</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1,043.44</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21201</w:t>
            </w:r>
          </w:p>
        </w:tc>
        <w:tc>
          <w:tcPr>
            <w:tcW w:w="3849"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城乡社区管理事务</w:t>
            </w:r>
          </w:p>
        </w:tc>
        <w:tc>
          <w:tcPr>
            <w:tcW w:w="176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973.44</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973.44</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3849"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829.67</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829.67</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2120102</w:t>
            </w:r>
          </w:p>
        </w:tc>
        <w:tc>
          <w:tcPr>
            <w:tcW w:w="3849"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6.53</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6.53</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2120199</w:t>
            </w:r>
          </w:p>
        </w:tc>
        <w:tc>
          <w:tcPr>
            <w:tcW w:w="3849"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1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137.23</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137.23</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21203</w:t>
            </w:r>
          </w:p>
        </w:tc>
        <w:tc>
          <w:tcPr>
            <w:tcW w:w="3849"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城乡社区公共设施</w:t>
            </w:r>
          </w:p>
        </w:tc>
        <w:tc>
          <w:tcPr>
            <w:tcW w:w="176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70.00</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70.00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2120303</w:t>
            </w:r>
          </w:p>
        </w:tc>
        <w:tc>
          <w:tcPr>
            <w:tcW w:w="3849"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1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w:t>
            </w:r>
          </w:p>
        </w:tc>
        <w:tc>
          <w:tcPr>
            <w:tcW w:w="3849"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交通运输支出</w:t>
            </w:r>
          </w:p>
        </w:tc>
        <w:tc>
          <w:tcPr>
            <w:tcW w:w="176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9.61</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9.61</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21401</w:t>
            </w:r>
          </w:p>
        </w:tc>
        <w:tc>
          <w:tcPr>
            <w:tcW w:w="3849" w:type="dxa"/>
            <w:tcBorders>
              <w:bottom w:val="single" w:color="000000" w:sz="4" w:space="0"/>
              <w:right w:val="single" w:color="000000"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公路水路运输</w:t>
            </w:r>
          </w:p>
        </w:tc>
        <w:tc>
          <w:tcPr>
            <w:tcW w:w="1766"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9.61</w:t>
            </w:r>
          </w:p>
        </w:tc>
        <w:tc>
          <w:tcPr>
            <w:tcW w:w="95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9.61</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2357" w:type="dxa"/>
            <w:gridSpan w:val="3"/>
            <w:tcBorders>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2140104</w:t>
            </w:r>
          </w:p>
        </w:tc>
        <w:tc>
          <w:tcPr>
            <w:tcW w:w="3849" w:type="dxa"/>
            <w:tcBorders>
              <w:bottom w:val="single" w:color="000000" w:sz="4" w:space="0"/>
              <w:right w:val="single" w:color="000000" w:sz="4" w:space="0"/>
            </w:tcBorders>
            <w:shd w:val="clear" w:color="auto" w:fill="CCFFFF"/>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公路建设</w:t>
            </w:r>
          </w:p>
        </w:tc>
        <w:tc>
          <w:tcPr>
            <w:tcW w:w="1766"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w:t>
            </w:r>
          </w:p>
        </w:tc>
        <w:tc>
          <w:tcPr>
            <w:tcW w:w="95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9"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948" w:type="dxa"/>
            <w:tcBorders>
              <w:bottom w:val="single" w:color="000000" w:sz="4" w:space="0"/>
              <w:right w:val="single" w:color="000000" w:sz="4" w:space="0"/>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四、财政拨款收入支出决算总表</w:t>
      </w:r>
    </w:p>
    <w:tbl>
      <w:tblPr>
        <w:tblStyle w:val="6"/>
        <w:tblW w:w="15124" w:type="dxa"/>
        <w:jc w:val="center"/>
        <w:tblLayout w:type="fixed"/>
        <w:tblCellMar>
          <w:top w:w="0" w:type="dxa"/>
          <w:left w:w="0" w:type="dxa"/>
          <w:bottom w:w="0" w:type="dxa"/>
          <w:right w:w="0" w:type="dxa"/>
        </w:tblCellMar>
      </w:tblPr>
      <w:tblGrid>
        <w:gridCol w:w="3435"/>
        <w:gridCol w:w="584"/>
        <w:gridCol w:w="1757"/>
        <w:gridCol w:w="3087"/>
        <w:gridCol w:w="469"/>
        <w:gridCol w:w="1411"/>
        <w:gridCol w:w="813"/>
        <w:gridCol w:w="813"/>
        <w:gridCol w:w="2755"/>
      </w:tblGrid>
      <w:tr>
        <w:tblPrEx>
          <w:tblCellMar>
            <w:top w:w="0" w:type="dxa"/>
            <w:left w:w="0" w:type="dxa"/>
            <w:bottom w:w="0" w:type="dxa"/>
            <w:right w:w="0" w:type="dxa"/>
          </w:tblCellMar>
        </w:tblPrEx>
        <w:trPr>
          <w:trHeight w:val="390" w:hRule="atLeast"/>
          <w:jc w:val="center"/>
        </w:trPr>
        <w:tc>
          <w:tcPr>
            <w:tcW w:w="15124"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30"/>
                <w:szCs w:val="30"/>
                <w:u w:val="none"/>
                <w:lang w:val="en-US" w:eastAsia="zh-CN" w:bidi="ar"/>
              </w:rPr>
              <w:t>财政拨款收入支出决算总表</w:t>
            </w:r>
          </w:p>
        </w:tc>
      </w:tr>
      <w:tr>
        <w:tblPrEx>
          <w:tblCellMar>
            <w:top w:w="0" w:type="dxa"/>
            <w:left w:w="0" w:type="dxa"/>
            <w:bottom w:w="0" w:type="dxa"/>
            <w:right w:w="0" w:type="dxa"/>
          </w:tblCellMar>
        </w:tblPrEx>
        <w:trPr>
          <w:trHeight w:val="255" w:hRule="atLeast"/>
          <w:jc w:val="center"/>
        </w:trPr>
        <w:tc>
          <w:tcPr>
            <w:tcW w:w="3435" w:type="dxa"/>
            <w:tcBorders>
              <w:top w:val="nil"/>
              <w:left w:val="nil"/>
              <w:bottom w:val="nil"/>
              <w:right w:val="nil"/>
            </w:tcBorders>
            <w:tcMar>
              <w:top w:w="15" w:type="dxa"/>
              <w:left w:w="15" w:type="dxa"/>
              <w:right w:w="15" w:type="dxa"/>
            </w:tcMar>
            <w:vAlign w:val="center"/>
          </w:tcPr>
          <w:p>
            <w:pPr>
              <w:jc w:val="left"/>
              <w:rPr>
                <w:rFonts w:hint="eastAsia" w:ascii="Arial" w:hAnsi="Arial" w:cs="Arial"/>
                <w:i w:val="0"/>
                <w:color w:val="000000"/>
                <w:sz w:val="20"/>
                <w:szCs w:val="20"/>
                <w:u w:val="none"/>
              </w:rPr>
            </w:pPr>
          </w:p>
        </w:tc>
        <w:tc>
          <w:tcPr>
            <w:tcW w:w="584"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757"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3087"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469"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411"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813"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813"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2755" w:type="dxa"/>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公开04表</w:t>
            </w:r>
          </w:p>
        </w:tc>
      </w:tr>
      <w:tr>
        <w:tblPrEx>
          <w:tblCellMar>
            <w:top w:w="0" w:type="dxa"/>
            <w:left w:w="0" w:type="dxa"/>
            <w:bottom w:w="0" w:type="dxa"/>
            <w:right w:w="0" w:type="dxa"/>
          </w:tblCellMar>
        </w:tblPrEx>
        <w:trPr>
          <w:trHeight w:val="255" w:hRule="atLeast"/>
          <w:jc w:val="center"/>
        </w:trPr>
        <w:tc>
          <w:tcPr>
            <w:tcW w:w="3435" w:type="dxa"/>
            <w:tcBorders>
              <w:top w:val="nil"/>
              <w:left w:val="nil"/>
              <w:bottom w:val="nil"/>
              <w:right w:val="nil"/>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部门：黄石港区江北管理区</w:t>
            </w:r>
          </w:p>
        </w:tc>
        <w:tc>
          <w:tcPr>
            <w:tcW w:w="584"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757"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3087" w:type="dxa"/>
            <w:tcBorders>
              <w:top w:val="nil"/>
              <w:left w:val="nil"/>
              <w:bottom w:val="nil"/>
              <w:right w:val="nil"/>
            </w:tcBorders>
            <w:tcMar>
              <w:top w:w="15" w:type="dxa"/>
              <w:left w:w="15" w:type="dxa"/>
              <w:right w:w="15" w:type="dxa"/>
            </w:tcMar>
            <w:vAlign w:val="center"/>
          </w:tcPr>
          <w:p>
            <w:pPr>
              <w:jc w:val="center"/>
              <w:rPr>
                <w:rFonts w:hint="default" w:ascii="Arial" w:hAnsi="Arial" w:cs="Arial" w:eastAsiaTheme="minorEastAsia"/>
                <w:i w:val="0"/>
                <w:color w:val="000000"/>
                <w:sz w:val="20"/>
                <w:szCs w:val="20"/>
                <w:u w:val="none"/>
                <w:lang w:val="en-US" w:eastAsia="zh-CN"/>
              </w:rPr>
            </w:pPr>
          </w:p>
        </w:tc>
        <w:tc>
          <w:tcPr>
            <w:tcW w:w="469"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411"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813"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813"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2755" w:type="dxa"/>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77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9348"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292" w:hRule="atLeast"/>
          <w:jc w:val="center"/>
        </w:trPr>
        <w:tc>
          <w:tcPr>
            <w:tcW w:w="3435"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84"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757"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087" w:type="dxa"/>
            <w:vMerge w:val="restart"/>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69"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1411"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13"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一般公共预算财政拨款</w:t>
            </w:r>
          </w:p>
        </w:tc>
        <w:tc>
          <w:tcPr>
            <w:tcW w:w="813"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政府性基金预算财政拨款</w:t>
            </w:r>
          </w:p>
        </w:tc>
        <w:tc>
          <w:tcPr>
            <w:tcW w:w="2755"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国有资本经营预算财政拨款</w:t>
            </w:r>
          </w:p>
        </w:tc>
      </w:tr>
      <w:tr>
        <w:tblPrEx>
          <w:tblCellMar>
            <w:top w:w="0" w:type="dxa"/>
            <w:left w:w="0" w:type="dxa"/>
            <w:bottom w:w="0" w:type="dxa"/>
            <w:right w:w="0" w:type="dxa"/>
          </w:tblCellMar>
        </w:tblPrEx>
        <w:trPr>
          <w:trHeight w:val="615" w:hRule="atLeast"/>
          <w:jc w:val="center"/>
        </w:trPr>
        <w:tc>
          <w:tcPr>
            <w:tcW w:w="3435"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08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1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87" w:type="dxa"/>
            <w:tcBorders>
              <w:top w:val="nil"/>
              <w:left w:val="nil"/>
              <w:bottom w:val="single" w:color="000000" w:sz="4" w:space="0"/>
              <w:right w:val="single" w:color="000000" w:sz="4" w:space="0"/>
            </w:tcBorders>
            <w:tcMar>
              <w:top w:w="15" w:type="dxa"/>
              <w:left w:w="15" w:type="dxa"/>
              <w:right w:w="15" w:type="dxa"/>
            </w:tcMar>
            <w:vAlign w:val="bottom"/>
          </w:tcPr>
          <w:p>
            <w:pPr>
              <w:keepNext w:val="0"/>
              <w:keepLines w:val="0"/>
              <w:widowControl/>
              <w:suppressLineNumbers w:val="0"/>
              <w:jc w:val="both"/>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630.67</w:t>
            </w: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三、国有资本经营预算财政拨款</w:t>
            </w: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591.06</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591.06</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9.61</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十四、资源勘探工业信息等支出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二十一、国有资本经营预算支出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二十二、灾害防治及应急管理支出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二十三、其他支出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二十四、债务还本支出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二十五、债务付息支出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二十六、抗疫特别国债安排的支出</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630.67</w:t>
            </w: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630.67</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630.67</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一般公共预算财政拨款</w:t>
            </w: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政府性基金预算财政拨款</w:t>
            </w: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国有资本经营预算财政拨款</w:t>
            </w: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43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175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630.67</w:t>
            </w:r>
          </w:p>
        </w:tc>
        <w:tc>
          <w:tcPr>
            <w:tcW w:w="308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6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1411"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630.67</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630.67</w:t>
            </w:r>
          </w:p>
        </w:tc>
        <w:tc>
          <w:tcPr>
            <w:tcW w:w="81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2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bl>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一般公共预算财政拨款支出决算表</w:t>
      </w:r>
    </w:p>
    <w:tbl>
      <w:tblPr>
        <w:tblStyle w:val="6"/>
        <w:tblW w:w="14060" w:type="dxa"/>
        <w:jc w:val="center"/>
        <w:tblLayout w:type="fixed"/>
        <w:tblCellMar>
          <w:top w:w="0" w:type="dxa"/>
          <w:left w:w="0" w:type="dxa"/>
          <w:bottom w:w="0" w:type="dxa"/>
          <w:right w:w="0" w:type="dxa"/>
        </w:tblCellMar>
      </w:tblPr>
      <w:tblGrid>
        <w:gridCol w:w="383"/>
        <w:gridCol w:w="1165"/>
        <w:gridCol w:w="1165"/>
        <w:gridCol w:w="4755"/>
        <w:gridCol w:w="3546"/>
        <w:gridCol w:w="1523"/>
        <w:gridCol w:w="1523"/>
      </w:tblGrid>
      <w:tr>
        <w:tblPrEx>
          <w:tblCellMar>
            <w:top w:w="0" w:type="dxa"/>
            <w:left w:w="0" w:type="dxa"/>
            <w:bottom w:w="0" w:type="dxa"/>
            <w:right w:w="0" w:type="dxa"/>
          </w:tblCellMar>
        </w:tblPrEx>
        <w:trPr>
          <w:trHeight w:val="414" w:hRule="atLeast"/>
          <w:jc w:val="center"/>
        </w:trPr>
        <w:tc>
          <w:tcPr>
            <w:tcW w:w="14060" w:type="dxa"/>
            <w:gridSpan w:val="7"/>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一般公共预算财政拨款支出决算表</w:t>
            </w:r>
          </w:p>
        </w:tc>
      </w:tr>
      <w:tr>
        <w:tblPrEx>
          <w:tblCellMar>
            <w:top w:w="0" w:type="dxa"/>
            <w:left w:w="0" w:type="dxa"/>
            <w:bottom w:w="0" w:type="dxa"/>
            <w:right w:w="0" w:type="dxa"/>
          </w:tblCellMar>
        </w:tblPrEx>
        <w:trPr>
          <w:trHeight w:val="334" w:hRule="atLeast"/>
          <w:jc w:val="center"/>
        </w:trPr>
        <w:tc>
          <w:tcPr>
            <w:tcW w:w="383" w:type="dxa"/>
            <w:tcBorders>
              <w:top w:val="nil"/>
              <w:left w:val="nil"/>
              <w:bottom w:val="nil"/>
              <w:right w:val="nil"/>
            </w:tcBorders>
            <w:tcMar>
              <w:top w:w="15" w:type="dxa"/>
              <w:left w:w="15" w:type="dxa"/>
              <w:right w:w="15" w:type="dxa"/>
            </w:tcMar>
            <w:vAlign w:val="center"/>
          </w:tcPr>
          <w:p>
            <w:pPr>
              <w:jc w:val="left"/>
              <w:rPr>
                <w:rFonts w:hint="eastAsia" w:ascii="Arial" w:hAnsi="Arial" w:cs="Arial"/>
                <w:i w:val="0"/>
                <w:color w:val="000000"/>
                <w:sz w:val="20"/>
                <w:szCs w:val="20"/>
                <w:u w:val="none"/>
              </w:rPr>
            </w:pPr>
          </w:p>
        </w:tc>
        <w:tc>
          <w:tcPr>
            <w:tcW w:w="1165"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165"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4755"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3546"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523" w:type="dxa"/>
            <w:tcBorders>
              <w:top w:val="nil"/>
              <w:left w:val="nil"/>
              <w:bottom w:val="nil"/>
              <w:right w:val="nil"/>
            </w:tcBorders>
            <w:tcMar>
              <w:top w:w="15" w:type="dxa"/>
              <w:left w:w="15" w:type="dxa"/>
              <w:right w:w="15" w:type="dxa"/>
            </w:tcMar>
            <w:vAlign w:val="center"/>
          </w:tcPr>
          <w:p>
            <w:pPr>
              <w:jc w:val="left"/>
              <w:rPr>
                <w:rFonts w:hint="eastAsia" w:ascii="宋体" w:hAnsi="宋体" w:eastAsia="宋体" w:cs="宋体"/>
                <w:i w:val="0"/>
                <w:color w:val="000000"/>
                <w:sz w:val="20"/>
                <w:szCs w:val="20"/>
                <w:u w:val="none"/>
              </w:rPr>
            </w:pPr>
          </w:p>
        </w:tc>
        <w:tc>
          <w:tcPr>
            <w:tcW w:w="1523" w:type="dxa"/>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公开05表</w:t>
            </w:r>
          </w:p>
        </w:tc>
      </w:tr>
      <w:tr>
        <w:tblPrEx>
          <w:tblCellMar>
            <w:top w:w="0" w:type="dxa"/>
            <w:left w:w="0" w:type="dxa"/>
            <w:bottom w:w="0" w:type="dxa"/>
            <w:right w:w="0" w:type="dxa"/>
          </w:tblCellMar>
        </w:tblPrEx>
        <w:trPr>
          <w:trHeight w:val="433" w:hRule="atLeast"/>
          <w:jc w:val="center"/>
        </w:trPr>
        <w:tc>
          <w:tcPr>
            <w:tcW w:w="7468" w:type="dxa"/>
            <w:gridSpan w:val="4"/>
            <w:tcBorders>
              <w:top w:val="nil"/>
              <w:left w:val="nil"/>
              <w:bottom w:val="nil"/>
              <w:right w:val="nil"/>
            </w:tcBorders>
            <w:tcMar>
              <w:top w:w="15" w:type="dxa"/>
              <w:left w:w="15" w:type="dxa"/>
              <w:right w:w="15" w:type="dxa"/>
            </w:tcMar>
            <w:vAlign w:val="center"/>
          </w:tcPr>
          <w:p>
            <w:pPr>
              <w:jc w:val="both"/>
            </w:pPr>
            <w:r>
              <w:rPr>
                <w:rFonts w:hint="eastAsia" w:ascii="宋体" w:hAnsi="宋体" w:eastAsia="宋体" w:cs="宋体"/>
                <w:i w:val="0"/>
                <w:color w:val="000000"/>
                <w:kern w:val="0"/>
                <w:sz w:val="22"/>
                <w:szCs w:val="22"/>
                <w:u w:val="none"/>
                <w:lang w:val="en-US" w:eastAsia="zh-CN" w:bidi="ar"/>
              </w:rPr>
              <w:t>部门：黄石港区江北管理区</w:t>
            </w:r>
          </w:p>
        </w:tc>
        <w:tc>
          <w:tcPr>
            <w:tcW w:w="3546" w:type="dxa"/>
            <w:tcBorders>
              <w:top w:val="nil"/>
              <w:left w:val="nil"/>
              <w:bottom w:val="nil"/>
              <w:right w:val="nil"/>
            </w:tcBorders>
            <w:tcMar>
              <w:top w:w="15" w:type="dxa"/>
              <w:left w:w="15" w:type="dxa"/>
              <w:right w:w="15" w:type="dxa"/>
            </w:tcMar>
            <w:vAlign w:val="center"/>
          </w:tcPr>
          <w:p>
            <w:pPr>
              <w:jc w:val="center"/>
              <w:rPr>
                <w:rFonts w:hint="default" w:ascii="Arial" w:hAnsi="Arial" w:cs="Arial" w:eastAsiaTheme="minorEastAsia"/>
                <w:i w:val="0"/>
                <w:color w:val="000000"/>
                <w:sz w:val="20"/>
                <w:szCs w:val="20"/>
                <w:u w:val="none"/>
                <w:lang w:val="en-US" w:eastAsia="zh-CN"/>
              </w:rPr>
            </w:pPr>
          </w:p>
        </w:tc>
        <w:tc>
          <w:tcPr>
            <w:tcW w:w="1523"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523" w:type="dxa"/>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62" w:hRule="atLeast"/>
          <w:jc w:val="center"/>
        </w:trPr>
        <w:tc>
          <w:tcPr>
            <w:tcW w:w="7468"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592"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44" w:hRule="atLeast"/>
          <w:jc w:val="center"/>
        </w:trPr>
        <w:tc>
          <w:tcPr>
            <w:tcW w:w="271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4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54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44" w:hRule="atLeast"/>
          <w:jc w:val="center"/>
        </w:trPr>
        <w:tc>
          <w:tcPr>
            <w:tcW w:w="746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54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44" w:hRule="atLeast"/>
          <w:jc w:val="center"/>
        </w:trPr>
        <w:tc>
          <w:tcPr>
            <w:tcW w:w="746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54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630.67</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630.67</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4" w:hRule="atLeast"/>
          <w:jc w:val="center"/>
        </w:trPr>
        <w:tc>
          <w:tcPr>
            <w:tcW w:w="271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w:t>
            </w:r>
          </w:p>
        </w:tc>
        <w:tc>
          <w:tcPr>
            <w:tcW w:w="4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一般公共服务支出</w:t>
            </w:r>
          </w:p>
        </w:tc>
        <w:tc>
          <w:tcPr>
            <w:tcW w:w="354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4" w:hRule="atLeast"/>
          <w:jc w:val="center"/>
        </w:trPr>
        <w:tc>
          <w:tcPr>
            <w:tcW w:w="271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20199</w:t>
            </w:r>
          </w:p>
        </w:tc>
        <w:tc>
          <w:tcPr>
            <w:tcW w:w="4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其他一般公共服务支出</w:t>
            </w:r>
          </w:p>
        </w:tc>
        <w:tc>
          <w:tcPr>
            <w:tcW w:w="354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30.00</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4" w:hRule="atLeast"/>
          <w:jc w:val="center"/>
        </w:trPr>
        <w:tc>
          <w:tcPr>
            <w:tcW w:w="271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2019999</w:t>
            </w:r>
          </w:p>
        </w:tc>
        <w:tc>
          <w:tcPr>
            <w:tcW w:w="4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其他一般公共服务支出</w:t>
            </w:r>
          </w:p>
        </w:tc>
        <w:tc>
          <w:tcPr>
            <w:tcW w:w="354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30.00</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4" w:hRule="atLeast"/>
          <w:jc w:val="center"/>
        </w:trPr>
        <w:tc>
          <w:tcPr>
            <w:tcW w:w="271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w:t>
            </w:r>
          </w:p>
        </w:tc>
        <w:tc>
          <w:tcPr>
            <w:tcW w:w="4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城乡社区支出</w:t>
            </w:r>
          </w:p>
        </w:tc>
        <w:tc>
          <w:tcPr>
            <w:tcW w:w="354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591.06</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591.06</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4" w:hRule="atLeast"/>
          <w:jc w:val="center"/>
        </w:trPr>
        <w:tc>
          <w:tcPr>
            <w:tcW w:w="271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21201</w:t>
            </w:r>
          </w:p>
        </w:tc>
        <w:tc>
          <w:tcPr>
            <w:tcW w:w="4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城乡社区管理事务</w:t>
            </w:r>
          </w:p>
        </w:tc>
        <w:tc>
          <w:tcPr>
            <w:tcW w:w="354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521.06</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521.06</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44" w:hRule="atLeast"/>
          <w:jc w:val="center"/>
        </w:trPr>
        <w:tc>
          <w:tcPr>
            <w:tcW w:w="271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2120101</w:t>
            </w:r>
          </w:p>
        </w:tc>
        <w:tc>
          <w:tcPr>
            <w:tcW w:w="4755"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354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377.30</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377.30</w:t>
            </w:r>
          </w:p>
        </w:tc>
        <w:tc>
          <w:tcPr>
            <w:tcW w:w="1523"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62" w:hRule="atLeast"/>
          <w:jc w:val="center"/>
        </w:trPr>
        <w:tc>
          <w:tcPr>
            <w:tcW w:w="2713" w:type="dxa"/>
            <w:gridSpan w:val="3"/>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2120102</w:t>
            </w:r>
          </w:p>
        </w:tc>
        <w:tc>
          <w:tcPr>
            <w:tcW w:w="4755"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3546"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6.53</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6.53</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2" w:hRule="atLeast"/>
          <w:jc w:val="center"/>
        </w:trPr>
        <w:tc>
          <w:tcPr>
            <w:tcW w:w="2713" w:type="dxa"/>
            <w:gridSpan w:val="3"/>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2120199</w:t>
            </w:r>
          </w:p>
        </w:tc>
        <w:tc>
          <w:tcPr>
            <w:tcW w:w="4755"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其他城乡社区管理事务支出</w:t>
            </w:r>
          </w:p>
        </w:tc>
        <w:tc>
          <w:tcPr>
            <w:tcW w:w="3546"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137.23</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137.23</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2" w:hRule="atLeast"/>
          <w:jc w:val="center"/>
        </w:trPr>
        <w:tc>
          <w:tcPr>
            <w:tcW w:w="2713" w:type="dxa"/>
            <w:gridSpan w:val="3"/>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21203</w:t>
            </w:r>
          </w:p>
        </w:tc>
        <w:tc>
          <w:tcPr>
            <w:tcW w:w="4755"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城乡社区公共设施</w:t>
            </w:r>
          </w:p>
        </w:tc>
        <w:tc>
          <w:tcPr>
            <w:tcW w:w="3546"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70.00</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70.00</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2" w:hRule="atLeast"/>
          <w:jc w:val="center"/>
        </w:trPr>
        <w:tc>
          <w:tcPr>
            <w:tcW w:w="2713" w:type="dxa"/>
            <w:gridSpan w:val="3"/>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2120303</w:t>
            </w:r>
          </w:p>
        </w:tc>
        <w:tc>
          <w:tcPr>
            <w:tcW w:w="4755"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小城镇基础设施建设</w:t>
            </w:r>
          </w:p>
        </w:tc>
        <w:tc>
          <w:tcPr>
            <w:tcW w:w="3546"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70.00</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70.00</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2" w:hRule="atLeast"/>
          <w:jc w:val="center"/>
        </w:trPr>
        <w:tc>
          <w:tcPr>
            <w:tcW w:w="2713" w:type="dxa"/>
            <w:gridSpan w:val="3"/>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214</w:t>
            </w:r>
          </w:p>
        </w:tc>
        <w:tc>
          <w:tcPr>
            <w:tcW w:w="4755"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交通运输支出</w:t>
            </w:r>
          </w:p>
        </w:tc>
        <w:tc>
          <w:tcPr>
            <w:tcW w:w="3546"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9.61</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9.61</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2" w:hRule="atLeast"/>
          <w:jc w:val="center"/>
        </w:trPr>
        <w:tc>
          <w:tcPr>
            <w:tcW w:w="2713" w:type="dxa"/>
            <w:gridSpan w:val="3"/>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21401</w:t>
            </w:r>
          </w:p>
        </w:tc>
        <w:tc>
          <w:tcPr>
            <w:tcW w:w="4755"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公路水路运输</w:t>
            </w:r>
          </w:p>
        </w:tc>
        <w:tc>
          <w:tcPr>
            <w:tcW w:w="3546"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9.61</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9.61</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52" w:hRule="atLeast"/>
          <w:jc w:val="center"/>
        </w:trPr>
        <w:tc>
          <w:tcPr>
            <w:tcW w:w="2713" w:type="dxa"/>
            <w:gridSpan w:val="3"/>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2140104</w:t>
            </w:r>
          </w:p>
        </w:tc>
        <w:tc>
          <w:tcPr>
            <w:tcW w:w="4755"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 xml:space="preserve">  公路建设</w:t>
            </w:r>
          </w:p>
        </w:tc>
        <w:tc>
          <w:tcPr>
            <w:tcW w:w="3546"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9.61</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9.61</w:t>
            </w:r>
          </w:p>
        </w:tc>
        <w:tc>
          <w:tcPr>
            <w:tcW w:w="152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b/>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0.00</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一般公共预算财政拨款基本支出决算</w:t>
      </w:r>
      <w:r>
        <w:rPr>
          <w:rFonts w:hint="eastAsia" w:ascii="楷体" w:hAnsi="楷体" w:eastAsia="楷体" w:cs="楷体"/>
          <w:bCs/>
          <w:sz w:val="32"/>
          <w:szCs w:val="32"/>
          <w:highlight w:val="none"/>
          <w:u w:val="none"/>
          <w:lang w:eastAsia="zh-CN"/>
        </w:rPr>
        <w:t>明细</w:t>
      </w:r>
      <w:r>
        <w:rPr>
          <w:rFonts w:hint="eastAsia" w:ascii="楷体" w:hAnsi="楷体" w:eastAsia="楷体" w:cs="楷体"/>
          <w:bCs/>
          <w:sz w:val="32"/>
          <w:szCs w:val="32"/>
          <w:highlight w:val="none"/>
          <w:u w:val="none"/>
        </w:rPr>
        <w:t>表</w:t>
      </w:r>
    </w:p>
    <w:tbl>
      <w:tblPr>
        <w:tblStyle w:val="6"/>
        <w:tblW w:w="15548" w:type="dxa"/>
        <w:jc w:val="center"/>
        <w:tblLayout w:type="fixed"/>
        <w:tblCellMar>
          <w:top w:w="0" w:type="dxa"/>
          <w:left w:w="0" w:type="dxa"/>
          <w:bottom w:w="0" w:type="dxa"/>
          <w:right w:w="0" w:type="dxa"/>
        </w:tblCellMar>
      </w:tblPr>
      <w:tblGrid>
        <w:gridCol w:w="612"/>
        <w:gridCol w:w="2984"/>
        <w:gridCol w:w="1518"/>
        <w:gridCol w:w="612"/>
        <w:gridCol w:w="2347"/>
        <w:gridCol w:w="1518"/>
        <w:gridCol w:w="612"/>
        <w:gridCol w:w="3826"/>
        <w:gridCol w:w="1519"/>
      </w:tblGrid>
      <w:tr>
        <w:tblPrEx>
          <w:tblCellMar>
            <w:top w:w="0" w:type="dxa"/>
            <w:left w:w="0" w:type="dxa"/>
            <w:bottom w:w="0" w:type="dxa"/>
            <w:right w:w="0" w:type="dxa"/>
          </w:tblCellMar>
        </w:tblPrEx>
        <w:trPr>
          <w:trHeight w:val="390" w:hRule="atLeast"/>
          <w:jc w:val="center"/>
        </w:trPr>
        <w:tc>
          <w:tcPr>
            <w:tcW w:w="15548" w:type="dxa"/>
            <w:gridSpan w:val="9"/>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30"/>
                <w:szCs w:val="30"/>
                <w:u w:val="none"/>
                <w:lang w:val="en-US" w:eastAsia="zh-CN" w:bidi="ar"/>
              </w:rPr>
              <w:t>一般公共预算财政拨款基本支出决算明细表</w:t>
            </w:r>
          </w:p>
        </w:tc>
      </w:tr>
      <w:tr>
        <w:tblPrEx>
          <w:tblCellMar>
            <w:top w:w="0" w:type="dxa"/>
            <w:left w:w="0" w:type="dxa"/>
            <w:bottom w:w="0" w:type="dxa"/>
            <w:right w:w="0" w:type="dxa"/>
          </w:tblCellMar>
        </w:tblPrEx>
        <w:trPr>
          <w:trHeight w:val="255" w:hRule="atLeast"/>
          <w:jc w:val="center"/>
        </w:trPr>
        <w:tc>
          <w:tcPr>
            <w:tcW w:w="612" w:type="dxa"/>
            <w:tcBorders>
              <w:top w:val="nil"/>
              <w:left w:val="nil"/>
              <w:bottom w:val="nil"/>
              <w:right w:val="nil"/>
            </w:tcBorders>
            <w:tcMar>
              <w:top w:w="15" w:type="dxa"/>
              <w:left w:w="15" w:type="dxa"/>
              <w:right w:w="15" w:type="dxa"/>
            </w:tcMar>
            <w:vAlign w:val="center"/>
          </w:tcPr>
          <w:p>
            <w:pPr>
              <w:jc w:val="left"/>
              <w:rPr>
                <w:rFonts w:hint="eastAsia" w:ascii="Arial" w:hAnsi="Arial" w:cs="Arial"/>
                <w:i w:val="0"/>
                <w:color w:val="000000"/>
                <w:sz w:val="20"/>
                <w:szCs w:val="20"/>
                <w:u w:val="none"/>
              </w:rPr>
            </w:pPr>
          </w:p>
        </w:tc>
        <w:tc>
          <w:tcPr>
            <w:tcW w:w="2984"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518"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612"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2347"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518"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612" w:type="dxa"/>
            <w:tcBorders>
              <w:top w:val="nil"/>
              <w:left w:val="nil"/>
              <w:bottom w:val="nil"/>
              <w:right w:val="nil"/>
            </w:tcBorders>
            <w:tcMar>
              <w:top w:w="15" w:type="dxa"/>
              <w:left w:w="15" w:type="dxa"/>
              <w:right w:w="15" w:type="dxa"/>
            </w:tcMar>
            <w:vAlign w:val="center"/>
          </w:tcPr>
          <w:p>
            <w:pPr>
              <w:jc w:val="left"/>
            </w:pPr>
          </w:p>
        </w:tc>
        <w:tc>
          <w:tcPr>
            <w:tcW w:w="3826"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519" w:type="dxa"/>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255" w:hRule="atLeast"/>
          <w:jc w:val="center"/>
        </w:trPr>
        <w:tc>
          <w:tcPr>
            <w:tcW w:w="5114" w:type="dxa"/>
            <w:gridSpan w:val="3"/>
            <w:tcBorders>
              <w:top w:val="nil"/>
              <w:left w:val="nil"/>
              <w:bottom w:val="nil"/>
              <w:right w:val="nil"/>
            </w:tcBorders>
            <w:tcMar>
              <w:top w:w="15" w:type="dxa"/>
              <w:left w:w="15" w:type="dxa"/>
              <w:right w:w="15" w:type="dxa"/>
            </w:tcMar>
            <w:vAlign w:val="center"/>
          </w:tcPr>
          <w:p>
            <w:pPr>
              <w:jc w:val="both"/>
            </w:pPr>
            <w:r>
              <w:rPr>
                <w:rFonts w:hint="eastAsia" w:ascii="宋体" w:hAnsi="宋体" w:eastAsia="宋体" w:cs="宋体"/>
                <w:i w:val="0"/>
                <w:color w:val="000000"/>
                <w:kern w:val="0"/>
                <w:sz w:val="20"/>
                <w:szCs w:val="20"/>
                <w:u w:val="none"/>
                <w:lang w:val="en-US" w:eastAsia="zh-CN" w:bidi="ar"/>
              </w:rPr>
              <w:t>部门：黄石港区江北管理区</w:t>
            </w:r>
          </w:p>
        </w:tc>
        <w:tc>
          <w:tcPr>
            <w:tcW w:w="612"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2347" w:type="dxa"/>
            <w:tcBorders>
              <w:top w:val="nil"/>
              <w:left w:val="nil"/>
              <w:bottom w:val="nil"/>
              <w:right w:val="nil"/>
            </w:tcBorders>
            <w:tcMar>
              <w:top w:w="15" w:type="dxa"/>
              <w:left w:w="15" w:type="dxa"/>
              <w:right w:w="15" w:type="dxa"/>
            </w:tcMar>
            <w:vAlign w:val="center"/>
          </w:tcPr>
          <w:p>
            <w:pPr>
              <w:jc w:val="center"/>
              <w:rPr>
                <w:rFonts w:hint="default" w:ascii="Arial" w:hAnsi="Arial" w:cs="Arial" w:eastAsiaTheme="minorEastAsia"/>
                <w:i w:val="0"/>
                <w:color w:val="000000"/>
                <w:sz w:val="20"/>
                <w:szCs w:val="20"/>
                <w:u w:val="none"/>
                <w:lang w:val="en-US" w:eastAsia="zh-CN"/>
              </w:rPr>
            </w:pPr>
          </w:p>
        </w:tc>
        <w:tc>
          <w:tcPr>
            <w:tcW w:w="1518"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612" w:type="dxa"/>
            <w:tcBorders>
              <w:top w:val="nil"/>
              <w:left w:val="nil"/>
              <w:bottom w:val="nil"/>
              <w:right w:val="nil"/>
            </w:tcBorders>
            <w:tcMar>
              <w:top w:w="15" w:type="dxa"/>
              <w:left w:w="15" w:type="dxa"/>
              <w:right w:w="15" w:type="dxa"/>
            </w:tcMar>
            <w:vAlign w:val="center"/>
          </w:tcPr>
          <w:p>
            <w:pPr>
              <w:jc w:val="center"/>
            </w:pPr>
          </w:p>
        </w:tc>
        <w:tc>
          <w:tcPr>
            <w:tcW w:w="3826"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519" w:type="dxa"/>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11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10434"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科目代码</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2"/>
                <w:szCs w:val="22"/>
                <w:u w:val="none"/>
                <w:lang w:val="en-US" w:eastAsia="zh-CN" w:bidi="ar"/>
              </w:rPr>
              <w:t>科目代码</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326.25</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301.33</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307</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104.84</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11.65</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30701</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8.12</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0.24</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30702</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30.91</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31001</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9.32</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31002</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2.66</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20.94</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0.15</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31003</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6.77</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31005</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31006</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0.45</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31007</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31008</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34.17</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31009</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31010</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81.51</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31011</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0.43</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31012</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31013</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31019</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31021</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31022</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31099</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20.55</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399</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0.43</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227.71</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39907</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4.49</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39908</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39909</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经常性赠与</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39910</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资本性赠与</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22"/>
                <w:szCs w:val="22"/>
                <w:u w:val="none"/>
                <w:lang w:val="en-US" w:eastAsia="zh-CN" w:bidi="ar"/>
              </w:rPr>
              <w:t>39999</w:t>
            </w: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jc w:val="left"/>
            </w:pP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612"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984"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23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18.21</w:t>
            </w:r>
          </w:p>
        </w:tc>
        <w:tc>
          <w:tcPr>
            <w:tcW w:w="612" w:type="dxa"/>
            <w:tcBorders>
              <w:top w:val="nil"/>
              <w:left w:val="nil"/>
              <w:bottom w:val="single" w:color="000000" w:sz="4" w:space="0"/>
              <w:right w:val="single" w:color="000000" w:sz="4" w:space="0"/>
            </w:tcBorders>
            <w:tcMar>
              <w:top w:w="15" w:type="dxa"/>
              <w:left w:w="15" w:type="dxa"/>
              <w:right w:w="15" w:type="dxa"/>
            </w:tcMar>
            <w:vAlign w:val="center"/>
          </w:tcPr>
          <w:p>
            <w:pPr>
              <w:jc w:val="left"/>
            </w:pPr>
          </w:p>
        </w:tc>
        <w:tc>
          <w:tcPr>
            <w:tcW w:w="382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596"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15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326.67</w:t>
            </w:r>
          </w:p>
        </w:tc>
        <w:tc>
          <w:tcPr>
            <w:tcW w:w="8915" w:type="dxa"/>
            <w:gridSpan w:val="5"/>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151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304.00</w:t>
            </w:r>
          </w:p>
        </w:tc>
      </w:tr>
    </w:tbl>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numPr>
          <w:ilvl w:val="0"/>
          <w:numId w:val="2"/>
        </w:numPr>
        <w:adjustRightInd w:val="0"/>
        <w:snapToGrid w:val="0"/>
        <w:spacing w:line="580" w:lineRule="atLeast"/>
        <w:ind w:left="0" w:leftChars="0"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一般公共预算财政拨款“三公”经费支出决算表</w:t>
      </w:r>
    </w:p>
    <w:tbl>
      <w:tblPr>
        <w:tblStyle w:val="6"/>
        <w:tblW w:w="15203" w:type="dxa"/>
        <w:jc w:val="center"/>
        <w:tblLayout w:type="fixed"/>
        <w:tblCellMar>
          <w:top w:w="0" w:type="dxa"/>
          <w:left w:w="0" w:type="dxa"/>
          <w:bottom w:w="0" w:type="dxa"/>
          <w:right w:w="0" w:type="dxa"/>
        </w:tblCellMar>
      </w:tblPr>
      <w:tblGrid>
        <w:gridCol w:w="1770"/>
        <w:gridCol w:w="1217"/>
        <w:gridCol w:w="1217"/>
        <w:gridCol w:w="1217"/>
        <w:gridCol w:w="1218"/>
        <w:gridCol w:w="1218"/>
        <w:gridCol w:w="1138"/>
        <w:gridCol w:w="1138"/>
        <w:gridCol w:w="1138"/>
        <w:gridCol w:w="1139"/>
        <w:gridCol w:w="1139"/>
        <w:gridCol w:w="1654"/>
      </w:tblGrid>
      <w:tr>
        <w:tblPrEx>
          <w:tblCellMar>
            <w:top w:w="0" w:type="dxa"/>
            <w:left w:w="0" w:type="dxa"/>
            <w:bottom w:w="0" w:type="dxa"/>
            <w:right w:w="0" w:type="dxa"/>
          </w:tblCellMar>
        </w:tblPrEx>
        <w:trPr>
          <w:trHeight w:val="390" w:hRule="atLeast"/>
          <w:jc w:val="center"/>
        </w:trPr>
        <w:tc>
          <w:tcPr>
            <w:tcW w:w="15203" w:type="dxa"/>
            <w:gridSpan w:val="12"/>
            <w:tcBorders>
              <w:top w:val="nil"/>
              <w:left w:val="nil"/>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0"/>
                <w:szCs w:val="30"/>
                <w:u w:val="none"/>
              </w:rPr>
            </w:pPr>
            <w:r>
              <w:rPr>
                <w:rFonts w:hint="eastAsia" w:ascii="黑体" w:hAnsi="宋体" w:eastAsia="黑体" w:cs="黑体"/>
                <w:i w:val="0"/>
                <w:color w:val="000000"/>
                <w:kern w:val="0"/>
                <w:sz w:val="44"/>
                <w:szCs w:val="44"/>
                <w:u w:val="none"/>
                <w:lang w:val="en-US" w:eastAsia="zh-CN" w:bidi="ar"/>
              </w:rPr>
              <w:t>财政拨款“三公”经费支出决算表</w:t>
            </w:r>
          </w:p>
        </w:tc>
      </w:tr>
      <w:tr>
        <w:tblPrEx>
          <w:tblCellMar>
            <w:top w:w="0" w:type="dxa"/>
            <w:left w:w="0" w:type="dxa"/>
            <w:bottom w:w="0" w:type="dxa"/>
            <w:right w:w="0" w:type="dxa"/>
          </w:tblCellMar>
        </w:tblPrEx>
        <w:trPr>
          <w:trHeight w:val="255" w:hRule="atLeast"/>
          <w:jc w:val="center"/>
        </w:trPr>
        <w:tc>
          <w:tcPr>
            <w:tcW w:w="1770" w:type="dxa"/>
            <w:tcBorders>
              <w:top w:val="nil"/>
              <w:left w:val="nil"/>
              <w:bottom w:val="nil"/>
              <w:right w:val="nil"/>
            </w:tcBorders>
            <w:tcMar>
              <w:top w:w="15" w:type="dxa"/>
              <w:left w:w="15" w:type="dxa"/>
              <w:right w:w="15" w:type="dxa"/>
            </w:tcMar>
            <w:vAlign w:val="center"/>
          </w:tcPr>
          <w:p>
            <w:pPr>
              <w:jc w:val="left"/>
              <w:rPr>
                <w:rFonts w:hint="eastAsia" w:ascii="Arial" w:hAnsi="Arial" w:cs="Arial"/>
                <w:i w:val="0"/>
                <w:color w:val="000000"/>
                <w:sz w:val="20"/>
                <w:szCs w:val="20"/>
                <w:u w:val="none"/>
              </w:rPr>
            </w:pPr>
          </w:p>
        </w:tc>
        <w:tc>
          <w:tcPr>
            <w:tcW w:w="1217"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217"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217"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218"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218"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138"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138"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138"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139"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139" w:type="dxa"/>
            <w:tcBorders>
              <w:top w:val="nil"/>
              <w:left w:val="nil"/>
              <w:bottom w:val="nil"/>
              <w:right w:val="nil"/>
            </w:tcBorders>
            <w:tcMar>
              <w:top w:w="15" w:type="dxa"/>
              <w:left w:w="15" w:type="dxa"/>
              <w:right w:w="15" w:type="dxa"/>
            </w:tcMar>
            <w:vAlign w:val="center"/>
          </w:tcPr>
          <w:p>
            <w:pPr>
              <w:jc w:val="left"/>
              <w:rPr>
                <w:rFonts w:hint="default" w:ascii="Arial" w:hAnsi="Arial" w:cs="Arial"/>
                <w:i w:val="0"/>
                <w:color w:val="000000"/>
                <w:sz w:val="20"/>
                <w:szCs w:val="20"/>
                <w:u w:val="none"/>
              </w:rPr>
            </w:pPr>
          </w:p>
        </w:tc>
        <w:tc>
          <w:tcPr>
            <w:tcW w:w="1654" w:type="dxa"/>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2"/>
                <w:szCs w:val="22"/>
                <w:u w:val="none"/>
                <w:lang w:val="en-US" w:eastAsia="zh-CN" w:bidi="ar"/>
              </w:rPr>
              <w:t>公开09表</w:t>
            </w:r>
          </w:p>
        </w:tc>
      </w:tr>
      <w:tr>
        <w:tblPrEx>
          <w:tblCellMar>
            <w:top w:w="0" w:type="dxa"/>
            <w:left w:w="0" w:type="dxa"/>
            <w:bottom w:w="0" w:type="dxa"/>
            <w:right w:w="0" w:type="dxa"/>
          </w:tblCellMar>
        </w:tblPrEx>
        <w:trPr>
          <w:trHeight w:val="255" w:hRule="atLeast"/>
          <w:jc w:val="center"/>
        </w:trPr>
        <w:tc>
          <w:tcPr>
            <w:tcW w:w="4204" w:type="dxa"/>
            <w:gridSpan w:val="3"/>
            <w:tcBorders>
              <w:top w:val="nil"/>
              <w:left w:val="nil"/>
              <w:bottom w:val="nil"/>
              <w:right w:val="nil"/>
            </w:tcBorders>
            <w:tcMar>
              <w:top w:w="15" w:type="dxa"/>
              <w:left w:w="15" w:type="dxa"/>
              <w:right w:w="15" w:type="dxa"/>
            </w:tcMar>
            <w:vAlign w:val="center"/>
          </w:tcPr>
          <w:p>
            <w:pPr>
              <w:jc w:val="both"/>
              <w:rPr>
                <w:rFonts w:hint="default" w:ascii="Arial" w:hAnsi="Arial" w:cs="Arial"/>
                <w:i w:val="0"/>
                <w:color w:val="000000"/>
                <w:sz w:val="20"/>
                <w:szCs w:val="20"/>
                <w:u w:val="none"/>
              </w:rPr>
            </w:pPr>
            <w:r>
              <w:rPr>
                <w:rFonts w:hint="eastAsia" w:ascii="宋体" w:hAnsi="宋体" w:eastAsia="宋体" w:cs="宋体"/>
                <w:i w:val="0"/>
                <w:color w:val="000000"/>
                <w:kern w:val="0"/>
                <w:sz w:val="22"/>
                <w:szCs w:val="22"/>
                <w:u w:val="none"/>
                <w:lang w:val="en-US" w:eastAsia="zh-CN" w:bidi="ar"/>
              </w:rPr>
              <w:t>部门：黄石港区江北管理区</w:t>
            </w:r>
          </w:p>
        </w:tc>
        <w:tc>
          <w:tcPr>
            <w:tcW w:w="1217"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218"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218"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138" w:type="dxa"/>
            <w:tcBorders>
              <w:top w:val="nil"/>
              <w:left w:val="nil"/>
              <w:bottom w:val="nil"/>
              <w:right w:val="nil"/>
            </w:tcBorders>
            <w:tcMar>
              <w:top w:w="15" w:type="dxa"/>
              <w:left w:w="15" w:type="dxa"/>
              <w:right w:w="15" w:type="dxa"/>
            </w:tcMar>
            <w:vAlign w:val="center"/>
          </w:tcPr>
          <w:p>
            <w:pPr>
              <w:jc w:val="center"/>
              <w:rPr>
                <w:rFonts w:hint="default" w:ascii="Arial" w:hAnsi="Arial" w:cs="Arial" w:eastAsiaTheme="minorEastAsia"/>
                <w:i w:val="0"/>
                <w:color w:val="000000"/>
                <w:sz w:val="20"/>
                <w:szCs w:val="20"/>
                <w:u w:val="none"/>
                <w:lang w:val="en-US" w:eastAsia="zh-CN"/>
              </w:rPr>
            </w:pPr>
          </w:p>
        </w:tc>
        <w:tc>
          <w:tcPr>
            <w:tcW w:w="1138"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138" w:type="dxa"/>
            <w:tcBorders>
              <w:top w:val="nil"/>
              <w:left w:val="nil"/>
              <w:bottom w:val="nil"/>
              <w:right w:val="nil"/>
            </w:tcBorders>
            <w:tcMar>
              <w:top w:w="15" w:type="dxa"/>
              <w:left w:w="15" w:type="dxa"/>
              <w:right w:w="15" w:type="dxa"/>
            </w:tcMar>
            <w:vAlign w:val="center"/>
          </w:tcPr>
          <w:p>
            <w:pPr>
              <w:jc w:val="center"/>
              <w:rPr>
                <w:rFonts w:hint="default" w:ascii="Arial" w:hAnsi="Arial" w:cs="Arial"/>
                <w:i w:val="0"/>
                <w:color w:val="000000"/>
                <w:sz w:val="20"/>
                <w:szCs w:val="20"/>
                <w:u w:val="none"/>
              </w:rPr>
            </w:pPr>
          </w:p>
        </w:tc>
        <w:tc>
          <w:tcPr>
            <w:tcW w:w="1139" w:type="dxa"/>
            <w:tcBorders>
              <w:top w:val="nil"/>
              <w:left w:val="nil"/>
              <w:bottom w:val="nil"/>
              <w:right w:val="nil"/>
            </w:tcBorders>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39" w:type="dxa"/>
            <w:tcBorders>
              <w:top w:val="nil"/>
              <w:left w:val="nil"/>
              <w:bottom w:val="nil"/>
              <w:right w:val="nil"/>
            </w:tcBorders>
            <w:tcMar>
              <w:top w:w="15" w:type="dxa"/>
              <w:left w:w="15" w:type="dxa"/>
              <w:right w:w="15" w:type="dxa"/>
            </w:tcMar>
            <w:vAlign w:val="center"/>
          </w:tcPr>
          <w:p>
            <w:pPr>
              <w:jc w:val="center"/>
            </w:pPr>
          </w:p>
        </w:tc>
        <w:tc>
          <w:tcPr>
            <w:tcW w:w="1654" w:type="dxa"/>
            <w:tcBorders>
              <w:top w:val="nil"/>
              <w:left w:val="nil"/>
              <w:bottom w:val="nil"/>
              <w:right w:val="nil"/>
            </w:tcBorders>
            <w:tcMar>
              <w:top w:w="15" w:type="dxa"/>
              <w:left w:w="15" w:type="dxa"/>
              <w:right w:w="15" w:type="dxa"/>
            </w:tcMar>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22"/>
                <w:szCs w:val="22"/>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7857"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346" w:type="dxa"/>
            <w:gridSpan w:val="6"/>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08" w:hRule="atLeast"/>
          <w:jc w:val="center"/>
        </w:trPr>
        <w:tc>
          <w:tcPr>
            <w:tcW w:w="1770"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17"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652"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18"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138"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38"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416" w:type="dxa"/>
            <w:gridSpan w:val="3"/>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654"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615" w:hRule="atLeast"/>
          <w:jc w:val="center"/>
        </w:trPr>
        <w:tc>
          <w:tcPr>
            <w:tcW w:w="1770"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21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3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3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13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公务用车运行维护费</w:t>
            </w:r>
          </w:p>
        </w:tc>
        <w:tc>
          <w:tcPr>
            <w:tcW w:w="165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77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13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13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13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13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3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6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308" w:hRule="atLeast"/>
          <w:jc w:val="center"/>
        </w:trPr>
        <w:tc>
          <w:tcPr>
            <w:tcW w:w="177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21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13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113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13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1654"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r>
    </w:tbl>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adjustRightInd w:val="0"/>
        <w:snapToGrid w:val="0"/>
        <w:spacing w:line="580" w:lineRule="atLeast"/>
        <w:ind w:firstLine="640" w:firstLineChars="200"/>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rPr>
        <w:t>八、政府性基金预算财政拨款收入支出决算表</w:t>
      </w:r>
    </w:p>
    <w:tbl>
      <w:tblPr>
        <w:tblStyle w:val="6"/>
        <w:tblpPr w:leftFromText="180" w:rightFromText="180" w:vertAnchor="text" w:horzAnchor="page" w:tblpX="1063" w:tblpY="284"/>
        <w:tblOverlap w:val="never"/>
        <w:tblW w:w="15000" w:type="dxa"/>
        <w:tblInd w:w="0" w:type="dxa"/>
        <w:tblLayout w:type="fixed"/>
        <w:tblCellMar>
          <w:top w:w="0" w:type="dxa"/>
          <w:left w:w="0" w:type="dxa"/>
          <w:bottom w:w="0" w:type="dxa"/>
          <w:right w:w="0" w:type="dxa"/>
        </w:tblCellMar>
      </w:tblPr>
      <w:tblGrid>
        <w:gridCol w:w="1035"/>
        <w:gridCol w:w="59"/>
        <w:gridCol w:w="59"/>
        <w:gridCol w:w="1496"/>
        <w:gridCol w:w="1547"/>
        <w:gridCol w:w="1547"/>
        <w:gridCol w:w="1547"/>
        <w:gridCol w:w="1547"/>
        <w:gridCol w:w="1547"/>
        <w:gridCol w:w="4616"/>
      </w:tblGrid>
      <w:tr>
        <w:tblPrEx>
          <w:tblCellMar>
            <w:top w:w="0" w:type="dxa"/>
            <w:left w:w="0" w:type="dxa"/>
            <w:bottom w:w="0" w:type="dxa"/>
            <w:right w:w="0" w:type="dxa"/>
          </w:tblCellMar>
        </w:tblPrEx>
        <w:trPr>
          <w:trHeight w:val="390" w:hRule="atLeast"/>
        </w:trPr>
        <w:tc>
          <w:tcPr>
            <w:tcW w:w="15000" w:type="dxa"/>
            <w:gridSpan w:val="10"/>
            <w:tcBorders>
              <w:top w:val="nil"/>
              <w:left w:val="nil"/>
              <w:bottom w:val="nil"/>
              <w:right w:val="nil"/>
            </w:tcBorders>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5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trPr>
        <w:tc>
          <w:tcPr>
            <w:tcW w:w="1035" w:type="dxa"/>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49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547" w:type="dxa"/>
            <w:tcBorders>
              <w:top w:val="nil"/>
              <w:left w:val="nil"/>
              <w:bottom w:val="nil"/>
              <w:right w:val="nil"/>
            </w:tcBorders>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54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616" w:type="dxa"/>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trPr>
        <w:tc>
          <w:tcPr>
            <w:tcW w:w="264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54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54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4641"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461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trPr>
        <w:tc>
          <w:tcPr>
            <w:tcW w:w="115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496"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4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47"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547"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6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9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47"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1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61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trPr>
        <w:tc>
          <w:tcPr>
            <w:tcW w:w="2649"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61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trPr>
        <w:tc>
          <w:tcPr>
            <w:tcW w:w="1153"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496"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47"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61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rPr>
          <w:rFonts w:hint="eastAsia" w:ascii="楷体" w:hAnsi="楷体" w:eastAsia="楷体" w:cs="楷体"/>
          <w:bCs/>
          <w:sz w:val="32"/>
          <w:szCs w:val="32"/>
          <w:highlight w:val="none"/>
          <w:u w:val="none"/>
        </w:rPr>
      </w:pPr>
    </w:p>
    <w:p>
      <w:pPr>
        <w:ind w:firstLine="640"/>
        <w:jc w:val="both"/>
        <w:rPr>
          <w:rFonts w:hint="eastAsia" w:ascii="楷体" w:hAnsi="楷体" w:eastAsia="楷体" w:cs="楷体"/>
          <w:bCs/>
          <w:sz w:val="32"/>
          <w:szCs w:val="32"/>
          <w:highlight w:val="none"/>
          <w:u w:val="none"/>
        </w:rPr>
      </w:pPr>
      <w:r>
        <w:rPr>
          <w:rFonts w:hint="eastAsia" w:ascii="楷体" w:hAnsi="楷体" w:eastAsia="楷体" w:cs="楷体"/>
          <w:bCs/>
          <w:sz w:val="32"/>
          <w:szCs w:val="32"/>
          <w:highlight w:val="none"/>
          <w:u w:val="none"/>
          <w:lang w:eastAsia="zh-CN"/>
        </w:rPr>
        <w:t>九、</w:t>
      </w:r>
      <w:r>
        <w:rPr>
          <w:rFonts w:hint="eastAsia" w:ascii="楷体" w:hAnsi="楷体" w:eastAsia="楷体" w:cs="楷体"/>
          <w:bCs/>
          <w:sz w:val="32"/>
          <w:szCs w:val="32"/>
          <w:highlight w:val="none"/>
          <w:u w:val="none"/>
        </w:rPr>
        <w:t>国有资本经营预算财政拨款支出决算表</w:t>
      </w:r>
    </w:p>
    <w:tbl>
      <w:tblPr>
        <w:tblStyle w:val="6"/>
        <w:tblW w:w="14860" w:type="dxa"/>
        <w:jc w:val="center"/>
        <w:tblLayout w:type="fixed"/>
        <w:tblCellMar>
          <w:top w:w="0" w:type="dxa"/>
          <w:left w:w="0" w:type="dxa"/>
          <w:bottom w:w="0" w:type="dxa"/>
          <w:right w:w="0" w:type="dxa"/>
        </w:tblCellMar>
      </w:tblPr>
      <w:tblGrid>
        <w:gridCol w:w="860"/>
        <w:gridCol w:w="49"/>
        <w:gridCol w:w="807"/>
        <w:gridCol w:w="4651"/>
        <w:gridCol w:w="1808"/>
        <w:gridCol w:w="1346"/>
        <w:gridCol w:w="5339"/>
      </w:tblGrid>
      <w:tr>
        <w:tblPrEx>
          <w:tblCellMar>
            <w:top w:w="0" w:type="dxa"/>
            <w:left w:w="0" w:type="dxa"/>
            <w:bottom w:w="0" w:type="dxa"/>
            <w:right w:w="0" w:type="dxa"/>
          </w:tblCellMar>
        </w:tblPrEx>
        <w:trPr>
          <w:trHeight w:val="633" w:hRule="atLeast"/>
          <w:jc w:val="center"/>
        </w:trPr>
        <w:tc>
          <w:tcPr>
            <w:tcW w:w="14860" w:type="dxa"/>
            <w:gridSpan w:val="7"/>
            <w:tcBorders>
              <w:top w:val="nil"/>
              <w:left w:val="nil"/>
              <w:bottom w:val="nil"/>
              <w:right w:val="nil"/>
            </w:tcBorders>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0"/>
                <w:szCs w:val="30"/>
                <w:u w:val="none"/>
              </w:rPr>
            </w:pPr>
            <w:r>
              <w:rPr>
                <w:rFonts w:hint="eastAsia" w:ascii="宋体" w:hAnsi="宋体" w:eastAsia="宋体" w:cs="宋体"/>
                <w:i w:val="0"/>
                <w:color w:val="000000"/>
                <w:kern w:val="0"/>
                <w:sz w:val="30"/>
                <w:szCs w:val="30"/>
                <w:u w:val="none"/>
                <w:lang w:val="en-US" w:eastAsia="zh-CN" w:bidi="ar"/>
              </w:rPr>
              <w:t>国有资本经营预算财政拨款支出决算表</w:t>
            </w:r>
          </w:p>
        </w:tc>
      </w:tr>
      <w:tr>
        <w:tblPrEx>
          <w:tblCellMar>
            <w:top w:w="0" w:type="dxa"/>
            <w:left w:w="0" w:type="dxa"/>
            <w:bottom w:w="0" w:type="dxa"/>
            <w:right w:w="0" w:type="dxa"/>
          </w:tblCellMar>
        </w:tblPrEx>
        <w:trPr>
          <w:trHeight w:val="334" w:hRule="atLeast"/>
          <w:jc w:val="center"/>
        </w:trPr>
        <w:tc>
          <w:tcPr>
            <w:tcW w:w="860" w:type="dxa"/>
            <w:tcBorders>
              <w:top w:val="nil"/>
              <w:left w:val="nil"/>
              <w:bottom w:val="nil"/>
              <w:right w:val="nil"/>
            </w:tcBorders>
            <w:tcMar>
              <w:top w:w="15" w:type="dxa"/>
              <w:left w:w="15" w:type="dxa"/>
              <w:right w:w="15" w:type="dxa"/>
            </w:tcMar>
            <w:vAlign w:val="bottom"/>
          </w:tcPr>
          <w:p>
            <w:pPr>
              <w:rPr>
                <w:rFonts w:hint="eastAsia" w:ascii="Arial" w:hAnsi="Arial" w:cs="Arial"/>
                <w:i w:val="0"/>
                <w:color w:val="000000"/>
                <w:sz w:val="20"/>
                <w:szCs w:val="20"/>
                <w:u w:val="none"/>
              </w:rPr>
            </w:pPr>
          </w:p>
        </w:tc>
        <w:tc>
          <w:tcPr>
            <w:tcW w:w="4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0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65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808"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34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339" w:type="dxa"/>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334" w:hRule="atLeast"/>
          <w:jc w:val="center"/>
        </w:trPr>
        <w:tc>
          <w:tcPr>
            <w:tcW w:w="860" w:type="dxa"/>
            <w:tcBorders>
              <w:top w:val="nil"/>
              <w:left w:val="nil"/>
              <w:bottom w:val="nil"/>
              <w:right w:val="nil"/>
            </w:tcBorders>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49"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807"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4651"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1808" w:type="dxa"/>
            <w:tcBorders>
              <w:top w:val="nil"/>
              <w:left w:val="nil"/>
              <w:bottom w:val="nil"/>
              <w:right w:val="nil"/>
            </w:tcBorders>
            <w:tcMar>
              <w:top w:w="15" w:type="dxa"/>
              <w:left w:w="15" w:type="dxa"/>
              <w:right w:w="15" w:type="dxa"/>
            </w:tcMar>
            <w:vAlign w:val="bottom"/>
          </w:tcPr>
          <w:p>
            <w:pPr>
              <w:rPr>
                <w:rFonts w:hint="default" w:ascii="Arial" w:hAnsi="Arial" w:cs="Arial" w:eastAsiaTheme="minorEastAsia"/>
                <w:i w:val="0"/>
                <w:color w:val="000000"/>
                <w:sz w:val="20"/>
                <w:szCs w:val="20"/>
                <w:u w:val="none"/>
                <w:lang w:val="en-US" w:eastAsia="zh-CN"/>
              </w:rPr>
            </w:pPr>
            <w:r>
              <w:rPr>
                <w:rFonts w:hint="eastAsia" w:ascii="Arial" w:hAnsi="Arial" w:cs="Arial"/>
                <w:i w:val="0"/>
                <w:color w:val="000000"/>
                <w:sz w:val="20"/>
                <w:szCs w:val="20"/>
                <w:u w:val="none"/>
                <w:lang w:val="en-US" w:eastAsia="zh-CN"/>
              </w:rPr>
              <w:t>2022年度</w:t>
            </w:r>
          </w:p>
        </w:tc>
        <w:tc>
          <w:tcPr>
            <w:tcW w:w="1346" w:type="dxa"/>
            <w:tcBorders>
              <w:top w:val="nil"/>
              <w:left w:val="nil"/>
              <w:bottom w:val="nil"/>
              <w:right w:val="nil"/>
            </w:tcBorders>
            <w:tcMar>
              <w:top w:w="15" w:type="dxa"/>
              <w:left w:w="15" w:type="dxa"/>
              <w:right w:w="15" w:type="dxa"/>
            </w:tcMar>
            <w:vAlign w:val="bottom"/>
          </w:tcPr>
          <w:p>
            <w:pPr>
              <w:rPr>
                <w:rFonts w:hint="default" w:ascii="Arial" w:hAnsi="Arial" w:cs="Arial"/>
                <w:i w:val="0"/>
                <w:color w:val="000000"/>
                <w:sz w:val="20"/>
                <w:szCs w:val="20"/>
                <w:u w:val="none"/>
              </w:rPr>
            </w:pPr>
          </w:p>
        </w:tc>
        <w:tc>
          <w:tcPr>
            <w:tcW w:w="5339" w:type="dxa"/>
            <w:tcBorders>
              <w:top w:val="nil"/>
              <w:left w:val="nil"/>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71" w:hRule="atLeast"/>
          <w:jc w:val="center"/>
        </w:trPr>
        <w:tc>
          <w:tcPr>
            <w:tcW w:w="636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8493"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33" w:hRule="atLeast"/>
          <w:jc w:val="center"/>
        </w:trPr>
        <w:tc>
          <w:tcPr>
            <w:tcW w:w="171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651"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08"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46"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5339" w:type="dxa"/>
            <w:vMerge w:val="restart"/>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33" w:hRule="atLeast"/>
          <w:jc w:val="center"/>
        </w:trPr>
        <w:tc>
          <w:tcPr>
            <w:tcW w:w="171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5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3" w:hRule="atLeast"/>
          <w:jc w:val="center"/>
        </w:trPr>
        <w:tc>
          <w:tcPr>
            <w:tcW w:w="171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5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0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4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3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6367"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346"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339" w:type="dxa"/>
            <w:tcBorders>
              <w:top w:val="nil"/>
              <w:left w:val="nil"/>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34" w:hRule="atLeast"/>
          <w:jc w:val="center"/>
        </w:trPr>
        <w:tc>
          <w:tcPr>
            <w:tcW w:w="6367"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533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34" w:hRule="atLeast"/>
          <w:jc w:val="center"/>
        </w:trPr>
        <w:tc>
          <w:tcPr>
            <w:tcW w:w="171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5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3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43" w:hRule="atLeast"/>
          <w:jc w:val="center"/>
        </w:trPr>
        <w:tc>
          <w:tcPr>
            <w:tcW w:w="1716"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651"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808"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346"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339" w:type="dxa"/>
            <w:tcBorders>
              <w:top w:val="nil"/>
              <w:left w:val="nil"/>
              <w:bottom w:val="single" w:color="000000" w:sz="4" w:space="0"/>
              <w:right w:val="single" w:color="000000" w:sz="4" w:space="0"/>
            </w:tcBorders>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keepNext w:val="0"/>
        <w:keepLines w:val="0"/>
        <w:widowControl/>
        <w:suppressLineNumbers w:val="0"/>
        <w:ind w:firstLine="220" w:firstLineChars="10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附注：我单位无此项内容，本表无数据</w:t>
      </w:r>
    </w:p>
    <w:p>
      <w:pPr>
        <w:numPr>
          <w:ilvl w:val="0"/>
          <w:numId w:val="0"/>
        </w:numPr>
        <w:adjustRightInd w:val="0"/>
        <w:snapToGrid w:val="0"/>
        <w:spacing w:line="580" w:lineRule="atLeast"/>
        <w:ind w:leftChars="200"/>
        <w:rPr>
          <w:rFonts w:hint="eastAsia" w:ascii="楷体" w:hAnsi="楷体" w:eastAsia="楷体" w:cs="楷体"/>
          <w:bCs/>
          <w:sz w:val="32"/>
          <w:szCs w:val="32"/>
          <w:highlight w:val="none"/>
          <w:u w:val="none"/>
        </w:rPr>
      </w:pPr>
    </w:p>
    <w:p>
      <w:pPr>
        <w:pStyle w:val="5"/>
        <w:widowControl/>
        <w:spacing w:before="76" w:beforeAutospacing="0" w:after="76" w:afterAutospacing="0" w:line="450" w:lineRule="atLeast"/>
        <w:ind w:firstLine="420"/>
        <w:rPr>
          <w:rStyle w:val="7"/>
          <w:rFonts w:hint="eastAsia" w:ascii="黑体" w:hAnsi="黑体" w:eastAsia="黑体" w:cs="黑体"/>
          <w:kern w:val="2"/>
          <w:sz w:val="32"/>
          <w:szCs w:val="32"/>
          <w:rtl w:val="0"/>
          <w:lang w:val="en-US" w:eastAsia="zh-CN" w:bidi="ar-SA"/>
        </w:rPr>
      </w:pPr>
      <w:r>
        <w:rPr>
          <w:rStyle w:val="7"/>
          <w:rFonts w:hint="eastAsia" w:ascii="黑体" w:hAnsi="黑体" w:eastAsia="黑体" w:cs="黑体"/>
          <w:kern w:val="2"/>
          <w:sz w:val="32"/>
          <w:szCs w:val="32"/>
          <w:rtl w:val="0"/>
          <w:lang w:val="en-US" w:eastAsia="zh-CN" w:bidi="ar-SA"/>
        </w:rPr>
        <w:t>第三部分  2022年度部门决算情况说明</w:t>
      </w:r>
    </w:p>
    <w:p>
      <w:pPr>
        <w:adjustRightInd w:val="0"/>
        <w:snapToGrid w:val="0"/>
        <w:spacing w:line="580" w:lineRule="atLeast"/>
        <w:ind w:firstLine="640" w:firstLine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一、收入支出决算总体情况说明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2022年度收、支总计均为</w:t>
      </w:r>
      <w:r>
        <w:rPr>
          <w:rFonts w:hint="eastAsia" w:ascii="仿宋_GB2312" w:hAnsi="仿宋_GB2312" w:eastAsia="仿宋_GB2312" w:cs="仿宋_GB2312"/>
          <w:bCs/>
          <w:sz w:val="32"/>
          <w:szCs w:val="32"/>
          <w:highlight w:val="none"/>
          <w:u w:val="single"/>
          <w:lang w:val="en-US" w:eastAsia="zh-CN"/>
        </w:rPr>
        <w:t xml:space="preserve"> 1086.05 </w:t>
      </w:r>
      <w:r>
        <w:rPr>
          <w:rFonts w:hint="eastAsia" w:ascii="仿宋_GB2312" w:hAnsi="仿宋_GB2312" w:eastAsia="仿宋_GB2312" w:cs="仿宋_GB2312"/>
          <w:bCs/>
          <w:sz w:val="32"/>
          <w:szCs w:val="32"/>
          <w:highlight w:val="none"/>
          <w:lang w:val="en-US" w:eastAsia="zh-CN"/>
        </w:rPr>
        <w:t>万元。与2021年度相比，收、支总计各减少</w:t>
      </w:r>
      <w:r>
        <w:rPr>
          <w:rFonts w:hint="eastAsia" w:ascii="仿宋_GB2312" w:hAnsi="仿宋_GB2312" w:eastAsia="仿宋_GB2312" w:cs="仿宋_GB2312"/>
          <w:bCs/>
          <w:sz w:val="32"/>
          <w:szCs w:val="32"/>
          <w:highlight w:val="none"/>
          <w:u w:val="single"/>
          <w:lang w:val="en-US" w:eastAsia="zh-CN"/>
        </w:rPr>
        <w:t xml:space="preserve"> 1134.32 </w:t>
      </w:r>
      <w:r>
        <w:rPr>
          <w:rFonts w:hint="eastAsia" w:ascii="仿宋_GB2312" w:hAnsi="仿宋_GB2312" w:eastAsia="仿宋_GB2312" w:cs="仿宋_GB2312"/>
          <w:bCs/>
          <w:sz w:val="32"/>
          <w:szCs w:val="32"/>
          <w:highlight w:val="none"/>
          <w:lang w:val="en-US" w:eastAsia="zh-CN"/>
        </w:rPr>
        <w:t>万元，下降</w:t>
      </w:r>
      <w:r>
        <w:rPr>
          <w:rFonts w:hint="eastAsia" w:ascii="仿宋_GB2312" w:hAnsi="仿宋_GB2312" w:eastAsia="仿宋_GB2312" w:cs="仿宋_GB2312"/>
          <w:bCs/>
          <w:sz w:val="32"/>
          <w:szCs w:val="32"/>
          <w:highlight w:val="none"/>
          <w:u w:val="single"/>
          <w:lang w:val="en-US" w:eastAsia="zh-CN"/>
        </w:rPr>
        <w:t xml:space="preserve">  51.08  </w:t>
      </w:r>
      <w:r>
        <w:rPr>
          <w:rFonts w:hint="eastAsia" w:ascii="仿宋_GB2312" w:hAnsi="仿宋_GB2312" w:eastAsia="仿宋_GB2312" w:cs="仿宋_GB2312"/>
          <w:bCs/>
          <w:sz w:val="32"/>
          <w:szCs w:val="32"/>
          <w:highlight w:val="none"/>
          <w:lang w:val="en-US" w:eastAsia="zh-CN"/>
        </w:rPr>
        <w:t xml:space="preserve"> %，主要原因是2022年增加产业园建设专项债10800万元未纳入一般公共预算收入，而2021年度新增一般债券资金1014万元纳入了一般公共预算财政拨款收入。</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二、收入决算情况说明</w:t>
      </w:r>
    </w:p>
    <w:p>
      <w:pPr>
        <w:adjustRightInd w:val="0"/>
        <w:snapToGrid w:val="0"/>
        <w:spacing w:line="580" w:lineRule="atLeast"/>
        <w:ind w:firstLine="420" w:firstLineChars="200"/>
        <w:rPr>
          <w:rFonts w:hint="eastAsia" w:ascii="仿宋_GB2312" w:hAnsi="仿宋_GB2312" w:eastAsia="仿宋_GB2312" w:cs="仿宋_GB2312"/>
          <w:bCs/>
          <w:sz w:val="32"/>
          <w:szCs w:val="32"/>
          <w:highlight w:val="none"/>
          <w:lang w:val="en-US" w:eastAsia="zh-CN"/>
        </w:rPr>
      </w:pPr>
      <w:r>
        <w:rPr>
          <w:rFonts w:hint="eastAsia" w:ascii="仿宋_GB2312" w:hAnsi="宋体"/>
          <w:bCs/>
          <w:szCs w:val="32"/>
          <w:highlight w:val="none"/>
          <w:lang w:val="en-US" w:eastAsia="zh-CN"/>
        </w:rPr>
        <w:t xml:space="preserve">  </w:t>
      </w:r>
      <w:r>
        <w:rPr>
          <w:rFonts w:hint="eastAsia" w:ascii="仿宋_GB2312" w:hAnsi="仿宋_GB2312" w:eastAsia="仿宋_GB2312" w:cs="仿宋_GB2312"/>
          <w:bCs/>
          <w:sz w:val="32"/>
          <w:szCs w:val="32"/>
          <w:highlight w:val="none"/>
          <w:lang w:val="en-US" w:eastAsia="zh-CN"/>
        </w:rPr>
        <w:t xml:space="preserve"> 2022年度收入合计 1086.05万元，与2021年度相比，收入合计增加(减少)1134.32万元，增长(下降) 51.08 %。其中：财政拨款收入630.67 万元，占本年收入 58.07 %；上级补助收入  0 万元，占本年收入 0%；事业收入 0  万元，占本年收入 0  %；经营收入   0万元，占本年收入 0  %；附属单位上缴收入   0 万元，占本年收入  0 %；其他收入 455.38万元，占本年收入 41.93 %。按照核算使用的预算收入分为一般公共服务收入33万元，城乡社区管理事务支出1043.44万元，交通运输支出9.61万元。</w:t>
      </w:r>
    </w:p>
    <w:p>
      <w:pPr>
        <w:adjustRightInd w:val="0"/>
        <w:snapToGrid w:val="0"/>
        <w:spacing w:line="580" w:lineRule="atLeast"/>
        <w:ind w:firstLine="640" w:firstLineChars="200"/>
        <w:rPr>
          <w:rFonts w:hint="eastAsia" w:ascii="Times New Roman" w:hAnsi="Times New Roman" w:eastAsia="仿宋_GB2312" w:cs="Times New Roman"/>
          <w:color w:val="FF0000"/>
          <w:sz w:val="32"/>
          <w:szCs w:val="22"/>
          <w:highlight w:val="none"/>
          <w:u w:val="none"/>
          <w:lang w:val="en-US" w:eastAsia="zh-CN"/>
        </w:rPr>
      </w:pP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0"/>
        </w:numPr>
        <w:adjustRightInd w:val="0"/>
        <w:snapToGrid w:val="0"/>
        <w:spacing w:line="580" w:lineRule="atLeast"/>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三、支出决算情况说明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2022年度支出合计1086.05万元，与2021年度相比，支出合计增加(减少) 1134.32 万元，增长(下降) 51.08 %。其中：基本支出 1086.05万元，占本年支出 100 %；项目支出 0 万元，占本年支出  0  %；上缴上级支出  0 万元，占本年支出 0  %；经营支出 0 万元，占本年支出 0 %；对附属单位补助支出 0 万元，占本年支出 0  %。按照核算使用的预算支出分为一般公共服务支出33万元，城乡社区管理事务支出1043.44万元，交通运输支出9.61万元。</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0"/>
        </w:numPr>
        <w:bidi w:val="0"/>
        <w:ind w:leftChars="200" w:firstLine="320" w:firstLineChars="1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四、财政拨款收入支出决算总体情况说明</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2022年度财政拨款收、支总计均为 630.67万元。与2021年度相比，财政拨款收、支总计各减少 1546.99万元，下降71.04 %。主要原因是2022年增加产业园建设专项债10800万元未纳入财政拨款收支，而2021年度新增一般债券资金1014万元纳入了财政拨款收支。</w:t>
      </w: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lang w:val="en-US" w:eastAsia="zh-CN"/>
        </w:rPr>
        <w:t>2022年度财政拨款收入中，一般公共预算财政拨款收入 630.67万元，比2021年度决算数减少1546.99万元。减少的主要原因是2022年增加产业园建设专项债10800万元未纳入财政拨款收支，而2021年度新增一般债券资金1014万元纳入了财政拨款收支。政府性基金预算财政拨款收入  0  万元，比2021年度决算数增加（减少） 0   万元。国有资本经营预算财政拨款收入  0 万元，比2021年度决算数增加（减少） 0 万元。</w:t>
      </w: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五、一般公共预算财政拨款支出决算情况说明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rPr>
        <w:t>（一）</w:t>
      </w: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财政拨款支出决算总体情况。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rPr>
      </w:pP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财政拨</w:t>
      </w:r>
      <w:r>
        <w:rPr>
          <w:rFonts w:hint="eastAsia" w:ascii="仿宋_GB2312" w:eastAsia="仿宋_GB2312"/>
          <w:bCs/>
          <w:kern w:val="44"/>
          <w:sz w:val="32"/>
          <w:szCs w:val="32"/>
          <w:highlight w:val="none"/>
        </w:rPr>
        <w:t>款支出</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630.67</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万元，占本年支出合计的</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58.07</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 xml:space="preserve"> %。与</w:t>
      </w:r>
      <w:r>
        <w:rPr>
          <w:rFonts w:hint="eastAsia" w:ascii="仿宋_GB2312"/>
          <w:bCs/>
          <w:kern w:val="44"/>
          <w:sz w:val="32"/>
          <w:szCs w:val="32"/>
          <w:highlight w:val="none"/>
          <w:lang w:eastAsia="zh-CN"/>
        </w:rPr>
        <w:t>202</w:t>
      </w:r>
      <w:r>
        <w:rPr>
          <w:rFonts w:hint="eastAsia" w:ascii="仿宋_GB2312"/>
          <w:bCs/>
          <w:kern w:val="44"/>
          <w:sz w:val="32"/>
          <w:szCs w:val="32"/>
          <w:highlight w:val="none"/>
          <w:lang w:val="en-US" w:eastAsia="zh-CN"/>
        </w:rPr>
        <w:t>1</w:t>
      </w:r>
      <w:r>
        <w:rPr>
          <w:rFonts w:hint="eastAsia" w:ascii="仿宋_GB2312"/>
          <w:bCs/>
          <w:kern w:val="44"/>
          <w:sz w:val="32"/>
          <w:szCs w:val="32"/>
          <w:highlight w:val="none"/>
          <w:lang w:eastAsia="zh-CN"/>
        </w:rPr>
        <w:t>年</w:t>
      </w:r>
      <w:r>
        <w:rPr>
          <w:rFonts w:hint="eastAsia" w:ascii="仿宋_GB2312" w:eastAsia="仿宋_GB2312"/>
          <w:bCs/>
          <w:kern w:val="44"/>
          <w:sz w:val="32"/>
          <w:szCs w:val="32"/>
          <w:highlight w:val="none"/>
          <w:lang w:eastAsia="zh-CN"/>
        </w:rPr>
        <w:t>度</w:t>
      </w:r>
      <w:r>
        <w:rPr>
          <w:rFonts w:hint="eastAsia" w:ascii="仿宋_GB2312" w:eastAsia="仿宋_GB2312"/>
          <w:bCs/>
          <w:kern w:val="44"/>
          <w:sz w:val="32"/>
          <w:szCs w:val="32"/>
          <w:highlight w:val="none"/>
        </w:rPr>
        <w:t>相比，</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eastAsia="仿宋_GB2312"/>
          <w:bCs/>
          <w:kern w:val="44"/>
          <w:sz w:val="32"/>
          <w:szCs w:val="32"/>
          <w:highlight w:val="none"/>
        </w:rPr>
        <w:t>财政拨款支出减少</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1546.99</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万元，</w:t>
      </w:r>
      <w:r>
        <w:rPr>
          <w:rFonts w:hint="eastAsia" w:ascii="仿宋_GB2312" w:eastAsia="仿宋_GB2312"/>
          <w:bCs/>
          <w:kern w:val="44"/>
          <w:sz w:val="32"/>
          <w:szCs w:val="32"/>
          <w:highlight w:val="none"/>
          <w:lang w:eastAsia="zh-CN"/>
        </w:rPr>
        <w:t>下降</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u w:val="single"/>
          <w:lang w:val="en-US" w:eastAsia="zh-CN"/>
        </w:rPr>
        <w:t>71.04</w:t>
      </w:r>
      <w:r>
        <w:rPr>
          <w:rFonts w:hint="eastAsia" w:ascii="仿宋_GB2312" w:eastAsia="仿宋_GB2312"/>
          <w:bCs/>
          <w:kern w:val="44"/>
          <w:sz w:val="32"/>
          <w:szCs w:val="32"/>
          <w:highlight w:val="none"/>
          <w:u w:val="single"/>
        </w:rPr>
        <w:t xml:space="preserve">  </w:t>
      </w:r>
      <w:r>
        <w:rPr>
          <w:rFonts w:hint="eastAsia" w:ascii="仿宋_GB2312" w:eastAsia="仿宋_GB2312"/>
          <w:bCs/>
          <w:kern w:val="44"/>
          <w:sz w:val="32"/>
          <w:szCs w:val="32"/>
          <w:highlight w:val="none"/>
        </w:rPr>
        <w:t>%。主要原因是</w:t>
      </w:r>
      <w:r>
        <w:rPr>
          <w:rFonts w:hint="eastAsia" w:ascii="仿宋_GB2312" w:hAnsi="仿宋_GB2312" w:eastAsia="仿宋_GB2312" w:cs="仿宋_GB2312"/>
          <w:bCs/>
          <w:sz w:val="32"/>
          <w:szCs w:val="32"/>
          <w:highlight w:val="none"/>
          <w:lang w:val="en-US" w:eastAsia="zh-CN"/>
        </w:rPr>
        <w:t>2022年增加产业园建设专项债10800万元未纳入一般公共预算财政拨款收支，而2021年度新增一般债券资金1014万元纳入了一般财政公共预算</w:t>
      </w:r>
      <w:r>
        <w:rPr>
          <w:rFonts w:hint="eastAsia" w:ascii="仿宋_GB2312" w:eastAsia="仿宋_GB2312"/>
          <w:bCs/>
          <w:kern w:val="44"/>
          <w:sz w:val="32"/>
          <w:szCs w:val="32"/>
          <w:highlight w:val="none"/>
        </w:rPr>
        <w:t>。</w:t>
      </w: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rPr>
      </w:pPr>
      <w:r>
        <w:rPr>
          <w:rFonts w:hint="eastAsia" w:ascii="楷体_GB2312" w:hAnsi="楷体_GB2312" w:eastAsia="楷体_GB2312" w:cs="楷体_GB2312"/>
          <w:bCs/>
          <w:kern w:val="44"/>
          <w:sz w:val="32"/>
          <w:szCs w:val="32"/>
          <w:highlight w:val="none"/>
          <w:lang w:eastAsia="zh-CN"/>
        </w:rPr>
        <w:t>一般公共预算</w:t>
      </w:r>
      <w:r>
        <w:rPr>
          <w:rFonts w:hint="eastAsia" w:ascii="楷体_GB2312" w:hAnsi="楷体_GB2312" w:eastAsia="楷体_GB2312" w:cs="楷体_GB2312"/>
          <w:bCs/>
          <w:kern w:val="44"/>
          <w:sz w:val="32"/>
          <w:szCs w:val="32"/>
          <w:highlight w:val="none"/>
        </w:rPr>
        <w:t>财政拨款支出决算结构情况。</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eastAsia="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w:t>
      </w:r>
      <w:r>
        <w:rPr>
          <w:rFonts w:hint="eastAsia" w:ascii="仿宋_GB2312" w:hAnsi="仿宋_GB2312" w:eastAsia="仿宋_GB2312" w:cs="仿宋_GB2312"/>
          <w:bCs/>
          <w:kern w:val="44"/>
          <w:sz w:val="32"/>
          <w:szCs w:val="32"/>
          <w:highlight w:val="none"/>
        </w:rPr>
        <w:t>度</w:t>
      </w:r>
      <w:r>
        <w:rPr>
          <w:rFonts w:hint="eastAsia" w:ascii="仿宋_GB2312" w:hAnsi="仿宋_GB2312" w:eastAsia="仿宋_GB2312" w:cs="仿宋_GB2312"/>
          <w:bCs/>
          <w:kern w:val="44"/>
          <w:sz w:val="32"/>
          <w:szCs w:val="32"/>
          <w:highlight w:val="none"/>
          <w:lang w:eastAsia="zh-CN"/>
        </w:rPr>
        <w:t>一般公共预算</w:t>
      </w:r>
      <w:r>
        <w:rPr>
          <w:rFonts w:hint="eastAsia" w:ascii="仿宋_GB2312" w:hAnsi="仿宋_GB2312" w:eastAsia="仿宋_GB2312" w:cs="仿宋_GB2312"/>
          <w:bCs/>
          <w:kern w:val="44"/>
          <w:sz w:val="32"/>
          <w:szCs w:val="32"/>
          <w:highlight w:val="none"/>
        </w:rPr>
        <w:t xml:space="preserve">财政拨款支出 </w:t>
      </w:r>
      <w:r>
        <w:rPr>
          <w:rFonts w:hint="eastAsia" w:ascii="仿宋_GB2312" w:hAnsi="仿宋_GB2312" w:eastAsia="仿宋_GB2312" w:cs="仿宋_GB2312"/>
          <w:bCs/>
          <w:kern w:val="44"/>
          <w:sz w:val="32"/>
          <w:szCs w:val="32"/>
          <w:highlight w:val="none"/>
          <w:lang w:val="en-US" w:eastAsia="zh-CN"/>
        </w:rPr>
        <w:t>630.67</w:t>
      </w:r>
      <w:r>
        <w:rPr>
          <w:rFonts w:hint="eastAsia" w:ascii="仿宋_GB2312" w:hAnsi="仿宋_GB2312" w:eastAsia="仿宋_GB2312" w:cs="仿宋_GB2312"/>
          <w:bCs/>
          <w:kern w:val="44"/>
          <w:sz w:val="32"/>
          <w:szCs w:val="32"/>
          <w:highlight w:val="none"/>
        </w:rPr>
        <w:t xml:space="preserve"> 万元，主要用于以下方面：</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1.</w:t>
      </w:r>
      <w:r>
        <w:rPr>
          <w:rFonts w:hint="eastAsia" w:ascii="仿宋_GB2312" w:hAnsi="仿宋_GB2312" w:eastAsia="仿宋_GB2312" w:cs="仿宋_GB2312"/>
          <w:bCs/>
          <w:kern w:val="44"/>
          <w:sz w:val="32"/>
          <w:szCs w:val="32"/>
          <w:highlight w:val="none"/>
        </w:rPr>
        <w:t xml:space="preserve">一般公共服务（类）支出  </w:t>
      </w:r>
      <w:r>
        <w:rPr>
          <w:rFonts w:hint="eastAsia" w:ascii="仿宋_GB2312" w:hAnsi="仿宋_GB2312" w:eastAsia="仿宋_GB2312" w:cs="仿宋_GB2312"/>
          <w:bCs/>
          <w:kern w:val="44"/>
          <w:sz w:val="32"/>
          <w:szCs w:val="32"/>
          <w:highlight w:val="none"/>
          <w:lang w:val="en-US" w:eastAsia="zh-CN"/>
        </w:rPr>
        <w:t xml:space="preserve">30 </w:t>
      </w:r>
      <w:r>
        <w:rPr>
          <w:rFonts w:hint="eastAsia" w:ascii="仿宋_GB2312" w:hAnsi="仿宋_GB2312" w:eastAsia="仿宋_GB2312" w:cs="仿宋_GB2312"/>
          <w:bCs/>
          <w:kern w:val="44"/>
          <w:sz w:val="32"/>
          <w:szCs w:val="32"/>
          <w:highlight w:val="none"/>
        </w:rPr>
        <w:t>万元，占</w:t>
      </w:r>
      <w:r>
        <w:rPr>
          <w:rFonts w:hint="eastAsia" w:ascii="仿宋_GB2312" w:hAnsi="仿宋_GB2312" w:eastAsia="仿宋_GB2312" w:cs="仿宋_GB2312"/>
          <w:bCs/>
          <w:kern w:val="44"/>
          <w:sz w:val="32"/>
          <w:szCs w:val="32"/>
          <w:highlight w:val="none"/>
          <w:lang w:val="en-US" w:eastAsia="zh-CN"/>
        </w:rPr>
        <w:t>4.76</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eastAsia="zh-CN"/>
        </w:rPr>
        <w:t>。主要是用于信访维稳支出。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lang w:val="en-US" w:eastAsia="zh-CN"/>
        </w:rPr>
      </w:pPr>
      <w:r>
        <w:rPr>
          <w:rFonts w:hint="eastAsia" w:ascii="仿宋_GB2312" w:hAnsi="仿宋_GB2312" w:eastAsia="仿宋_GB2312" w:cs="仿宋_GB2312"/>
          <w:bCs/>
          <w:kern w:val="44"/>
          <w:sz w:val="32"/>
          <w:szCs w:val="32"/>
          <w:highlight w:val="none"/>
          <w:lang w:val="en-US" w:eastAsia="zh-CN"/>
        </w:rPr>
        <w:t>2.城乡社区支出（类）</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val="en-US" w:eastAsia="zh-CN"/>
        </w:rPr>
        <w:t xml:space="preserve">591.06 </w:t>
      </w:r>
      <w:r>
        <w:rPr>
          <w:rFonts w:hint="eastAsia" w:ascii="仿宋_GB2312" w:hAnsi="仿宋_GB2312" w:eastAsia="仿宋_GB2312" w:cs="仿宋_GB2312"/>
          <w:bCs/>
          <w:kern w:val="44"/>
          <w:sz w:val="32"/>
          <w:szCs w:val="32"/>
          <w:highlight w:val="none"/>
        </w:rPr>
        <w:t xml:space="preserve">万元，占 </w:t>
      </w:r>
      <w:r>
        <w:rPr>
          <w:rFonts w:hint="eastAsia" w:ascii="仿宋_GB2312" w:hAnsi="仿宋_GB2312" w:eastAsia="仿宋_GB2312" w:cs="仿宋_GB2312"/>
          <w:bCs/>
          <w:kern w:val="44"/>
          <w:sz w:val="32"/>
          <w:szCs w:val="32"/>
          <w:highlight w:val="none"/>
          <w:lang w:val="en-US" w:eastAsia="zh-CN"/>
        </w:rPr>
        <w:t>93.72</w:t>
      </w:r>
      <w:r>
        <w:rPr>
          <w:rFonts w:hint="eastAsia" w:ascii="仿宋_GB2312" w:hAnsi="仿宋_GB2312" w:eastAsia="仿宋_GB2312" w:cs="仿宋_GB2312"/>
          <w:bCs/>
          <w:kern w:val="44"/>
          <w:sz w:val="32"/>
          <w:szCs w:val="32"/>
          <w:highlight w:val="none"/>
        </w:rPr>
        <w:t xml:space="preserve">  %</w:t>
      </w:r>
      <w:r>
        <w:rPr>
          <w:rFonts w:hint="eastAsia" w:ascii="仿宋_GB2312" w:hAnsi="仿宋_GB2312" w:eastAsia="仿宋_GB2312" w:cs="仿宋_GB2312"/>
          <w:bCs/>
          <w:kern w:val="44"/>
          <w:sz w:val="32"/>
          <w:szCs w:val="32"/>
          <w:highlight w:val="none"/>
          <w:lang w:eastAsia="zh-CN"/>
        </w:rPr>
        <w:t>。主要是用于行政运行</w:t>
      </w:r>
      <w:r>
        <w:rPr>
          <w:rFonts w:hint="eastAsia" w:ascii="仿宋_GB2312" w:hAnsi="仿宋_GB2312" w:eastAsia="仿宋_GB2312" w:cs="仿宋_GB2312"/>
          <w:bCs/>
          <w:kern w:val="44"/>
          <w:sz w:val="32"/>
          <w:szCs w:val="32"/>
          <w:highlight w:val="none"/>
          <w:lang w:val="en-US" w:eastAsia="zh-CN"/>
        </w:rPr>
        <w:t>377.3万元，一般行政管理事务6.53万元，其他城乡管理事务支出137.23万元，小城镇基础设施建设70万元</w:t>
      </w:r>
      <w:r>
        <w:rPr>
          <w:rFonts w:hint="eastAsia" w:ascii="仿宋_GB2312" w:hAnsi="仿宋_GB2312" w:eastAsia="仿宋_GB2312" w:cs="仿宋_GB2312"/>
          <w:bCs/>
          <w:kern w:val="44"/>
          <w:sz w:val="32"/>
          <w:szCs w:val="32"/>
          <w:highlight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s="仿宋_GB2312"/>
          <w:bCs/>
          <w:kern w:val="44"/>
          <w:sz w:val="32"/>
          <w:szCs w:val="32"/>
          <w:highlight w:val="none"/>
        </w:rPr>
      </w:pPr>
      <w:r>
        <w:rPr>
          <w:rFonts w:hint="eastAsia" w:ascii="仿宋_GB2312" w:hAnsi="仿宋_GB2312" w:eastAsia="仿宋_GB2312" w:cs="仿宋_GB2312"/>
          <w:bCs/>
          <w:kern w:val="44"/>
          <w:sz w:val="32"/>
          <w:szCs w:val="32"/>
          <w:highlight w:val="none"/>
          <w:lang w:val="en-US" w:eastAsia="zh-CN"/>
        </w:rPr>
        <w:t xml:space="preserve">3. </w:t>
      </w:r>
      <w:r>
        <w:rPr>
          <w:rFonts w:hint="eastAsia" w:ascii="仿宋_GB2312" w:hAnsi="仿宋_GB2312" w:eastAsia="仿宋_GB2312" w:cs="仿宋_GB2312"/>
          <w:bCs/>
          <w:kern w:val="44"/>
          <w:sz w:val="32"/>
          <w:szCs w:val="32"/>
          <w:highlight w:val="none"/>
          <w:lang w:eastAsia="zh-CN"/>
        </w:rPr>
        <w:t>交通运输支出</w:t>
      </w:r>
      <w:r>
        <w:rPr>
          <w:rFonts w:hint="eastAsia" w:ascii="仿宋_GB2312" w:hAnsi="仿宋_GB2312" w:eastAsia="仿宋_GB2312" w:cs="仿宋_GB2312"/>
          <w:bCs/>
          <w:kern w:val="44"/>
          <w:sz w:val="32"/>
          <w:szCs w:val="32"/>
          <w:highlight w:val="none"/>
          <w:lang w:val="en-US" w:eastAsia="zh-CN"/>
        </w:rPr>
        <w:t>9.61万元，占1.52%</w:t>
      </w:r>
      <w:r>
        <w:rPr>
          <w:rFonts w:hint="eastAsia" w:ascii="仿宋_GB2312" w:hAnsi="仿宋_GB2312" w:eastAsia="仿宋_GB2312" w:cs="仿宋_GB2312"/>
          <w:bCs/>
          <w:kern w:val="44"/>
          <w:sz w:val="32"/>
          <w:szCs w:val="32"/>
          <w:highlight w:val="none"/>
        </w:rPr>
        <w:t>。</w:t>
      </w: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numPr>
          <w:ilvl w:val="0"/>
          <w:numId w:val="3"/>
        </w:numPr>
        <w:bidi w:val="0"/>
        <w:ind w:left="640" w:leftChars="0" w:firstLine="0" w:firstLineChars="0"/>
        <w:rPr>
          <w:rFonts w:hint="eastAsia" w:ascii="楷体_GB2312" w:hAnsi="楷体_GB2312" w:eastAsia="楷体_GB2312" w:cs="楷体_GB2312"/>
          <w:bCs/>
          <w:kern w:val="44"/>
          <w:sz w:val="32"/>
          <w:szCs w:val="32"/>
          <w:highlight w:val="none"/>
          <w:lang w:eastAsia="zh-CN"/>
        </w:rPr>
      </w:pPr>
      <w:r>
        <w:rPr>
          <w:rFonts w:hint="eastAsia" w:ascii="楷体_GB2312" w:hAnsi="楷体_GB2312" w:eastAsia="楷体_GB2312" w:cs="楷体_GB2312"/>
          <w:bCs/>
          <w:kern w:val="44"/>
          <w:sz w:val="32"/>
          <w:szCs w:val="32"/>
          <w:highlight w:val="none"/>
          <w:lang w:eastAsia="zh-CN"/>
        </w:rPr>
        <w:t>财政拨款支出决算具体情况。</w:t>
      </w:r>
    </w:p>
    <w:p>
      <w:pPr>
        <w:numPr>
          <w:ilvl w:val="0"/>
          <w:numId w:val="0"/>
        </w:numPr>
        <w:bidi w:val="0"/>
        <w:ind w:firstLine="640" w:firstLineChars="200"/>
        <w:rPr>
          <w:rFonts w:hint="eastAsia" w:ascii="仿宋_GB2312" w:eastAsia="仿宋_GB2312"/>
          <w:bCs/>
          <w:kern w:val="44"/>
          <w:sz w:val="32"/>
          <w:szCs w:val="32"/>
          <w:highlight w:val="none"/>
          <w:u w:val="none"/>
        </w:rPr>
      </w:pPr>
      <w:r>
        <w:rPr>
          <w:rFonts w:hint="eastAsia" w:ascii="仿宋_GB2312" w:hAnsi="仿宋_GB2312" w:eastAsia="仿宋_GB2312" w:cs="仿宋_GB2312"/>
          <w:bCs/>
          <w:kern w:val="44"/>
          <w:sz w:val="32"/>
          <w:szCs w:val="32"/>
          <w:highlight w:val="none"/>
          <w:lang w:eastAsia="zh-CN"/>
        </w:rPr>
        <w:t>202</w:t>
      </w:r>
      <w:r>
        <w:rPr>
          <w:rFonts w:hint="eastAsia" w:ascii="仿宋_GB2312" w:hAnsi="仿宋_GB2312" w:cs="仿宋_GB2312"/>
          <w:bCs/>
          <w:kern w:val="44"/>
          <w:sz w:val="32"/>
          <w:szCs w:val="32"/>
          <w:highlight w:val="none"/>
          <w:lang w:val="en-US" w:eastAsia="zh-CN"/>
        </w:rPr>
        <w:t>2</w:t>
      </w:r>
      <w:r>
        <w:rPr>
          <w:rFonts w:hint="eastAsia" w:ascii="仿宋_GB2312" w:hAnsi="仿宋_GB2312" w:eastAsia="仿宋_GB2312" w:cs="仿宋_GB2312"/>
          <w:bCs/>
          <w:kern w:val="44"/>
          <w:sz w:val="32"/>
          <w:szCs w:val="32"/>
          <w:highlight w:val="none"/>
          <w:lang w:eastAsia="zh-CN"/>
        </w:rPr>
        <w:t>年度</w:t>
      </w:r>
      <w:r>
        <w:rPr>
          <w:rFonts w:hint="eastAsia" w:ascii="仿宋_GB2312" w:hAnsi="仿宋_GB2312" w:eastAsia="仿宋_GB2312" w:cs="仿宋_GB2312"/>
          <w:bCs/>
          <w:kern w:val="44"/>
          <w:sz w:val="32"/>
          <w:szCs w:val="32"/>
          <w:highlight w:val="none"/>
        </w:rPr>
        <w:t>一般公共预算财政拨款支出年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358.63</w:t>
      </w:r>
      <w:r>
        <w:rPr>
          <w:rFonts w:hint="eastAsia" w:ascii="仿宋_GB2312" w:hAnsi="仿宋_GB2312" w:eastAsia="仿宋_GB2312" w:cs="仿宋_GB2312"/>
          <w:bCs/>
          <w:kern w:val="44"/>
          <w:sz w:val="32"/>
          <w:szCs w:val="32"/>
          <w:highlight w:val="none"/>
        </w:rPr>
        <w:t>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Cs/>
          <w:kern w:val="44"/>
          <w:sz w:val="32"/>
          <w:szCs w:val="32"/>
          <w:highlight w:val="none"/>
        </w:rPr>
        <w:t>支出决算为</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630.67</w:t>
      </w:r>
      <w:r>
        <w:rPr>
          <w:rFonts w:hint="eastAsia" w:ascii="仿宋_GB2312" w:hAnsi="仿宋_GB2312" w:eastAsia="仿宋_GB2312" w:cs="仿宋_GB2312"/>
          <w:bCs/>
          <w:kern w:val="44"/>
          <w:sz w:val="32"/>
          <w:szCs w:val="32"/>
          <w:highlight w:val="none"/>
        </w:rPr>
        <w:t>万元，完成年</w:t>
      </w:r>
      <w:r>
        <w:rPr>
          <w:rFonts w:hint="eastAsia" w:ascii="仿宋_GB2312" w:hAnsi="仿宋_GB2312" w:eastAsia="仿宋_GB2312" w:cs="仿宋_GB2312"/>
          <w:bCs/>
          <w:kern w:val="44"/>
          <w:sz w:val="32"/>
          <w:szCs w:val="32"/>
          <w:highlight w:val="none"/>
          <w:lang w:eastAsia="zh-CN"/>
        </w:rPr>
        <w:t>初</w:t>
      </w:r>
      <w:r>
        <w:rPr>
          <w:rFonts w:hint="eastAsia" w:ascii="仿宋_GB2312" w:hAnsi="仿宋_GB2312" w:eastAsia="仿宋_GB2312" w:cs="仿宋_GB2312"/>
          <w:bCs/>
          <w:kern w:val="44"/>
          <w:sz w:val="32"/>
          <w:szCs w:val="32"/>
          <w:highlight w:val="none"/>
        </w:rPr>
        <w:t>预算的</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u w:val="single"/>
          <w:lang w:val="en-US" w:eastAsia="zh-CN"/>
        </w:rPr>
        <w:t>100</w:t>
      </w:r>
      <w:r>
        <w:rPr>
          <w:rFonts w:hint="eastAsia" w:ascii="仿宋_GB2312" w:hAnsi="仿宋_GB2312" w:eastAsia="仿宋_GB2312" w:cs="仿宋_GB2312"/>
          <w:bCs/>
          <w:kern w:val="44"/>
          <w:sz w:val="32"/>
          <w:szCs w:val="32"/>
          <w:highlight w:val="none"/>
          <w:u w:val="single"/>
        </w:rPr>
        <w:t xml:space="preserve"> </w:t>
      </w:r>
      <w:r>
        <w:rPr>
          <w:rFonts w:hint="eastAsia" w:ascii="仿宋_GB2312" w:hAnsi="仿宋_GB2312" w:eastAsia="仿宋_GB2312" w:cs="仿宋_GB2312"/>
          <w:bCs/>
          <w:kern w:val="44"/>
          <w:sz w:val="32"/>
          <w:szCs w:val="32"/>
          <w:highlight w:val="none"/>
        </w:rPr>
        <w:t>%。其中：</w:t>
      </w:r>
      <w:r>
        <w:rPr>
          <w:rFonts w:hint="eastAsia" w:ascii="仿宋_GB2312" w:eastAsia="仿宋_GB2312"/>
          <w:bCs/>
          <w:kern w:val="44"/>
          <w:sz w:val="32"/>
          <w:szCs w:val="32"/>
          <w:highlight w:val="none"/>
          <w:u w:val="none"/>
        </w:rPr>
        <w:t>其中：</w:t>
      </w:r>
      <w:r>
        <w:rPr>
          <w:rFonts w:hint="eastAsia" w:ascii="仿宋_GB2312" w:eastAsia="仿宋_GB2312"/>
          <w:bCs/>
          <w:kern w:val="44"/>
          <w:sz w:val="32"/>
          <w:szCs w:val="32"/>
          <w:highlight w:val="none"/>
          <w:u w:val="none"/>
          <w:lang w:eastAsia="zh-CN"/>
        </w:rPr>
        <w:t>一般公共服务类支出</w:t>
      </w:r>
      <w:r>
        <w:rPr>
          <w:rFonts w:hint="eastAsia" w:ascii="仿宋_GB2312" w:eastAsia="仿宋_GB2312"/>
          <w:bCs/>
          <w:kern w:val="44"/>
          <w:sz w:val="32"/>
          <w:szCs w:val="32"/>
          <w:highlight w:val="none"/>
          <w:u w:val="none"/>
          <w:lang w:val="en-US" w:eastAsia="zh-CN"/>
        </w:rPr>
        <w:t>30万元，城乡社区支出591.06万元，交通运输支出9.61万元。</w:t>
      </w:r>
    </w:p>
    <w:p>
      <w:pPr>
        <w:pageBreakBefore w:val="0"/>
        <w:widowControl w:val="0"/>
        <w:numPr>
          <w:ilvl w:val="0"/>
          <w:numId w:val="4"/>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lang w:val="en-US" w:eastAsia="zh-CN"/>
        </w:rPr>
      </w:pPr>
      <w:r>
        <w:rPr>
          <w:rFonts w:hint="eastAsia" w:ascii="楷体" w:hAnsi="楷体" w:eastAsia="楷体" w:cs="楷体"/>
          <w:bCs/>
          <w:kern w:val="44"/>
          <w:sz w:val="32"/>
          <w:szCs w:val="32"/>
          <w:highlight w:val="none"/>
          <w:u w:val="none"/>
        </w:rPr>
        <w:t>一般公共服务支出(类)。</w:t>
      </w:r>
      <w:r>
        <w:rPr>
          <w:rFonts w:hint="eastAsia" w:ascii="楷体" w:hAnsi="楷体" w:eastAsia="楷体" w:cs="楷体"/>
          <w:bCs/>
          <w:kern w:val="44"/>
          <w:sz w:val="32"/>
          <w:szCs w:val="32"/>
          <w:highlight w:val="none"/>
          <w:u w:val="none"/>
          <w:lang w:eastAsia="zh-CN"/>
        </w:rPr>
        <w:t>一般公共服务支出类中的其他一般公共服务支出项主要是</w:t>
      </w:r>
      <w:r>
        <w:rPr>
          <w:rFonts w:hint="eastAsia" w:ascii="仿宋_GB2312" w:eastAsia="仿宋_GB2312"/>
          <w:bCs/>
          <w:kern w:val="44"/>
          <w:sz w:val="32"/>
          <w:szCs w:val="32"/>
          <w:highlight w:val="none"/>
          <w:u w:val="none"/>
          <w:lang w:val="en-US" w:eastAsia="zh-CN"/>
        </w:rPr>
        <w:t>年中新增社区公共服务经费支出30万元，该项支出</w:t>
      </w:r>
      <w:r>
        <w:rPr>
          <w:rFonts w:hint="eastAsia" w:ascii="仿宋_GB2312" w:eastAsia="仿宋_GB2312"/>
          <w:bCs/>
          <w:kern w:val="44"/>
          <w:sz w:val="32"/>
          <w:szCs w:val="32"/>
          <w:highlight w:val="none"/>
          <w:u w:val="none"/>
        </w:rPr>
        <w:t>年</w:t>
      </w:r>
      <w:r>
        <w:rPr>
          <w:rFonts w:hint="eastAsia" w:ascii="仿宋_GB2312" w:eastAsia="仿宋_GB2312"/>
          <w:bCs/>
          <w:kern w:val="44"/>
          <w:sz w:val="32"/>
          <w:szCs w:val="32"/>
          <w:highlight w:val="none"/>
          <w:u w:val="none"/>
          <w:lang w:eastAsia="zh-CN"/>
        </w:rPr>
        <w:t>初</w:t>
      </w:r>
      <w:r>
        <w:rPr>
          <w:rFonts w:hint="eastAsia" w:ascii="仿宋_GB2312" w:eastAsia="仿宋_GB2312"/>
          <w:bCs/>
          <w:kern w:val="44"/>
          <w:sz w:val="32"/>
          <w:szCs w:val="32"/>
          <w:highlight w:val="none"/>
          <w:u w:val="none"/>
        </w:rPr>
        <w:t>预算为</w:t>
      </w:r>
      <w:r>
        <w:rPr>
          <w:rFonts w:hint="eastAsia" w:ascii="仿宋_GB2312" w:eastAsia="仿宋_GB2312"/>
          <w:bCs/>
          <w:kern w:val="44"/>
          <w:sz w:val="32"/>
          <w:szCs w:val="32"/>
          <w:highlight w:val="none"/>
          <w:u w:val="none"/>
          <w:lang w:val="en-US" w:eastAsia="zh-CN"/>
        </w:rPr>
        <w:t>0</w:t>
      </w:r>
      <w:r>
        <w:rPr>
          <w:rFonts w:hint="eastAsia" w:ascii="仿宋_GB2312" w:eastAsia="仿宋_GB2312"/>
          <w:bCs/>
          <w:kern w:val="44"/>
          <w:sz w:val="32"/>
          <w:szCs w:val="32"/>
          <w:highlight w:val="none"/>
          <w:u w:val="none"/>
        </w:rPr>
        <w:t>万元，支出决算为</w:t>
      </w:r>
      <w:r>
        <w:rPr>
          <w:rFonts w:hint="eastAsia" w:ascii="仿宋_GB2312" w:eastAsia="仿宋_GB2312"/>
          <w:bCs/>
          <w:kern w:val="44"/>
          <w:sz w:val="32"/>
          <w:szCs w:val="32"/>
          <w:highlight w:val="none"/>
          <w:u w:val="none"/>
          <w:lang w:val="en-US" w:eastAsia="zh-CN"/>
        </w:rPr>
        <w:t>30</w:t>
      </w:r>
      <w:r>
        <w:rPr>
          <w:rFonts w:hint="eastAsia" w:ascii="仿宋_GB2312" w:eastAsia="仿宋_GB2312"/>
          <w:bCs/>
          <w:kern w:val="44"/>
          <w:sz w:val="32"/>
          <w:szCs w:val="32"/>
          <w:highlight w:val="none"/>
          <w:u w:val="none"/>
        </w:rPr>
        <w:t>万元，完成年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预算的</w:t>
      </w:r>
      <w:r>
        <w:rPr>
          <w:rFonts w:hint="eastAsia" w:ascii="仿宋_GB2312" w:eastAsia="仿宋_GB2312"/>
          <w:bCs/>
          <w:kern w:val="44"/>
          <w:sz w:val="32"/>
          <w:szCs w:val="32"/>
          <w:highlight w:val="none"/>
          <w:u w:val="none"/>
          <w:lang w:val="en-US" w:eastAsia="zh-CN"/>
        </w:rPr>
        <w:t>100</w:t>
      </w:r>
      <w:r>
        <w:rPr>
          <w:rFonts w:hint="eastAsia" w:ascii="仿宋_GB2312" w:eastAsia="仿宋_GB2312"/>
          <w:bCs/>
          <w:kern w:val="44"/>
          <w:sz w:val="32"/>
          <w:szCs w:val="32"/>
          <w:highlight w:val="none"/>
          <w:u w:val="none"/>
        </w:rPr>
        <w:t>%，支出决算数</w:t>
      </w:r>
      <w:r>
        <w:rPr>
          <w:rFonts w:hint="eastAsia" w:ascii="仿宋_GB2312" w:eastAsia="仿宋_GB2312"/>
          <w:bCs/>
          <w:kern w:val="44"/>
          <w:sz w:val="32"/>
          <w:szCs w:val="32"/>
          <w:highlight w:val="none"/>
          <w:u w:val="none"/>
          <w:lang w:eastAsia="zh-CN"/>
        </w:rPr>
        <w:t>大于</w:t>
      </w:r>
      <w:r>
        <w:rPr>
          <w:rFonts w:hint="eastAsia" w:ascii="仿宋_GB2312" w:eastAsia="仿宋_GB2312"/>
          <w:bCs/>
          <w:kern w:val="44"/>
          <w:sz w:val="32"/>
          <w:szCs w:val="32"/>
          <w:highlight w:val="none"/>
          <w:u w:val="none"/>
        </w:rPr>
        <w:t>年</w:t>
      </w:r>
      <w:r>
        <w:rPr>
          <w:rFonts w:hint="eastAsia" w:ascii="仿宋_GB2312" w:eastAsia="仿宋_GB2312"/>
          <w:bCs/>
          <w:color w:val="auto"/>
          <w:kern w:val="44"/>
          <w:sz w:val="32"/>
          <w:szCs w:val="32"/>
          <w:highlight w:val="none"/>
          <w:u w:val="none"/>
          <w:lang w:eastAsia="zh-CN"/>
        </w:rPr>
        <w:t>初</w:t>
      </w:r>
      <w:r>
        <w:rPr>
          <w:rFonts w:hint="eastAsia" w:ascii="仿宋_GB2312" w:eastAsia="仿宋_GB2312"/>
          <w:bCs/>
          <w:kern w:val="44"/>
          <w:sz w:val="32"/>
          <w:szCs w:val="32"/>
          <w:highlight w:val="none"/>
          <w:u w:val="none"/>
        </w:rPr>
        <w:t>预算数</w:t>
      </w:r>
      <w:r>
        <w:rPr>
          <w:rFonts w:hint="eastAsia" w:ascii="仿宋_GB2312" w:eastAsia="仿宋_GB2312"/>
          <w:bCs/>
          <w:kern w:val="44"/>
          <w:sz w:val="32"/>
          <w:szCs w:val="32"/>
          <w:highlight w:val="none"/>
          <w:u w:val="none"/>
          <w:lang w:val="en-US" w:eastAsia="zh-CN"/>
        </w:rPr>
        <w:t>100%的主要原因是因为：年中追加</w:t>
      </w:r>
      <w:r>
        <w:rPr>
          <w:rFonts w:hint="eastAsia" w:ascii="楷体" w:hAnsi="楷体" w:eastAsia="楷体" w:cs="楷体"/>
          <w:bCs/>
          <w:kern w:val="44"/>
          <w:sz w:val="32"/>
          <w:szCs w:val="32"/>
          <w:highlight w:val="none"/>
          <w:u w:val="none"/>
          <w:lang w:eastAsia="zh-CN"/>
        </w:rPr>
        <w:t>一</w:t>
      </w:r>
      <w:r>
        <w:rPr>
          <w:rFonts w:hint="eastAsia" w:ascii="仿宋_GB2312" w:eastAsia="仿宋_GB2312"/>
          <w:bCs/>
          <w:kern w:val="44"/>
          <w:sz w:val="32"/>
          <w:szCs w:val="32"/>
          <w:highlight w:val="none"/>
          <w:u w:val="none"/>
          <w:lang w:val="en-US" w:eastAsia="zh-CN"/>
        </w:rPr>
        <w:t>般公共服务支出类中的其他一般公共服务支出预算30万元纳入一般公共财政拨款支出。</w:t>
      </w:r>
    </w:p>
    <w:p>
      <w:pPr>
        <w:pStyle w:val="10"/>
        <w:pageBreakBefore w:val="0"/>
        <w:widowControl w:val="0"/>
        <w:numPr>
          <w:ilvl w:val="0"/>
          <w:numId w:val="4"/>
        </w:numPr>
        <w:kinsoku/>
        <w:wordWrap/>
        <w:overflowPunct/>
        <w:topLinePunct w:val="0"/>
        <w:bidi w:val="0"/>
        <w:snapToGrid w:val="0"/>
        <w:spacing w:line="360" w:lineRule="auto"/>
        <w:ind w:firstLine="640" w:firstLineChars="200"/>
        <w:jc w:val="both"/>
        <w:textAlignment w:val="auto"/>
      </w:pPr>
      <w:r>
        <w:rPr>
          <w:rFonts w:hint="eastAsia" w:ascii="楷体" w:hAnsi="楷体" w:eastAsia="楷体" w:cs="楷体"/>
          <w:bCs/>
          <w:kern w:val="44"/>
          <w:sz w:val="32"/>
          <w:szCs w:val="32"/>
          <w:highlight w:val="none"/>
          <w:u w:val="none"/>
          <w:lang w:val="en-US" w:eastAsia="zh-CN" w:bidi="ar-SA"/>
        </w:rPr>
        <w:t>城乡社区支出（类）。城乡社区支出类城乡社区管理事务款年初预算为358.63万元，支出决算为521.06万元，完成年初预算的164.81%，其中行政支出项377.3万元，一般行政管理事务6.53万元，  其他城乡社区管理事务支出137.23万元；城乡社区支出（类）城乡社区公共设施（款）小城镇基础设施建设（项）支出70万元。支出决算数大于年初预算数64.81主要原因是人员编制数新增由前期的17人增加为23人，当年新增同比新增7人，新增人员经费58.26万元，且2022年度新增小城镇基数设施建设70万元，园区基础设施建设及维稳经费等未足额纳入预算而追加104.17万元。</w:t>
      </w:r>
    </w:p>
    <w:p>
      <w:pPr>
        <w:pStyle w:val="10"/>
        <w:pageBreakBefore w:val="0"/>
        <w:widowControl w:val="0"/>
        <w:numPr>
          <w:ilvl w:val="0"/>
          <w:numId w:val="4"/>
        </w:numPr>
        <w:kinsoku/>
        <w:wordWrap/>
        <w:overflowPunct/>
        <w:topLinePunct w:val="0"/>
        <w:bidi w:val="0"/>
        <w:snapToGrid w:val="0"/>
        <w:spacing w:line="360" w:lineRule="auto"/>
        <w:ind w:firstLine="640" w:firstLineChars="200"/>
        <w:jc w:val="both"/>
        <w:textAlignment w:val="auto"/>
        <w:rPr>
          <w:rFonts w:hint="eastAsia" w:ascii="楷体" w:hAnsi="楷体" w:eastAsia="楷体" w:cs="楷体"/>
          <w:bCs/>
          <w:kern w:val="44"/>
          <w:sz w:val="32"/>
          <w:szCs w:val="32"/>
          <w:highlight w:val="none"/>
          <w:u w:val="none"/>
          <w:lang w:val="en-US" w:eastAsia="zh-CN" w:bidi="ar-SA"/>
        </w:rPr>
      </w:pPr>
      <w:r>
        <w:rPr>
          <w:rFonts w:hint="eastAsia" w:ascii="楷体" w:hAnsi="楷体" w:eastAsia="楷体" w:cs="楷体"/>
          <w:bCs/>
          <w:kern w:val="44"/>
          <w:sz w:val="32"/>
          <w:szCs w:val="32"/>
          <w:highlight w:val="none"/>
          <w:u w:val="none"/>
          <w:lang w:val="en-US" w:eastAsia="zh-CN" w:bidi="ar-SA"/>
        </w:rPr>
        <w:t>交通运输支出（类）公路水路运输（款）公路建设（项）支出9.61万元。该项支出年初无预算，年中追加专项预算9.61万元，主要是新增新港大道东延道路拆迁补偿支出。</w:t>
      </w:r>
    </w:p>
    <w:p>
      <w:pPr>
        <w:numPr>
          <w:ilvl w:val="0"/>
          <w:numId w:val="0"/>
        </w:numPr>
        <w:bidi w:val="0"/>
        <w:ind w:firstLine="640" w:firstLine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六、一般公共预算财政拨款基本支出决算情况说明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2022年度一般公共预算财政拨款基本支出 630.67万元，其中：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人员经费326.67万元，主要包括：基本工资、津贴补贴、奖金、伙食补助费、绩效工资、机关事业单位基本养老保险缴费、职业年金缴费、职工基本医疗保险缴费、公务员医疗补助缴费、住房公积金、医疗费、其他工资福利支出、医疗费补助。</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公用经费 304万元，主要包括：办公费、印刷费、咨询费、水费、电费、邮电费、物业管理费、差旅费、公务接待费、劳务费、委托业务费、工会经费、福利费、税金及附加费用、其他商品和服务支出、办公设备购置。</w:t>
      </w: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七、财政拨款“三公”经费支出决算情况说明</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（一）“三公”经费财政拨款支出决算总体情况说明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2022年度“三公”经费财政拨款支出预算为 1.55万元，支出决算为1.55万元，完成预算的 100 %。较上年增加0.47万元，增长43.51%。决算数较上年增加的主要原因：2022年度工作中点主要围绕着园区招商引资来进行，增加相关招商接待1.55万元。</w:t>
      </w:r>
    </w:p>
    <w:p>
      <w:pPr>
        <w:pageBreakBefore w:val="0"/>
        <w:widowControl w:val="0"/>
        <w:kinsoku/>
        <w:wordWrap/>
        <w:overflowPunct/>
        <w:topLinePunct w:val="0"/>
        <w:bidi w:val="0"/>
        <w:adjustRightInd w:val="0"/>
        <w:snapToGrid w:val="0"/>
        <w:spacing w:line="360" w:lineRule="auto"/>
        <w:ind w:firstLine="643" w:firstLineChars="200"/>
        <w:textAlignment w:val="auto"/>
        <w:rPr>
          <w:rFonts w:hint="eastAsia" w:ascii="仿宋_GB2312" w:eastAsia="仿宋_GB2312"/>
          <w:b/>
          <w:bCs w:val="0"/>
          <w:i w:val="0"/>
          <w:iCs w:val="0"/>
          <w:color w:val="auto"/>
          <w:kern w:val="44"/>
          <w:sz w:val="32"/>
          <w:szCs w:val="32"/>
          <w:highlight w:val="none"/>
          <w:u w:val="none"/>
          <w:lang w:val="en-US" w:eastAsia="zh-CN"/>
        </w:rPr>
      </w:pPr>
      <w:r>
        <w:rPr>
          <w:rFonts w:hint="eastAsia" w:ascii="仿宋_GB2312" w:eastAsia="仿宋_GB2312"/>
          <w:b/>
          <w:bCs w:val="0"/>
          <w:i w:val="0"/>
          <w:iCs w:val="0"/>
          <w:color w:val="auto"/>
          <w:kern w:val="44"/>
          <w:sz w:val="32"/>
          <w:szCs w:val="32"/>
          <w:highlight w:val="none"/>
          <w:u w:val="none"/>
          <w:lang w:val="en-US" w:eastAsia="zh-CN"/>
        </w:rPr>
        <w:t>（二）“三公”经费财政拨款支出决算具体情况说明</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1.因公出国(境)费预算为0   万元，支出决算为  0  万元，完成预算的   0 %。较上年增加（减少）   0 万元，增长（下降） 0  %。全年支出涉及出国（境）团组  0  个，累计0 人次。单位无涉及此项内容，数据为0</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2.公务用车购置及运行费预算为  0 万元，支出决算为    0万元，完成预算的   0  %；较上年增加（减少）  0  万元，增长（下降） 0  %。单位无涉及此项内容，数据为0。其中：</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(1)公务用车购置费支出   0 万元，本年度购置(更新)公务用车 0   辆。单位无涉及此项内容，数据为0</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(2)公务用车运行费支出   0 万元。截止2022年12月31日，开支财政拨款的公务用车保有量    为  0  辆。单位无涉及此项内容，数据为0</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3.公务接待费预算为 1.55万元，支出决算为 1.55万元，完成预算的 100 %，较上年增加0.47  万元，增长43.51 %。决算数较上年增加的主要原因：2022年度工作中点主要围绕着园区招商引资来进行，增加相关招商接待1.55万元。</w:t>
      </w: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外宾接待支出  0  万元，2022年共接待来访团组  0  个，   0  人次。单位无涉及此项内容，数据为0</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r>
        <w:rPr>
          <w:rFonts w:hint="eastAsia" w:ascii="仿宋_GB2312" w:eastAsia="仿宋_GB2312"/>
          <w:bCs/>
          <w:color w:val="auto"/>
          <w:kern w:val="44"/>
          <w:sz w:val="32"/>
          <w:szCs w:val="32"/>
          <w:highlight w:val="none"/>
          <w:u w:val="none"/>
          <w:lang w:val="en-US" w:eastAsia="zh-CN"/>
        </w:rPr>
        <w:t>国内公务接待支出 1.55 万元，2022年共接待国内来访团组8 个，  160人次。主要发生园区招商引资接待7批次1.43万元，公务接待1次0.12万元接待浠水散花跨江合作示范区相关人员。</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八、政府性基金预算财政拨款收入支出决算情况说明</w:t>
      </w:r>
    </w:p>
    <w:p>
      <w:pPr>
        <w:ind w:firstLine="640"/>
        <w:jc w:val="both"/>
        <w:rPr>
          <w:rFonts w:hint="eastAsia" w:ascii="仿宋_GB2312" w:hAnsi="仿宋_GB2312" w:eastAsia="仿宋_GB2312" w:cs="仿宋_GB2312"/>
          <w:sz w:val="32"/>
          <w:szCs w:val="32"/>
          <w:u w:val="none"/>
          <w:lang w:val="en-US" w:eastAsia="zh-CN"/>
        </w:rPr>
      </w:pPr>
      <w:r>
        <w:rPr>
          <w:rFonts w:hint="eastAsia" w:ascii="仿宋_GB2312" w:hAnsi="仿宋_GB2312" w:cs="仿宋_GB2312"/>
          <w:sz w:val="32"/>
          <w:szCs w:val="32"/>
          <w:u w:val="none"/>
          <w:lang w:val="en-US" w:eastAsia="zh-CN"/>
        </w:rPr>
        <w:t>2022</w:t>
      </w:r>
      <w:r>
        <w:rPr>
          <w:rFonts w:hint="eastAsia" w:ascii="仿宋_GB2312" w:hAnsi="仿宋_GB2312" w:eastAsia="仿宋_GB2312" w:cs="仿宋_GB2312"/>
          <w:sz w:val="32"/>
          <w:szCs w:val="32"/>
          <w:u w:val="none"/>
          <w:lang w:val="en-US" w:eastAsia="zh-CN"/>
        </w:rPr>
        <w:t>年度政府性基金预算财政拨款年初结转和结余</w:t>
      </w:r>
      <w:r>
        <w:rPr>
          <w:rFonts w:hint="eastAsia" w:ascii="仿宋_GB2312" w:hAnsi="仿宋_GB2312" w:cs="仿宋_GB2312"/>
          <w:sz w:val="32"/>
          <w:szCs w:val="32"/>
          <w:u w:val="none"/>
          <w:lang w:val="en-US" w:eastAsia="zh-CN"/>
        </w:rPr>
        <w:t>0</w:t>
      </w:r>
      <w:r>
        <w:rPr>
          <w:rFonts w:hint="eastAsia" w:ascii="仿宋_GB2312" w:hAnsi="仿宋_GB2312" w:eastAsia="仿宋_GB2312" w:cs="仿宋_GB2312"/>
          <w:sz w:val="32"/>
          <w:szCs w:val="32"/>
          <w:u w:val="none"/>
          <w:lang w:val="en-US" w:eastAsia="zh-CN"/>
        </w:rPr>
        <w:t>万元，本年收入</w:t>
      </w:r>
      <w:r>
        <w:rPr>
          <w:rFonts w:hint="eastAsia" w:ascii="仿宋_GB2312" w:hAnsi="仿宋_GB2312" w:cs="仿宋_GB2312"/>
          <w:sz w:val="32"/>
          <w:szCs w:val="32"/>
          <w:u w:val="none"/>
          <w:lang w:val="en-US" w:eastAsia="zh-CN"/>
        </w:rPr>
        <w:t>0</w:t>
      </w:r>
      <w:r>
        <w:rPr>
          <w:rFonts w:hint="eastAsia" w:ascii="仿宋_GB2312" w:hAnsi="仿宋_GB2312" w:eastAsia="仿宋_GB2312" w:cs="仿宋_GB2312"/>
          <w:sz w:val="32"/>
          <w:szCs w:val="32"/>
          <w:u w:val="none"/>
          <w:lang w:val="en-US" w:eastAsia="zh-CN"/>
        </w:rPr>
        <w:t>万元，本年支出</w:t>
      </w:r>
      <w:r>
        <w:rPr>
          <w:rFonts w:hint="eastAsia" w:ascii="仿宋_GB2312" w:hAnsi="仿宋_GB2312" w:cs="仿宋_GB2312"/>
          <w:sz w:val="32"/>
          <w:szCs w:val="32"/>
          <w:u w:val="none"/>
          <w:lang w:val="en-US" w:eastAsia="zh-CN"/>
        </w:rPr>
        <w:t>0</w:t>
      </w:r>
      <w:r>
        <w:rPr>
          <w:rFonts w:hint="eastAsia" w:ascii="仿宋_GB2312" w:hAnsi="仿宋_GB2312" w:eastAsia="仿宋_GB2312" w:cs="仿宋_GB2312"/>
          <w:sz w:val="32"/>
          <w:szCs w:val="32"/>
          <w:u w:val="none"/>
          <w:lang w:val="en-US" w:eastAsia="zh-CN"/>
        </w:rPr>
        <w:t>万元，年末结转和结余</w:t>
      </w:r>
      <w:r>
        <w:rPr>
          <w:rFonts w:hint="eastAsia" w:ascii="仿宋_GB2312" w:hAnsi="仿宋_GB2312" w:cs="仿宋_GB2312"/>
          <w:sz w:val="32"/>
          <w:szCs w:val="32"/>
          <w:u w:val="none"/>
          <w:lang w:val="en-US" w:eastAsia="zh-CN"/>
        </w:rPr>
        <w:t>0</w:t>
      </w:r>
      <w:r>
        <w:rPr>
          <w:rFonts w:hint="eastAsia" w:ascii="仿宋_GB2312" w:hAnsi="仿宋_GB2312" w:eastAsia="仿宋_GB2312" w:cs="仿宋_GB2312"/>
          <w:sz w:val="32"/>
          <w:szCs w:val="32"/>
          <w:u w:val="none"/>
          <w:lang w:val="en-US" w:eastAsia="zh-CN"/>
        </w:rPr>
        <w:t>万元。本单位当年无政府性基金预算财政拨款收入支出.</w:t>
      </w:r>
    </w:p>
    <w:p>
      <w:pPr>
        <w:ind w:firstLine="640"/>
        <w:jc w:val="both"/>
        <w:rPr>
          <w:rFonts w:hint="eastAsia" w:ascii="仿宋_GB2312" w:hAnsi="仿宋_GB2312" w:eastAsia="仿宋_GB2312" w:cs="仿宋_GB2312"/>
          <w:sz w:val="32"/>
          <w:szCs w:val="32"/>
          <w:u w:val="none"/>
          <w:lang w:val="en-US" w:eastAsia="zh-CN"/>
        </w:rPr>
      </w:pPr>
    </w:p>
    <w:p>
      <w:pPr>
        <w:numPr>
          <w:ilvl w:val="0"/>
          <w:numId w:val="0"/>
        </w:numPr>
        <w:bidi w:val="0"/>
        <w:ind w:leftChars="200"/>
        <w:rPr>
          <w:rFonts w:hint="eastAsia" w:ascii="楷体" w:hAnsi="楷体" w:eastAsia="楷体" w:cs="楷体"/>
          <w:b w:val="0"/>
          <w:bCs w:val="0"/>
          <w:color w:val="FF000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九、国有资本经营预算财政拨款支出决算情况说明</w:t>
      </w:r>
    </w:p>
    <w:p>
      <w:pPr>
        <w:numPr>
          <w:ilvl w:val="0"/>
          <w:numId w:val="0"/>
        </w:numPr>
        <w:bidi w:val="0"/>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2022年度国有资本经营预算财政拨款本年支出0万元。本单位当年无国有资本经营预算财政拨支出。</w:t>
      </w:r>
    </w:p>
    <w:p>
      <w:pPr>
        <w:ind w:firstLine="640"/>
        <w:jc w:val="both"/>
        <w:rPr>
          <w:rFonts w:hint="eastAsia" w:ascii="仿宋_GB2312" w:hAnsi="仿宋_GB2312" w:eastAsia="仿宋_GB2312" w:cs="仿宋_GB2312"/>
          <w:color w:val="FF0000"/>
          <w:sz w:val="32"/>
          <w:szCs w:val="32"/>
          <w:u w:val="none"/>
          <w:lang w:val="en-US" w:eastAsia="zh-CN"/>
        </w:rPr>
      </w:pPr>
    </w:p>
    <w:p>
      <w:pPr>
        <w:numPr>
          <w:ilvl w:val="0"/>
          <w:numId w:val="0"/>
        </w:numPr>
        <w:bidi w:val="0"/>
        <w:ind w:leftChars="200"/>
        <w:rPr>
          <w:rFonts w:hint="eastAsia" w:ascii="楷体" w:hAnsi="楷体" w:eastAsia="楷体" w:cs="楷体"/>
          <w:b w:val="0"/>
          <w:bCs w:val="0"/>
          <w:sz w:val="32"/>
          <w:szCs w:val="32"/>
          <w:highlight w:val="none"/>
          <w:u w:val="none"/>
          <w:lang w:val="en-US" w:eastAsia="zh-CN"/>
        </w:rPr>
      </w:pPr>
      <w:r>
        <w:rPr>
          <w:rFonts w:hint="eastAsia" w:ascii="楷体" w:hAnsi="楷体" w:eastAsia="楷体" w:cs="楷体"/>
          <w:b w:val="0"/>
          <w:bCs w:val="0"/>
          <w:sz w:val="32"/>
          <w:szCs w:val="32"/>
          <w:highlight w:val="none"/>
          <w:u w:val="none"/>
          <w:lang w:val="en-US" w:eastAsia="zh-CN"/>
        </w:rPr>
        <w:t>十、机关运行经费支出说明</w:t>
      </w:r>
    </w:p>
    <w:p>
      <w:pPr>
        <w:pStyle w:val="11"/>
        <w:rPr>
          <w:rFonts w:hint="eastAsia" w:ascii="仿宋_GB2312" w:eastAsia="仿宋_GB2312"/>
          <w:szCs w:val="32"/>
        </w:rPr>
      </w:pPr>
      <w:r>
        <w:rPr>
          <w:rFonts w:hint="eastAsia" w:ascii="仿宋_GB2312" w:eastAsia="仿宋_GB2312"/>
          <w:szCs w:val="32"/>
          <w:lang w:val="en-US" w:eastAsia="zh-CN"/>
        </w:rPr>
        <w:t>部门（单位）</w:t>
      </w:r>
      <w:r>
        <w:rPr>
          <w:rFonts w:hint="eastAsia" w:ascii="仿宋_GB2312" w:eastAsia="仿宋_GB2312"/>
          <w:szCs w:val="32"/>
        </w:rPr>
        <w:t>应当按照如下格式说明：本部门 202</w:t>
      </w:r>
      <w:r>
        <w:rPr>
          <w:rFonts w:hint="eastAsia" w:ascii="仿宋_GB2312" w:eastAsia="仿宋_GB2312"/>
          <w:szCs w:val="32"/>
          <w:lang w:val="en-US" w:eastAsia="zh-CN"/>
        </w:rPr>
        <w:t>2</w:t>
      </w:r>
      <w:r>
        <w:rPr>
          <w:rFonts w:hint="eastAsia" w:ascii="仿宋_GB2312" w:eastAsia="仿宋_GB2312"/>
          <w:szCs w:val="32"/>
        </w:rPr>
        <w:t xml:space="preserve">年度机关运行经费支出 </w:t>
      </w:r>
      <w:r>
        <w:rPr>
          <w:rFonts w:hint="eastAsia" w:ascii="仿宋_GB2312" w:eastAsia="仿宋_GB2312"/>
          <w:szCs w:val="32"/>
          <w:lang w:val="en-US" w:eastAsia="zh-CN"/>
        </w:rPr>
        <w:t>304</w:t>
      </w:r>
      <w:r>
        <w:rPr>
          <w:rFonts w:hint="eastAsia" w:ascii="仿宋_GB2312" w:eastAsia="仿宋_GB2312"/>
          <w:szCs w:val="32"/>
        </w:rPr>
        <w:t xml:space="preserve"> 万元，比年初预算数减少</w:t>
      </w:r>
      <w:r>
        <w:rPr>
          <w:rFonts w:hint="eastAsia" w:ascii="仿宋_GB2312" w:eastAsia="仿宋_GB2312"/>
          <w:szCs w:val="32"/>
          <w:lang w:val="en-US" w:eastAsia="zh-CN"/>
        </w:rPr>
        <w:t>175.23</w:t>
      </w:r>
      <w:r>
        <w:rPr>
          <w:rFonts w:hint="eastAsia" w:ascii="仿宋_GB2312" w:eastAsia="仿宋_GB2312"/>
          <w:szCs w:val="32"/>
        </w:rPr>
        <w:t xml:space="preserve"> 万元，降低</w:t>
      </w:r>
      <w:r>
        <w:rPr>
          <w:rFonts w:hint="eastAsia" w:ascii="仿宋_GB2312" w:eastAsia="仿宋_GB2312"/>
          <w:szCs w:val="32"/>
          <w:lang w:val="en-US" w:eastAsia="zh-CN"/>
        </w:rPr>
        <w:t>36.56</w:t>
      </w:r>
      <w:r>
        <w:rPr>
          <w:rFonts w:hint="eastAsia" w:ascii="仿宋_GB2312" w:eastAsia="仿宋_GB2312"/>
          <w:szCs w:val="32"/>
        </w:rPr>
        <w:t>%。主要原因是：办公设施设备购置经费减少</w:t>
      </w:r>
      <w:r>
        <w:rPr>
          <w:rFonts w:hint="eastAsia" w:ascii="仿宋_GB2312" w:eastAsia="仿宋_GB2312"/>
          <w:szCs w:val="32"/>
          <w:lang w:val="en-US" w:eastAsia="zh-CN"/>
        </w:rPr>
        <w:t>4.36万元，</w:t>
      </w:r>
      <w:r>
        <w:rPr>
          <w:rFonts w:hint="eastAsia" w:ascii="仿宋_GB2312" w:eastAsia="仿宋_GB2312"/>
          <w:szCs w:val="32"/>
        </w:rPr>
        <w:t xml:space="preserve">落实过紧日子要求压减 </w:t>
      </w:r>
      <w:r>
        <w:rPr>
          <w:rFonts w:hint="eastAsia" w:ascii="仿宋_GB2312" w:eastAsia="仿宋_GB2312"/>
          <w:szCs w:val="32"/>
          <w:lang w:eastAsia="zh-CN"/>
        </w:rPr>
        <w:t>办公类支出</w:t>
      </w:r>
      <w:r>
        <w:rPr>
          <w:rFonts w:hint="eastAsia" w:ascii="仿宋_GB2312" w:eastAsia="仿宋_GB2312"/>
          <w:szCs w:val="32"/>
          <w:lang w:val="en-US" w:eastAsia="zh-CN"/>
        </w:rPr>
        <w:t>12.78万元，因园区建设等相关零星类支出及规范项目建设，减少项目建设前期类支出等106.02万元</w:t>
      </w:r>
      <w:r>
        <w:rPr>
          <w:rFonts w:hint="eastAsia" w:ascii="仿宋_GB2312" w:eastAsia="仿宋_GB2312"/>
          <w:szCs w:val="32"/>
        </w:rPr>
        <w:t>。</w:t>
      </w:r>
    </w:p>
    <w:p>
      <w:pPr>
        <w:pStyle w:val="11"/>
        <w:rPr>
          <w:rFonts w:hint="eastAsia" w:ascii="仿宋_GB2312" w:eastAsia="仿宋_GB2312"/>
          <w:szCs w:val="32"/>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十一、政府采购支出说明</w:t>
      </w:r>
      <w:r>
        <w:rPr>
          <w:rFonts w:hint="eastAsia" w:ascii="楷体" w:hAnsi="楷体" w:eastAsia="楷体" w:cs="楷体"/>
          <w:b w:val="0"/>
          <w:bCs w:val="0"/>
          <w:color w:val="FF0000"/>
          <w:sz w:val="32"/>
          <w:szCs w:val="32"/>
          <w:highlight w:val="none"/>
          <w:u w:val="none"/>
          <w:lang w:val="en-US" w:eastAsia="zh-CN"/>
        </w:rPr>
        <w:t>(数字来源于部门决算F03表—机构运行表）</w:t>
      </w:r>
    </w:p>
    <w:p>
      <w:pPr>
        <w:pStyle w:val="11"/>
        <w:rPr>
          <w:rFonts w:hint="eastAsia" w:ascii="仿宋_GB2312" w:eastAsia="仿宋_GB2312" w:cs="宋体"/>
          <w:szCs w:val="32"/>
        </w:rPr>
      </w:pPr>
      <w:r>
        <w:rPr>
          <w:rFonts w:hint="eastAsia" w:ascii="仿宋_GB2312" w:eastAsia="仿宋_GB2312" w:cs="宋体"/>
          <w:szCs w:val="32"/>
        </w:rPr>
        <w:t>本部门</w:t>
      </w:r>
      <w:r>
        <w:rPr>
          <w:rFonts w:hint="eastAsia" w:ascii="仿宋_GB2312" w:eastAsia="仿宋_GB2312" w:cs="宋体"/>
          <w:szCs w:val="32"/>
          <w:lang w:eastAsia="zh-CN"/>
        </w:rPr>
        <w:t>（单位）</w:t>
      </w:r>
      <w:r>
        <w:rPr>
          <w:rFonts w:hint="eastAsia" w:ascii="仿宋_GB2312" w:eastAsia="仿宋_GB2312" w:cs="宋体"/>
          <w:szCs w:val="32"/>
          <w:lang w:val="en-US" w:eastAsia="zh-CN"/>
        </w:rPr>
        <w:t>2022</w:t>
      </w:r>
      <w:r>
        <w:rPr>
          <w:rFonts w:hint="eastAsia" w:ascii="仿宋_GB2312" w:eastAsia="仿宋_GB2312" w:cs="宋体"/>
          <w:szCs w:val="32"/>
        </w:rPr>
        <w:t>年度政府采购支出总额</w:t>
      </w:r>
      <w:r>
        <w:rPr>
          <w:rFonts w:hint="eastAsia" w:ascii="仿宋_GB2312" w:eastAsia="仿宋_GB2312" w:cs="宋体"/>
          <w:szCs w:val="32"/>
          <w:lang w:val="en-US" w:eastAsia="zh-CN"/>
        </w:rPr>
        <w:t>5.99</w:t>
      </w:r>
      <w:r>
        <w:rPr>
          <w:rFonts w:hint="eastAsia" w:ascii="仿宋_GB2312" w:eastAsia="仿宋_GB2312" w:cs="宋体"/>
          <w:szCs w:val="32"/>
        </w:rPr>
        <w:t>万元，其中：政府采购货物支出</w:t>
      </w:r>
      <w:r>
        <w:rPr>
          <w:rFonts w:hint="eastAsia" w:ascii="仿宋_GB2312" w:eastAsia="仿宋_GB2312" w:cs="宋体"/>
          <w:szCs w:val="32"/>
          <w:lang w:val="en-US" w:eastAsia="zh-CN"/>
        </w:rPr>
        <w:t>5.99</w:t>
      </w:r>
      <w:r>
        <w:rPr>
          <w:rFonts w:hint="eastAsia" w:ascii="仿宋_GB2312" w:eastAsia="仿宋_GB2312" w:cs="宋体"/>
          <w:szCs w:val="32"/>
        </w:rPr>
        <w:t>万元、政府采购工程支出</w:t>
      </w:r>
      <w:r>
        <w:rPr>
          <w:rFonts w:hint="eastAsia" w:ascii="仿宋_GB2312" w:eastAsia="仿宋_GB2312" w:cs="宋体"/>
          <w:szCs w:val="32"/>
          <w:lang w:val="en-US" w:eastAsia="zh-CN"/>
        </w:rPr>
        <w:t>0</w:t>
      </w:r>
      <w:r>
        <w:rPr>
          <w:rFonts w:hint="eastAsia" w:ascii="仿宋_GB2312" w:eastAsia="仿宋_GB2312" w:cs="宋体"/>
          <w:szCs w:val="32"/>
        </w:rPr>
        <w:t>万元、政府采购服务支出</w:t>
      </w:r>
      <w:r>
        <w:rPr>
          <w:rFonts w:hint="eastAsia" w:ascii="仿宋_GB2312" w:eastAsia="仿宋_GB2312" w:cs="宋体"/>
          <w:szCs w:val="32"/>
          <w:lang w:val="en-US" w:eastAsia="zh-CN"/>
        </w:rPr>
        <w:t>0</w:t>
      </w:r>
      <w:r>
        <w:rPr>
          <w:rFonts w:hint="eastAsia" w:ascii="仿宋_GB2312" w:eastAsia="仿宋_GB2312" w:cs="宋体"/>
          <w:szCs w:val="32"/>
        </w:rPr>
        <w:t>万元。授予中小企业合同金额</w:t>
      </w:r>
      <w:r>
        <w:rPr>
          <w:rFonts w:hint="eastAsia" w:ascii="仿宋_GB2312" w:eastAsia="仿宋_GB2312" w:cs="宋体"/>
          <w:szCs w:val="32"/>
          <w:lang w:val="en-US" w:eastAsia="zh-CN"/>
        </w:rPr>
        <w:t>5.99</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100</w:t>
      </w:r>
      <w:r>
        <w:rPr>
          <w:rFonts w:hint="eastAsia" w:ascii="仿宋_GB2312" w:eastAsia="仿宋_GB2312" w:cs="宋体"/>
          <w:szCs w:val="32"/>
        </w:rPr>
        <w:t>%，其中：授予小微企业合同金额</w:t>
      </w:r>
      <w:r>
        <w:rPr>
          <w:rFonts w:hint="eastAsia" w:ascii="仿宋_GB2312" w:eastAsia="仿宋_GB2312" w:cs="宋体"/>
          <w:szCs w:val="32"/>
          <w:lang w:val="en-US" w:eastAsia="zh-CN"/>
        </w:rPr>
        <w:t>5.99</w:t>
      </w:r>
      <w:r>
        <w:rPr>
          <w:rFonts w:hint="eastAsia" w:ascii="仿宋_GB2312" w:eastAsia="仿宋_GB2312" w:cs="宋体"/>
          <w:szCs w:val="32"/>
        </w:rPr>
        <w:t>万元，占政府采购支出总额的</w:t>
      </w:r>
      <w:r>
        <w:rPr>
          <w:rFonts w:hint="eastAsia" w:ascii="仿宋_GB2312" w:eastAsia="仿宋_GB2312" w:cs="宋体"/>
          <w:szCs w:val="32"/>
          <w:lang w:val="en-US" w:eastAsia="zh-CN"/>
        </w:rPr>
        <w:t>100</w:t>
      </w:r>
      <w:r>
        <w:rPr>
          <w:rFonts w:hint="eastAsia" w:ascii="仿宋_GB2312" w:eastAsia="仿宋_GB2312" w:cs="宋体"/>
          <w:szCs w:val="32"/>
        </w:rPr>
        <w:t>%。</w:t>
      </w:r>
    </w:p>
    <w:p>
      <w:pPr>
        <w:pStyle w:val="11"/>
        <w:rPr>
          <w:rFonts w:hint="eastAsia" w:ascii="仿宋_GB2312" w:eastAsia="仿宋_GB2312" w:cs="宋体"/>
          <w:szCs w:val="32"/>
          <w:lang w:val="en-US" w:eastAsia="zh-CN"/>
        </w:rPr>
      </w:pPr>
    </w:p>
    <w:p>
      <w:pPr>
        <w:numPr>
          <w:ilvl w:val="0"/>
          <w:numId w:val="0"/>
        </w:numPr>
        <w:bidi w:val="0"/>
        <w:ind w:leftChars="200"/>
        <w:rPr>
          <w:rFonts w:hint="eastAsia" w:ascii="楷体" w:hAnsi="楷体" w:eastAsia="楷体" w:cs="楷体"/>
          <w:b w:val="0"/>
          <w:bCs w:val="0"/>
          <w:u w:val="none"/>
          <w:lang w:val="en-US" w:eastAsia="zh-CN"/>
        </w:rPr>
      </w:pPr>
      <w:r>
        <w:rPr>
          <w:rFonts w:hint="eastAsia" w:ascii="楷体" w:hAnsi="楷体" w:eastAsia="楷体" w:cs="楷体"/>
          <w:b w:val="0"/>
          <w:bCs w:val="0"/>
          <w:sz w:val="32"/>
          <w:szCs w:val="32"/>
          <w:highlight w:val="none"/>
          <w:u w:val="none"/>
          <w:lang w:val="en-US" w:eastAsia="zh-CN"/>
        </w:rPr>
        <w:t>十二、国有资产占用情况说明</w:t>
      </w:r>
    </w:p>
    <w:p>
      <w:pPr>
        <w:pStyle w:val="11"/>
        <w:rPr>
          <w:rFonts w:hint="eastAsia" w:ascii="仿宋_GB2312" w:eastAsia="仿宋_GB2312" w:cs="宋体"/>
          <w:szCs w:val="32"/>
        </w:rPr>
      </w:pPr>
      <w:r>
        <w:rPr>
          <w:rFonts w:hint="eastAsia" w:ascii="仿宋_GB2312" w:eastAsia="仿宋_GB2312" w:cs="宋体"/>
          <w:szCs w:val="32"/>
        </w:rPr>
        <w:t>截至</w:t>
      </w:r>
      <w:r>
        <w:rPr>
          <w:rFonts w:hint="eastAsia" w:ascii="仿宋_GB2312" w:eastAsia="仿宋_GB2312" w:cs="宋体"/>
          <w:szCs w:val="32"/>
          <w:lang w:val="en-US" w:eastAsia="zh-CN"/>
        </w:rPr>
        <w:t>2022</w:t>
      </w:r>
      <w:r>
        <w:rPr>
          <w:rFonts w:hint="eastAsia" w:ascii="仿宋_GB2312" w:eastAsia="仿宋_GB2312" w:cs="宋体"/>
          <w:szCs w:val="32"/>
        </w:rPr>
        <w:t>年12月31日，部门</w:t>
      </w:r>
      <w:r>
        <w:rPr>
          <w:rFonts w:hint="eastAsia" w:ascii="仿宋_GB2312" w:eastAsia="仿宋_GB2312" w:cs="宋体"/>
          <w:szCs w:val="32"/>
          <w:lang w:eastAsia="zh-CN"/>
        </w:rPr>
        <w:t>（单位）</w:t>
      </w:r>
      <w:r>
        <w:rPr>
          <w:rFonts w:hint="eastAsia" w:ascii="仿宋_GB2312" w:eastAsia="仿宋_GB2312" w:cs="宋体"/>
          <w:szCs w:val="32"/>
        </w:rPr>
        <w:t>共有车辆</w:t>
      </w:r>
      <w:r>
        <w:rPr>
          <w:rFonts w:hint="eastAsia" w:ascii="仿宋_GB2312" w:eastAsia="仿宋_GB2312" w:cs="宋体"/>
          <w:szCs w:val="32"/>
          <w:lang w:val="en-US" w:eastAsia="zh-CN"/>
        </w:rPr>
        <w:t>0</w:t>
      </w:r>
      <w:r>
        <w:rPr>
          <w:rFonts w:hint="eastAsia" w:ascii="仿宋_GB2312" w:eastAsia="仿宋_GB2312" w:cs="宋体"/>
          <w:szCs w:val="32"/>
        </w:rPr>
        <w:t>辆，其中，副省级及以上领导干部用车</w:t>
      </w:r>
      <w:r>
        <w:rPr>
          <w:rFonts w:hint="eastAsia" w:ascii="仿宋_GB2312" w:eastAsia="仿宋_GB2312" w:cs="宋体"/>
          <w:szCs w:val="32"/>
          <w:lang w:val="en-US" w:eastAsia="zh-CN"/>
        </w:rPr>
        <w:t>0</w:t>
      </w:r>
      <w:r>
        <w:rPr>
          <w:rFonts w:hint="eastAsia" w:ascii="仿宋_GB2312" w:eastAsia="仿宋_GB2312" w:cs="宋体"/>
          <w:szCs w:val="32"/>
        </w:rPr>
        <w:t>辆、主要领导干部用车</w:t>
      </w:r>
      <w:r>
        <w:rPr>
          <w:rFonts w:hint="eastAsia" w:ascii="仿宋_GB2312" w:eastAsia="仿宋_GB2312" w:cs="宋体"/>
          <w:szCs w:val="32"/>
          <w:lang w:val="en-US" w:eastAsia="zh-CN"/>
        </w:rPr>
        <w:t>0</w:t>
      </w:r>
      <w:r>
        <w:rPr>
          <w:rFonts w:hint="eastAsia" w:ascii="仿宋_GB2312" w:eastAsia="仿宋_GB2312" w:cs="宋体"/>
          <w:szCs w:val="32"/>
        </w:rPr>
        <w:t>辆、机要通信用车</w:t>
      </w:r>
      <w:r>
        <w:rPr>
          <w:rFonts w:hint="eastAsia" w:ascii="仿宋_GB2312" w:eastAsia="仿宋_GB2312" w:cs="宋体"/>
          <w:szCs w:val="32"/>
          <w:lang w:val="en-US" w:eastAsia="zh-CN"/>
        </w:rPr>
        <w:t>0</w:t>
      </w:r>
      <w:r>
        <w:rPr>
          <w:rFonts w:hint="eastAsia" w:ascii="仿宋_GB2312" w:eastAsia="仿宋_GB2312" w:cs="宋体"/>
          <w:szCs w:val="32"/>
        </w:rPr>
        <w:t>辆、应急保障用车</w:t>
      </w:r>
      <w:r>
        <w:rPr>
          <w:rFonts w:hint="eastAsia" w:ascii="仿宋_GB2312" w:eastAsia="仿宋_GB2312" w:cs="宋体"/>
          <w:szCs w:val="32"/>
          <w:lang w:val="en-US" w:eastAsia="zh-CN"/>
        </w:rPr>
        <w:t>0</w:t>
      </w:r>
      <w:r>
        <w:rPr>
          <w:rFonts w:hint="eastAsia" w:ascii="仿宋_GB2312" w:eastAsia="仿宋_GB2312" w:cs="宋体"/>
          <w:szCs w:val="32"/>
        </w:rPr>
        <w:t>辆、执法执勤用车</w:t>
      </w:r>
      <w:r>
        <w:rPr>
          <w:rFonts w:hint="eastAsia" w:ascii="仿宋_GB2312" w:eastAsia="仿宋_GB2312" w:cs="宋体"/>
          <w:szCs w:val="32"/>
          <w:lang w:val="en-US" w:eastAsia="zh-CN"/>
        </w:rPr>
        <w:t>0</w:t>
      </w:r>
      <w:r>
        <w:rPr>
          <w:rFonts w:hint="eastAsia" w:ascii="仿宋_GB2312" w:eastAsia="仿宋_GB2312" w:cs="宋体"/>
          <w:szCs w:val="32"/>
        </w:rPr>
        <w:t>辆、特种专业技术用车</w:t>
      </w:r>
      <w:r>
        <w:rPr>
          <w:rFonts w:hint="eastAsia" w:ascii="仿宋_GB2312" w:eastAsia="仿宋_GB2312" w:cs="宋体"/>
          <w:szCs w:val="32"/>
          <w:lang w:val="en-US" w:eastAsia="zh-CN"/>
        </w:rPr>
        <w:t>0</w:t>
      </w:r>
      <w:r>
        <w:rPr>
          <w:rFonts w:hint="eastAsia" w:ascii="仿宋_GB2312" w:eastAsia="仿宋_GB2312" w:cs="宋体"/>
          <w:szCs w:val="32"/>
        </w:rPr>
        <w:t>辆、其他用车</w:t>
      </w:r>
      <w:r>
        <w:rPr>
          <w:rFonts w:hint="eastAsia" w:ascii="仿宋_GB2312" w:eastAsia="仿宋_GB2312" w:cs="宋体"/>
          <w:szCs w:val="32"/>
          <w:lang w:val="en-US" w:eastAsia="zh-CN"/>
        </w:rPr>
        <w:t>0</w:t>
      </w:r>
      <w:r>
        <w:rPr>
          <w:rFonts w:hint="eastAsia" w:ascii="仿宋_GB2312" w:eastAsia="仿宋_GB2312" w:cs="宋体"/>
          <w:szCs w:val="32"/>
        </w:rPr>
        <w:t>辆；单位价值50万元以上通用设备</w:t>
      </w:r>
      <w:r>
        <w:rPr>
          <w:rFonts w:hint="eastAsia" w:ascii="仿宋_GB2312" w:eastAsia="仿宋_GB2312" w:cs="宋体"/>
          <w:szCs w:val="32"/>
          <w:lang w:val="en-US" w:eastAsia="zh-CN"/>
        </w:rPr>
        <w:t>0</w:t>
      </w:r>
      <w:r>
        <w:rPr>
          <w:rFonts w:hint="eastAsia" w:ascii="仿宋_GB2312" w:eastAsia="仿宋_GB2312" w:cs="宋体"/>
          <w:szCs w:val="32"/>
        </w:rPr>
        <w:t>台（套）；单位价值100万元以上专用设备</w:t>
      </w:r>
      <w:r>
        <w:rPr>
          <w:rFonts w:hint="eastAsia" w:ascii="仿宋_GB2312" w:eastAsia="仿宋_GB2312" w:cs="宋体"/>
          <w:szCs w:val="32"/>
          <w:lang w:val="en-US" w:eastAsia="zh-CN"/>
        </w:rPr>
        <w:t>0</w:t>
      </w:r>
      <w:r>
        <w:rPr>
          <w:rFonts w:hint="eastAsia" w:ascii="仿宋_GB2312" w:eastAsia="仿宋_GB2312" w:cs="宋体"/>
          <w:szCs w:val="32"/>
        </w:rPr>
        <w:t>台（套）。</w:t>
      </w:r>
    </w:p>
    <w:p>
      <w:pPr>
        <w:pStyle w:val="11"/>
        <w:rPr>
          <w:rFonts w:hint="eastAsia" w:ascii="仿宋_GB2312" w:eastAsia="仿宋_GB2312" w:cs="宋体"/>
          <w:szCs w:val="32"/>
        </w:rPr>
      </w:pPr>
    </w:p>
    <w:p>
      <w:pPr>
        <w:pStyle w:val="11"/>
        <w:rPr>
          <w:rFonts w:hint="eastAsia" w:ascii="仿宋_GB2312" w:eastAsia="仿宋_GB2312" w:cs="宋体"/>
          <w:szCs w:val="32"/>
          <w:lang w:val="en-US" w:eastAsia="zh-CN"/>
        </w:rPr>
      </w:pPr>
      <w:r>
        <w:rPr>
          <w:rFonts w:hint="eastAsia" w:ascii="仿宋_GB2312" w:eastAsia="仿宋_GB2312" w:cs="宋体"/>
          <w:szCs w:val="32"/>
          <w:lang w:val="en-US" w:eastAsia="zh-CN"/>
        </w:rPr>
        <w:t>十三、</w:t>
      </w:r>
      <w:r>
        <w:rPr>
          <w:rFonts w:hint="eastAsia" w:ascii="楷体" w:hAnsi="楷体" w:eastAsia="楷体" w:cs="楷体"/>
          <w:b w:val="0"/>
          <w:bCs w:val="0"/>
          <w:kern w:val="2"/>
          <w:sz w:val="32"/>
          <w:szCs w:val="32"/>
          <w:highlight w:val="none"/>
          <w:u w:val="none"/>
          <w:lang w:val="en-US" w:eastAsia="zh-CN" w:bidi="ar-SA"/>
        </w:rPr>
        <w:t>预算绩效情况说明</w:t>
      </w:r>
    </w:p>
    <w:p>
      <w:pPr>
        <w:bidi w:val="0"/>
        <w:ind w:firstLine="643" w:firstLineChars="200"/>
        <w:rPr>
          <w:rFonts w:hint="eastAsia" w:ascii="仿宋_GB2312" w:hAnsi="仿宋" w:eastAsia="仿宋_GB2312" w:cs="宋体"/>
          <w:b/>
          <w:bCs/>
          <w:kern w:val="2"/>
          <w:sz w:val="32"/>
          <w:szCs w:val="32"/>
          <w:lang w:val="en-US" w:eastAsia="zh-CN" w:bidi="ar-SA"/>
        </w:rPr>
      </w:pPr>
      <w:r>
        <w:rPr>
          <w:rFonts w:hint="eastAsia" w:ascii="仿宋_GB2312" w:hAnsi="仿宋" w:eastAsia="仿宋_GB2312" w:cs="宋体"/>
          <w:b/>
          <w:bCs/>
          <w:kern w:val="2"/>
          <w:sz w:val="32"/>
          <w:szCs w:val="32"/>
          <w:lang w:val="en-US" w:eastAsia="zh-CN" w:bidi="ar-SA"/>
        </w:rPr>
        <w:t>1.预算绩效管理工作开展情况。</w:t>
      </w:r>
    </w:p>
    <w:p>
      <w:pPr>
        <w:bidi w:val="0"/>
        <w:ind w:firstLine="640" w:firstLineChars="200"/>
        <w:rPr>
          <w:rFonts w:hint="eastAsia" w:ascii="仿宋_GB2312" w:hAnsi="仿宋" w:eastAsia="仿宋_GB2312" w:cs="宋体"/>
          <w:kern w:val="2"/>
          <w:sz w:val="32"/>
          <w:szCs w:val="32"/>
          <w:lang w:val="en-US" w:eastAsia="zh-CN" w:bidi="ar-SA"/>
        </w:rPr>
      </w:pPr>
      <w:r>
        <w:rPr>
          <w:rFonts w:hint="eastAsia" w:ascii="仿宋_GB2312" w:hAnsi="仿宋" w:eastAsia="仿宋_GB2312" w:cs="宋体"/>
          <w:kern w:val="2"/>
          <w:sz w:val="32"/>
          <w:szCs w:val="32"/>
          <w:lang w:val="en-US" w:eastAsia="zh-CN" w:bidi="ar-SA"/>
        </w:rPr>
        <w:t>根据预算绩效管理要求，本部门组织对2022年度一般公共预算项目支出全面开展绩效自评，</w:t>
      </w:r>
      <w:r>
        <w:rPr>
          <w:rFonts w:hint="eastAsia" w:ascii="仿宋_GB2312" w:hAnsi="仿宋" w:eastAsia="仿宋_GB2312" w:cs="宋体"/>
          <w:kern w:val="2"/>
          <w:sz w:val="32"/>
          <w:szCs w:val="32"/>
          <w:highlight w:val="none"/>
          <w:lang w:val="en-US" w:eastAsia="zh-CN" w:bidi="ar-SA"/>
        </w:rPr>
        <w:t>共涉及项目2个，资金70万元，</w:t>
      </w:r>
      <w:r>
        <w:rPr>
          <w:rFonts w:hint="eastAsia" w:ascii="仿宋_GB2312" w:hAnsi="仿宋" w:eastAsia="仿宋_GB2312" w:cs="宋体"/>
          <w:kern w:val="2"/>
          <w:sz w:val="32"/>
          <w:szCs w:val="32"/>
          <w:lang w:val="en-US" w:eastAsia="zh-CN" w:bidi="ar-SA"/>
        </w:rPr>
        <w:t>占一般公共预算项目支出总额的11％。从评价情况来看，江北管理区年初预算主要围绕人员经费及项目经费运行，在预算完成度，资金支付进度上面均按进度进行等，但因为智能产业园相关支出未纳入预算造成年度预算调整差异较大。相关资产购置等均按照相关审批流程予以落实，不存在违反规定的情况。相关部门整体绩效自评结果及部门整体支出自评表如下：</w:t>
      </w:r>
    </w:p>
    <w:tbl>
      <w:tblPr>
        <w:tblStyle w:val="6"/>
        <w:tblW w:w="1248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1"/>
        <w:gridCol w:w="529"/>
        <w:gridCol w:w="736"/>
        <w:gridCol w:w="549"/>
        <w:gridCol w:w="565"/>
        <w:gridCol w:w="565"/>
        <w:gridCol w:w="572"/>
        <w:gridCol w:w="801"/>
        <w:gridCol w:w="1972"/>
        <w:gridCol w:w="801"/>
        <w:gridCol w:w="830"/>
        <w:gridCol w:w="1024"/>
        <w:gridCol w:w="883"/>
        <w:gridCol w:w="928"/>
        <w:gridCol w:w="598"/>
        <w:gridCol w:w="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trPr>
        <w:tc>
          <w:tcPr>
            <w:tcW w:w="12487"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2022年黄石港区区部门整体支出绩效自评表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30" w:hRule="atLeast"/>
        </w:trPr>
        <w:tc>
          <w:tcPr>
            <w:tcW w:w="40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填报单位</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（盖章）：</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填报日期：</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9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2023/6/26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60" w:hRule="atLeast"/>
        </w:trPr>
        <w:tc>
          <w:tcPr>
            <w:tcW w:w="4097"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单位名称：</w:t>
            </w:r>
          </w:p>
        </w:tc>
        <w:tc>
          <w:tcPr>
            <w:tcW w:w="542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黄石港区江北管理区</w:t>
            </w:r>
          </w:p>
        </w:tc>
        <w:tc>
          <w:tcPr>
            <w:tcW w:w="1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评价年度：</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4097" w:type="dxa"/>
            <w:gridSpan w:val="7"/>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部门整体支出总额预算</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执行情况（万元）</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执行数（A）</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预算数（B）</w:t>
            </w:r>
          </w:p>
        </w:tc>
        <w:tc>
          <w:tcPr>
            <w:tcW w:w="29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执行率（A/B）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rPr>
        <w:tc>
          <w:tcPr>
            <w:tcW w:w="4097"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630.67</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358.63</w:t>
            </w:r>
          </w:p>
        </w:tc>
        <w:tc>
          <w:tcPr>
            <w:tcW w:w="296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8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指标</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分值</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指标说明</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评分标准</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年初目标值</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实际完成值</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1"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投入</w:t>
            </w:r>
          </w:p>
        </w:tc>
        <w:tc>
          <w:tcPr>
            <w:tcW w:w="181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预算执行（35分）</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预算完成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率（10分）</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预算完成率=（预算完成数/预算数）×100%，用以反映和考核部门（单位）预算完成程度。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预算完成数：部门（单位）本年度实际完成的预算数。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预算数：财政部分批复的本年度部门（单位）预算数。</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预算完成率=100%的，得10分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预算完成率≥95%的，得9分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预算完成率在90%（含）和95%之间，得8分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预算完成率在85%（含）和90%之间，得7分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预算完成率在80%（含）和85%之间，得6分。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预算完成率在70%(含）和80%之间，得4分。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预算完成率＜70%的，得0分</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56"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预算调整率（10分）</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预算调整率=（预算调整数/预算率）×100%，用以反映和考核部门（单位）预算的调整过程</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预算调整数：部门（单位）在本年度内涉及预算的追加、追减或结构调整的资金综合（因落实国家政策、发生不可抗力、上级部门或本级党委政府临时交办而产生的调整除外）。</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预算包括一般公共预算与政府性基金预算。</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预算调整率绝对值≤5%，得10分。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预算调整率绝对值＞5%的，每增加0.1个百分点扣0.1分，扣完为止。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76"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支出进度率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（10分）</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支出进度率=（实际支出/支出预算）×100%，用以反映和考核部门（单位）预算执行的及时性和均衡性程度。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半年支出进度＝部门上半年实际支出/（上年结余结转+本年部门预算安排+上半年执行中追加追减）*100%。</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前三季度支出进度＝部门前三季度实际支出/（上年结余结转+本年部门预算安排+前三季度执行中追加追减）*100%。</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半年进度：进度率≥45%，得4分；进度率在40%（含）和45%之间，得2分；进度率＜40%，得0分。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前三季度进度：进度率≥75%，得6分；进度率在60%（含）和75%之间，得4分；进度率＜60%，得0分。</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6"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预算编制准确率（5分）</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部门预算中除财政拨款外的其他收入预算与决算差异率。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预算编制准确率＝其他收入决算数/其他收入预算数×100%-100%。</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预算编制准确率≤20%，得5分。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预算编制准确率在20%和40%（含）之间，得3分。</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预算编制准确率＞40%，得0分。</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6"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过程</w:t>
            </w:r>
          </w:p>
        </w:tc>
        <w:tc>
          <w:tcPr>
            <w:tcW w:w="181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预算管理（20分）</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（5分）</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“三公经费”控制率=（“三公经费”实际支出数/“三公经费”预算安排数）×100%，用以反映和考核部门（单位）对“三公经费”的实际控制程度。</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三公经费控制率 ≤100%，得5分，每增加0.1个百分点扣0.5分，扣完为止。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1"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资产管理规范性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（5分） </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部门（单位）资产管理是否规范，用以反映和考核部门（单位）资产管理情况。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1.新增资产配置按预算执行。</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2.资产有偿使用、处置按规定程序审批。</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3.资产收益及时、足额上缴财政。</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全部符合5分，有1项不符扣2分,扣完为止。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31"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资金使用合规性</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（10分）</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部门（单位）使用预算资金是否符合相关的预算财务管理制度的规定，用以反映和考核部门（单位）预算资金的规范运行情况。</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1.符合国家财经法规和财务管理制度规定以及有关专项资金管理办法的规定；</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2.资金的拨付有完整的审批程序和手续；</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3.重大项目开支经过评估论证；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4.符合部门预算批复的用途；</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5.不存在截留、挤占、挪用、虚列支出等情况。</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全部符合10分,有1项不符扣2分，扣完为止。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55" w:hRule="atLeast"/>
        </w:trPr>
        <w:tc>
          <w:tcPr>
            <w:tcW w:w="5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效果</w:t>
            </w:r>
          </w:p>
        </w:tc>
        <w:tc>
          <w:tcPr>
            <w:tcW w:w="181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运行效益（45分）</w:t>
            </w: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行政运行经济性</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现行行政运行经费支出预算编制方法的行政运行成本。</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可使行政运行成本最经济为5分，可使行政运行成本较合理为3分，一般为2分，不合理为0分。</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行政运行有效性</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行政运行经费支出能否保障部门正常运行。</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正常运行的得5分，基本正常得3分，不能正常运行的不得分。</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专项运行经济效益</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项目资金运行产生的经济效益</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经济效益显著得10分；一般得5分，下降不得分。</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30"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专项运行社会效益</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项目资金运行产生的社会效益</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社会效益显著得10分；一般得5分；否则不得分。</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1" w:hRule="atLeast"/>
        </w:trPr>
        <w:tc>
          <w:tcPr>
            <w:tcW w:w="5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1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专项运行可持续影响</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357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1.项目完成后有经费安排能满足项目持续运行需要；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2.项目完成后有制度保障项目持续运行需要；</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3.项目完成后有明确的项目管理机构、负责人对项目后继管理负责，满足持续运行需要。</w:t>
            </w:r>
          </w:p>
        </w:tc>
        <w:tc>
          <w:tcPr>
            <w:tcW w:w="18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全部符合15分,有1项不符扣5分，扣完为止。</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9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95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评价结果（优、良、中、差）：优</w:t>
            </w:r>
          </w:p>
        </w:tc>
        <w:tc>
          <w:tcPr>
            <w:tcW w:w="18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总  分：</w:t>
            </w:r>
          </w:p>
        </w:tc>
        <w:tc>
          <w:tcPr>
            <w:tcW w:w="1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855" w:hRule="atLeast"/>
        </w:trPr>
        <w:tc>
          <w:tcPr>
            <w:tcW w:w="11934" w:type="dxa"/>
            <w:gridSpan w:val="15"/>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default" w:ascii="方正小标宋简体" w:hAnsi="方正小标宋简体" w:eastAsia="方正小标宋简体" w:cs="方正小标宋简体"/>
                <w:i w:val="0"/>
                <w:color w:val="000000"/>
                <w:kern w:val="0"/>
                <w:sz w:val="36"/>
                <w:szCs w:val="36"/>
                <w:u w:val="none"/>
                <w:lang w:val="en-US" w:eastAsia="zh-CN" w:bidi="ar"/>
              </w:rPr>
              <w:t>黄石港区2022年度部门整体支出绩效自评表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360" w:hRule="atLeast"/>
        </w:trPr>
        <w:tc>
          <w:tcPr>
            <w:tcW w:w="1110"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单位（盖章）</w:t>
            </w:r>
          </w:p>
        </w:tc>
        <w:tc>
          <w:tcPr>
            <w:tcW w:w="736" w:type="dxa"/>
            <w:shd w:val="clear" w:color="auto" w:fill="auto"/>
            <w:vAlign w:val="center"/>
          </w:tcPr>
          <w:p>
            <w:pPr>
              <w:rPr>
                <w:rFonts w:hint="eastAsia" w:ascii="宋体" w:hAnsi="宋体" w:eastAsia="宋体" w:cs="宋体"/>
                <w:i w:val="0"/>
                <w:color w:val="000000"/>
                <w:sz w:val="20"/>
                <w:szCs w:val="20"/>
                <w:u w:val="none"/>
              </w:rPr>
            </w:pPr>
          </w:p>
        </w:tc>
        <w:tc>
          <w:tcPr>
            <w:tcW w:w="1114" w:type="dxa"/>
            <w:gridSpan w:val="2"/>
            <w:shd w:val="clear" w:color="auto" w:fill="auto"/>
            <w:vAlign w:val="center"/>
          </w:tcPr>
          <w:p>
            <w:pPr>
              <w:rPr>
                <w:rFonts w:hint="eastAsia" w:ascii="宋体" w:hAnsi="宋体" w:eastAsia="宋体" w:cs="宋体"/>
                <w:i w:val="0"/>
                <w:color w:val="000000"/>
                <w:sz w:val="24"/>
                <w:szCs w:val="24"/>
                <w:u w:val="none"/>
              </w:rPr>
            </w:pPr>
          </w:p>
        </w:tc>
        <w:tc>
          <w:tcPr>
            <w:tcW w:w="1938" w:type="dxa"/>
            <w:gridSpan w:val="3"/>
            <w:shd w:val="clear" w:color="auto" w:fill="auto"/>
            <w:vAlign w:val="center"/>
          </w:tcPr>
          <w:p>
            <w:pPr>
              <w:rPr>
                <w:rFonts w:hint="eastAsia" w:ascii="宋体" w:hAnsi="宋体" w:eastAsia="宋体" w:cs="宋体"/>
                <w:i w:val="0"/>
                <w:color w:val="000000"/>
                <w:sz w:val="24"/>
                <w:szCs w:val="24"/>
                <w:u w:val="none"/>
              </w:rPr>
            </w:pPr>
          </w:p>
        </w:tc>
        <w:tc>
          <w:tcPr>
            <w:tcW w:w="1972" w:type="dxa"/>
            <w:shd w:val="clear" w:color="auto" w:fill="auto"/>
            <w:vAlign w:val="center"/>
          </w:tcPr>
          <w:p>
            <w:pPr>
              <w:rPr>
                <w:rFonts w:hint="eastAsia" w:ascii="宋体" w:hAnsi="宋体" w:eastAsia="宋体" w:cs="宋体"/>
                <w:i w:val="0"/>
                <w:color w:val="000000"/>
                <w:sz w:val="24"/>
                <w:szCs w:val="24"/>
                <w:u w:val="none"/>
              </w:rPr>
            </w:pPr>
          </w:p>
        </w:tc>
        <w:tc>
          <w:tcPr>
            <w:tcW w:w="5064" w:type="dxa"/>
            <w:gridSpan w:val="6"/>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600" w:hRule="atLeast"/>
        </w:trPr>
        <w:tc>
          <w:tcPr>
            <w:tcW w:w="1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填报单位</w:t>
            </w:r>
          </w:p>
        </w:tc>
        <w:tc>
          <w:tcPr>
            <w:tcW w:w="30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黄石港区江北管理区</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填报日期</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2023年6月26日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540" w:hRule="atLeast"/>
        </w:trPr>
        <w:tc>
          <w:tcPr>
            <w:tcW w:w="18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基本支出决算数</w:t>
            </w:r>
          </w:p>
        </w:tc>
        <w:tc>
          <w:tcPr>
            <w:tcW w:w="305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560.67</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项目支出决算数</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285"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一级指标</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二级指标</w:t>
            </w:r>
          </w:p>
        </w:tc>
        <w:tc>
          <w:tcPr>
            <w:tcW w:w="111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三级指标</w:t>
            </w:r>
          </w:p>
        </w:tc>
        <w:tc>
          <w:tcPr>
            <w:tcW w:w="193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自评分</w:t>
            </w:r>
          </w:p>
        </w:tc>
        <w:tc>
          <w:tcPr>
            <w:tcW w:w="1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指标解释</w:t>
            </w:r>
          </w:p>
        </w:tc>
        <w:tc>
          <w:tcPr>
            <w:tcW w:w="5064"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指标说明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8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color w:val="000000"/>
                <w:sz w:val="21"/>
                <w:szCs w:val="21"/>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color w:val="000000"/>
                <w:sz w:val="21"/>
                <w:szCs w:val="21"/>
                <w:u w:val="none"/>
              </w:rPr>
            </w:pP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color w:val="000000"/>
                <w:sz w:val="21"/>
                <w:szCs w:val="21"/>
                <w:u w:val="none"/>
              </w:rPr>
            </w:pPr>
          </w:p>
        </w:tc>
        <w:tc>
          <w:tcPr>
            <w:tcW w:w="193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color w:val="000000"/>
                <w:sz w:val="21"/>
                <w:szCs w:val="21"/>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color w:val="000000"/>
                <w:sz w:val="21"/>
                <w:szCs w:val="21"/>
                <w:u w:val="none"/>
              </w:rPr>
            </w:pPr>
          </w:p>
        </w:tc>
        <w:tc>
          <w:tcPr>
            <w:tcW w:w="5064"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黑体" w:hAnsi="宋体" w:eastAsia="黑体" w:cs="黑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285"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 入（20分）</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目标设定（5分）</w:t>
            </w:r>
          </w:p>
        </w:tc>
        <w:tc>
          <w:tcPr>
            <w:tcW w:w="111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绩效目标合理性（2分）</w:t>
            </w:r>
          </w:p>
        </w:tc>
        <w:tc>
          <w:tcPr>
            <w:tcW w:w="193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2</w:t>
            </w:r>
          </w:p>
        </w:tc>
        <w:tc>
          <w:tcPr>
            <w:tcW w:w="1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部门所设立的整体绩效目标依据是否充分，是否符合客观实际，用以反映和考核部门整体绩效目标与部门履职、年度工作任务的相符性情况。</w:t>
            </w:r>
          </w:p>
        </w:tc>
        <w:tc>
          <w:tcPr>
            <w:tcW w:w="5064"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①符合国家法律法规、国民经济和社会发展总体规划计1分；②符合部门“三定”方案确定的职责计0.5分；③是否符合部门制定的中长期实施规划计0.5分。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315"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93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18"/>
                <w:szCs w:val="18"/>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p>
        </w:tc>
        <w:tc>
          <w:tcPr>
            <w:tcW w:w="5064"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6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93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333333"/>
                <w:sz w:val="18"/>
                <w:szCs w:val="18"/>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p>
        </w:tc>
        <w:tc>
          <w:tcPr>
            <w:tcW w:w="5064"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285"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绩效指标明确性（3分）</w:t>
            </w:r>
          </w:p>
        </w:tc>
        <w:tc>
          <w:tcPr>
            <w:tcW w:w="1938"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97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部门依据整体绩效目标所设定的绩效指标是否清晰、细化、可衡量，用以反映和考核部门整体绩效目标的明细化情况。</w:t>
            </w:r>
          </w:p>
        </w:tc>
        <w:tc>
          <w:tcPr>
            <w:tcW w:w="5064"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75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938"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97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p>
        </w:tc>
        <w:tc>
          <w:tcPr>
            <w:tcW w:w="5064"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411"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预算配置（15分）</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在职人员控制率（5分）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部门本年度实际在职人员数与编制数的比率，用以反映和考核部门对人员成本的控制程度。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321"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“三公经费”变动率（5分）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部门本年度“三公经费”预算数与上年度“三公经费”预算数的变动比率，用以反映和考核部门对控制重点行政成本的努力程度。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441"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重点支出安排率（5分）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部门本年度预算安排的重点项目支出与部门项目总支出的比率，用以反映和考核部门对履行主要职责或完成重点任务的保障程度。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14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2"/>
                <w:lang w:val="en-US" w:eastAsia="zh-CN" w:bidi="ar"/>
              </w:rPr>
              <w:t xml:space="preserve"> 过 程（</w:t>
            </w:r>
            <w:r>
              <w:rPr>
                <w:rStyle w:val="13"/>
                <w:lang w:val="en-US" w:eastAsia="zh-CN" w:bidi="ar"/>
              </w:rPr>
              <w:t>30</w:t>
            </w:r>
            <w:r>
              <w:rPr>
                <w:rStyle w:val="12"/>
                <w:lang w:val="en-US" w:eastAsia="zh-CN" w:bidi="ar"/>
              </w:rPr>
              <w:t>分）</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预算执行（20分）</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预算完成率（4分）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部门本年度预算完成数与预算数的比率，用以反映和考核部门预算完成程度。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预算完成率=（预算完成数/预算数）×100%。完成年初预算计4分，未完成年初预算按比例扣减，预算完成数：部门本年度实际完成的预算数。预算数：财政部门批复的本年度部门预算数。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456"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预算调整率（2分）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部门本年度预算调整数与预算数的比率，用以反映和考核部门预算的调整程度。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801"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支付进度率（2分）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部门实际支付进度与既定支付进度的比率，用以反映和考核部门预算执行的及时性和均衡性程度。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125"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过 程（30分）</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预算执行（20分）</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结转结余控制率（4分）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部门本年度结转结余总额与上年结转结余总额增减比例，用以反映和考核部门对存量资金的实际控制程度。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90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公用经费控制率（2分）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部门本年度实际支出的公用经费总额与预算安排的公用经费总额的比率，用以反映和考核部门对机构运转成本的实际控制程度。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公用经费控制率=（实际支出公用经费总额/预算安排公用经费总额）×100%。为100%的计2分，每超过1个百分点扣0.1分，扣完为止。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90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“三公经费”控制率（2分）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部门本年度“三公经费”实际支出数与预算安排数的比率，用以反映和考核部门对“三公经费”的实际控制程度。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“三公经费”控制率=（“三公经费”实际支出数/“三公经费”预算安排数）×100%。为100%的计2分，每超过1个百分点扣0.5分，扣完为止。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321"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政府采购执行率（4分）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部门本年度实际政府采购金额与年初政府采购预算的比率，用以反映和考核部门政府采购预算执行情况。</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275"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预算管理（10分）</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管理制度健全性（4分）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部门为加强预算管理、规范财务行为而制定的管理制度是否健全完整，用以反映和考核部门预算管理制度对完成主要职责或促进事业发展的保障情况。</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已制定或具有预算资金管理办法、内部财务管理制度、会计核算制度等管理制度计2分；相关管理制度合法、合规、完整计1分；相关管理制度得到有效执行计1分。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561"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资金使用合规性（2分）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部门使用预算资金是否符合相关的预算财务管理制度的规定，用以反映和考核部门预算资金的规范运行情况。</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符合国家财经法规和财务管理制度规定以及有关专项资金管理办法的规定计0.4分；②资金的拨付有完整的审批程序和手续计0.4分；③项目的重大开支经过评估论证计0.4分；④符合部门预算批复的用途计0.4分；⑤不存在截留、挤占、挪用、虚列支出等情况计0.4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26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预决算信息公开性（2分）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部门是否按照政府信息公开有关规定公开相关预决算信息，用以反映和考核部门预决算管理的公开透明情况。</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①按规定内容公开预决算信息计1分；②按规定时限公开预决算信息计1分。预决算信息是指与部门预算、执行、决算、监督、绩效等管理相关的信息。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035"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基础信息完善性（2分）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部门基础信息是否完善，用以反映和考核基础信息对预算管理工作的支撑情况。</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①基础数据信息和会计信息资料真实计0.8分；②基础数据信息和会计信息资料完整计0.6分；③基础数据信息和会计信息资料准确计0.6分。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02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Style w:val="12"/>
                <w:lang w:val="en-US" w:eastAsia="zh-CN" w:bidi="ar"/>
              </w:rPr>
              <w:t xml:space="preserve"> 产  出（</w:t>
            </w:r>
            <w:r>
              <w:rPr>
                <w:rStyle w:val="13"/>
                <w:lang w:val="en-US" w:eastAsia="zh-CN" w:bidi="ar"/>
              </w:rPr>
              <w:t>30</w:t>
            </w:r>
            <w:r>
              <w:rPr>
                <w:rStyle w:val="12"/>
                <w:lang w:val="en-US" w:eastAsia="zh-CN" w:bidi="ar"/>
              </w:rPr>
              <w:t>分）</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职责履行（30分）</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实际完成率（8分）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部门履行职责而实际完成工作数与计划工作数的比率，用以反映和考核部门履职工作任务目标的实现程度。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实际完成率得分=完成区委区政府绩效考核得分或上级主管部门考核指标得分/指标分值*8分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105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完成及时率（4分）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部门在规定时限内及时完成的实际工作数与计划工作数的比率,用以反映和考核部门履职时效目标的实现程度。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完成及时率=（及时完成实际工作数/计划工作数）×100%。1-4季度各得1分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90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质量达标率（8分）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达到质量标准（绩效标准值）的实际工作数与计划工作数的比率,用以反映和考核部门履职质量目标的实现程度。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质量达标率=（质量达标实际工作数/计划工作数）×100%。实际得分=达标率*8分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900" w:hRule="atLeast"/>
        </w:trPr>
        <w:tc>
          <w:tcPr>
            <w:tcW w:w="11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1"/>
                <w:szCs w:val="21"/>
                <w:u w:val="none"/>
              </w:rPr>
            </w:pPr>
          </w:p>
        </w:tc>
        <w:tc>
          <w:tcPr>
            <w:tcW w:w="7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重点工作办结率（10分）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部门年度重点工作实际完成数与交办或下达数的比率，用以反映部门对重点工作的办理落实程度。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重点工作办结率=（重点工作实际完成数/交办或下达数）×100%。实际得分=办结率*10分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45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Style w:val="12"/>
                <w:lang w:val="en-US" w:eastAsia="zh-CN" w:bidi="ar"/>
              </w:rPr>
              <w:t xml:space="preserve"> 效 果（</w:t>
            </w:r>
            <w:r>
              <w:rPr>
                <w:rStyle w:val="13"/>
                <w:lang w:val="en-US" w:eastAsia="zh-CN" w:bidi="ar"/>
              </w:rPr>
              <w:t>20</w:t>
            </w:r>
            <w:r>
              <w:rPr>
                <w:rStyle w:val="12"/>
                <w:lang w:val="en-US" w:eastAsia="zh-CN" w:bidi="ar"/>
              </w:rPr>
              <w:t>分）</w:t>
            </w:r>
          </w:p>
        </w:tc>
        <w:tc>
          <w:tcPr>
            <w:tcW w:w="73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履职效益（20分）</w:t>
            </w: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经济效益（5分）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部门履行职责对经济发展所带来的直接或间接影响。</w:t>
            </w:r>
          </w:p>
        </w:tc>
        <w:tc>
          <w:tcPr>
            <w:tcW w:w="5064" w:type="dxa"/>
            <w:gridSpan w:val="6"/>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按经济效益实现程度计算得分（5分）；按社会效益实现程度计算得分（5分）；按生态效益实现程度计算得分（5分）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45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社会效益（5分）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部门履行职责对社会发展所带来的直接或间接影响。</w:t>
            </w:r>
          </w:p>
        </w:tc>
        <w:tc>
          <w:tcPr>
            <w:tcW w:w="5064"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45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生态效益（5分）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部门履行职责对生态环境所带来的直接或间接影响。</w:t>
            </w:r>
          </w:p>
        </w:tc>
        <w:tc>
          <w:tcPr>
            <w:tcW w:w="5064" w:type="dxa"/>
            <w:gridSpan w:val="6"/>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72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736"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8"/>
                <w:szCs w:val="18"/>
                <w:u w:val="none"/>
              </w:rPr>
            </w:pPr>
          </w:p>
        </w:tc>
        <w:tc>
          <w:tcPr>
            <w:tcW w:w="11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社会公众或服务对象满意度（5分）</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97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社会公众或部门的服务对象对部门履职效果的满意程度。</w:t>
            </w: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按收集到的服务对象的满意率计算得分（5分）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553" w:type="dxa"/>
          <w:trHeight w:val="420" w:hRule="atLeast"/>
        </w:trPr>
        <w:tc>
          <w:tcPr>
            <w:tcW w:w="296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  计</w:t>
            </w:r>
          </w:p>
        </w:tc>
        <w:tc>
          <w:tcPr>
            <w:tcW w:w="193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97.3</w:t>
            </w:r>
          </w:p>
        </w:tc>
        <w:tc>
          <w:tcPr>
            <w:tcW w:w="197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50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bidi w:val="0"/>
        <w:ind w:firstLine="640" w:firstLineChars="200"/>
        <w:rPr>
          <w:rFonts w:hint="eastAsia" w:ascii="仿宋_GB2312" w:hAnsi="仿宋" w:eastAsia="仿宋_GB2312" w:cs="宋体"/>
          <w:kern w:val="2"/>
          <w:sz w:val="32"/>
          <w:szCs w:val="32"/>
          <w:lang w:val="en-US" w:eastAsia="zh-CN" w:bidi="ar-SA"/>
        </w:rPr>
      </w:pPr>
    </w:p>
    <w:p>
      <w:pPr>
        <w:pStyle w:val="11"/>
        <w:rPr>
          <w:rFonts w:hint="eastAsia" w:ascii="仿宋_GB2312" w:hAnsi="仿宋_GB2312" w:eastAsia="仿宋_GB2312" w:cs="仿宋_GB2312"/>
          <w:b/>
          <w:bCs/>
          <w:sz w:val="32"/>
          <w:szCs w:val="32"/>
          <w:u w:val="none"/>
          <w:lang w:eastAsia="zh-CN"/>
        </w:rPr>
      </w:pPr>
      <w:r>
        <w:rPr>
          <w:rFonts w:hint="eastAsia" w:ascii="仿宋_GB2312" w:hAnsi="仿宋_GB2312" w:eastAsia="仿宋_GB2312" w:cs="仿宋_GB2312"/>
          <w:b/>
          <w:bCs/>
          <w:sz w:val="32"/>
          <w:szCs w:val="32"/>
          <w:u w:val="none"/>
          <w:lang w:val="en-US" w:eastAsia="zh-CN"/>
        </w:rPr>
        <w:t>2.</w:t>
      </w:r>
      <w:r>
        <w:rPr>
          <w:rFonts w:hint="eastAsia" w:ascii="仿宋_GB2312" w:hAnsi="仿宋_GB2312" w:eastAsia="仿宋_GB2312" w:cs="仿宋_GB2312"/>
          <w:b/>
          <w:bCs/>
          <w:sz w:val="32"/>
          <w:szCs w:val="32"/>
          <w:u w:val="none"/>
          <w:lang w:eastAsia="zh-CN"/>
        </w:rPr>
        <w:t>部门决算中项目绩效自评结果。</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rPr>
        <w:t>本部门今年在部门决算中反映所有项目绩效自评结果（涉密项目除外）。</w:t>
      </w:r>
    </w:p>
    <w:p>
      <w:pPr>
        <w:spacing w:line="560" w:lineRule="exact"/>
        <w:ind w:firstLine="640"/>
        <w:rPr>
          <w:rFonts w:hint="eastAsia" w:ascii="仿宋_GB2312" w:hAnsi="仿宋" w:eastAsia="仿宋_GB2312" w:cs="仿宋"/>
          <w:sz w:val="32"/>
          <w:szCs w:val="32"/>
          <w:u w:val="none"/>
        </w:rPr>
      </w:pPr>
      <w:r>
        <w:rPr>
          <w:rFonts w:hint="eastAsia" w:ascii="仿宋_GB2312" w:hAnsi="仿宋" w:eastAsia="仿宋_GB2312" w:cs="仿宋"/>
          <w:sz w:val="32"/>
          <w:szCs w:val="32"/>
          <w:u w:val="none"/>
          <w:lang w:eastAsia="zh-CN"/>
        </w:rPr>
        <w:t>根据</w:t>
      </w:r>
      <w:r>
        <w:rPr>
          <w:rFonts w:hint="eastAsia" w:ascii="仿宋_GB2312" w:hAnsi="仿宋" w:eastAsia="仿宋_GB2312" w:cs="仿宋"/>
          <w:sz w:val="32"/>
          <w:szCs w:val="32"/>
          <w:u w:val="none"/>
          <w:lang w:val="en-US" w:eastAsia="zh-CN"/>
        </w:rPr>
        <w:t>2022年度</w:t>
      </w:r>
      <w:r>
        <w:rPr>
          <w:rFonts w:hint="eastAsia" w:ascii="仿宋_GB2312" w:hAnsi="仿宋" w:eastAsia="仿宋_GB2312" w:cs="仿宋"/>
          <w:sz w:val="32"/>
          <w:szCs w:val="32"/>
          <w:u w:val="none"/>
        </w:rPr>
        <w:t>项目绩效自评综述：项目全年预算数为</w:t>
      </w:r>
      <w:r>
        <w:rPr>
          <w:rFonts w:hint="eastAsia" w:ascii="仿宋_GB2312" w:hAnsi="仿宋" w:eastAsia="仿宋_GB2312" w:cs="仿宋"/>
          <w:sz w:val="32"/>
          <w:szCs w:val="32"/>
          <w:u w:val="none"/>
          <w:lang w:val="en-US" w:eastAsia="zh-CN"/>
        </w:rPr>
        <w:t>65</w:t>
      </w:r>
      <w:r>
        <w:rPr>
          <w:rFonts w:hint="eastAsia" w:ascii="仿宋_GB2312" w:hAnsi="仿宋" w:eastAsia="仿宋_GB2312" w:cs="仿宋"/>
          <w:sz w:val="32"/>
          <w:szCs w:val="32"/>
          <w:u w:val="none"/>
        </w:rPr>
        <w:t>万元，执行数为</w:t>
      </w:r>
      <w:r>
        <w:rPr>
          <w:rFonts w:hint="eastAsia" w:ascii="仿宋_GB2312" w:hAnsi="仿宋" w:eastAsia="仿宋_GB2312" w:cs="仿宋"/>
          <w:sz w:val="32"/>
          <w:szCs w:val="32"/>
          <w:u w:val="none"/>
          <w:lang w:val="en-US" w:eastAsia="zh-CN"/>
        </w:rPr>
        <w:t>70</w:t>
      </w:r>
      <w:r>
        <w:rPr>
          <w:rFonts w:hint="eastAsia" w:ascii="仿宋_GB2312" w:hAnsi="仿宋" w:eastAsia="仿宋_GB2312" w:cs="仿宋"/>
          <w:sz w:val="32"/>
          <w:szCs w:val="32"/>
          <w:u w:val="none"/>
        </w:rPr>
        <w:t>万元，完成预算</w:t>
      </w:r>
      <w:r>
        <w:rPr>
          <w:rFonts w:hint="eastAsia" w:ascii="仿宋_GB2312" w:hAnsi="仿宋" w:eastAsia="仿宋_GB2312" w:cs="仿宋"/>
          <w:sz w:val="32"/>
          <w:szCs w:val="32"/>
          <w:u w:val="none"/>
          <w:lang w:val="en-US" w:eastAsia="zh-CN"/>
        </w:rPr>
        <w:t>116</w:t>
      </w:r>
      <w:r>
        <w:rPr>
          <w:rFonts w:hint="eastAsia" w:ascii="仿宋_GB2312" w:hAnsi="仿宋" w:eastAsia="仿宋_GB2312" w:cs="仿宋"/>
          <w:sz w:val="32"/>
          <w:szCs w:val="32"/>
          <w:u w:val="none"/>
        </w:rPr>
        <w:t>％。主要产出和效益：一是</w:t>
      </w:r>
      <w:r>
        <w:rPr>
          <w:rFonts w:hint="eastAsia" w:ascii="仿宋_GB2312" w:hAnsi="仿宋" w:eastAsia="仿宋_GB2312" w:cs="仿宋"/>
          <w:sz w:val="32"/>
          <w:szCs w:val="32"/>
          <w:u w:val="none"/>
          <w:lang w:eastAsia="zh-CN"/>
        </w:rPr>
        <w:t>服务园区企业而新建的营商环境中心项目</w:t>
      </w:r>
      <w:r>
        <w:rPr>
          <w:rFonts w:hint="eastAsia" w:ascii="仿宋_GB2312" w:hAnsi="仿宋" w:eastAsia="仿宋_GB2312" w:cs="仿宋"/>
          <w:sz w:val="32"/>
          <w:szCs w:val="32"/>
          <w:u w:val="none"/>
        </w:rPr>
        <w:t>；二是</w:t>
      </w:r>
      <w:r>
        <w:rPr>
          <w:rFonts w:hint="eastAsia" w:ascii="仿宋_GB2312" w:hAnsi="仿宋" w:eastAsia="仿宋_GB2312" w:cs="仿宋"/>
          <w:sz w:val="32"/>
          <w:szCs w:val="32"/>
          <w:u w:val="none"/>
          <w:lang w:eastAsia="zh-CN"/>
        </w:rPr>
        <w:t>为改善当地居民的精神文明建设而修建的江北社区文体中心改造项目。</w:t>
      </w:r>
      <w:r>
        <w:rPr>
          <w:rFonts w:hint="eastAsia" w:ascii="仿宋_GB2312" w:hAnsi="仿宋" w:eastAsia="仿宋_GB2312" w:cs="仿宋"/>
          <w:sz w:val="32"/>
          <w:szCs w:val="32"/>
          <w:u w:val="none"/>
        </w:rPr>
        <w:t>发现的问题及原因：一是</w:t>
      </w:r>
      <w:r>
        <w:rPr>
          <w:rFonts w:hint="eastAsia" w:ascii="仿宋_GB2312" w:hAnsi="仿宋" w:eastAsia="仿宋_GB2312" w:cs="仿宋"/>
          <w:sz w:val="32"/>
          <w:szCs w:val="32"/>
          <w:u w:val="none"/>
          <w:lang w:eastAsia="zh-CN"/>
        </w:rPr>
        <w:t>项目前期可研设计等相关费用无资金来源支持</w:t>
      </w:r>
      <w:r>
        <w:rPr>
          <w:rFonts w:hint="eastAsia" w:ascii="仿宋_GB2312" w:hAnsi="仿宋" w:eastAsia="仿宋_GB2312" w:cs="仿宋"/>
          <w:sz w:val="32"/>
          <w:szCs w:val="32"/>
          <w:u w:val="none"/>
        </w:rPr>
        <w:t>；二是</w:t>
      </w:r>
      <w:r>
        <w:rPr>
          <w:rFonts w:hint="eastAsia" w:ascii="仿宋_GB2312" w:hAnsi="仿宋" w:eastAsia="仿宋_GB2312" w:cs="仿宋"/>
          <w:sz w:val="32"/>
          <w:szCs w:val="32"/>
          <w:u w:val="none"/>
          <w:lang w:eastAsia="zh-CN"/>
        </w:rPr>
        <w:t>按项目申请一般债券后申请时间与工程进度时间存在差异，存在付款滞后的情况。</w:t>
      </w:r>
      <w:r>
        <w:rPr>
          <w:rFonts w:hint="eastAsia" w:ascii="仿宋_GB2312" w:hAnsi="仿宋" w:eastAsia="仿宋_GB2312" w:cs="仿宋"/>
          <w:sz w:val="32"/>
          <w:szCs w:val="32"/>
          <w:u w:val="none"/>
        </w:rPr>
        <w:t>下一步改进措施：一是</w:t>
      </w:r>
      <w:r>
        <w:rPr>
          <w:rFonts w:hint="eastAsia" w:ascii="仿宋_GB2312" w:hAnsi="仿宋" w:eastAsia="仿宋_GB2312" w:cs="仿宋"/>
          <w:sz w:val="32"/>
          <w:szCs w:val="32"/>
          <w:u w:val="none"/>
          <w:lang w:eastAsia="zh-CN"/>
        </w:rPr>
        <w:t>向上级相关部门积极沟通，争取相关预算资金，完善各个项目程序，实时跟踪项目进度</w:t>
      </w:r>
      <w:r>
        <w:rPr>
          <w:rFonts w:hint="eastAsia" w:ascii="仿宋_GB2312" w:hAnsi="仿宋" w:eastAsia="仿宋_GB2312" w:cs="仿宋"/>
          <w:sz w:val="32"/>
          <w:szCs w:val="32"/>
          <w:u w:val="none"/>
        </w:rPr>
        <w:t>；二是</w:t>
      </w:r>
      <w:r>
        <w:rPr>
          <w:rFonts w:hint="eastAsia" w:ascii="仿宋_GB2312" w:hAnsi="仿宋" w:eastAsia="仿宋_GB2312" w:cs="仿宋"/>
          <w:sz w:val="32"/>
          <w:szCs w:val="32"/>
          <w:u w:val="none"/>
          <w:lang w:eastAsia="zh-CN"/>
        </w:rPr>
        <w:t>按照规定对于能纳入预算申请的项目资金积极争取，提前规划，合理利用资金</w:t>
      </w:r>
      <w:r>
        <w:rPr>
          <w:rFonts w:hint="eastAsia" w:ascii="仿宋_GB2312" w:hAnsi="仿宋" w:eastAsia="仿宋_GB2312" w:cs="仿宋"/>
          <w:sz w:val="32"/>
          <w:szCs w:val="32"/>
          <w:u w:val="none"/>
        </w:rPr>
        <w:t>。</w:t>
      </w:r>
    </w:p>
    <w:p>
      <w:pPr>
        <w:spacing w:line="560" w:lineRule="exact"/>
        <w:ind w:firstLine="640"/>
        <w:rPr>
          <w:rFonts w:hint="eastAsia" w:ascii="仿宋_GB2312" w:hAnsi="仿宋" w:eastAsia="仿宋_GB2312" w:cs="仿宋"/>
          <w:sz w:val="32"/>
          <w:szCs w:val="32"/>
          <w:u w:val="none"/>
        </w:rPr>
      </w:pPr>
    </w:p>
    <w:p>
      <w:pPr>
        <w:numPr>
          <w:ilvl w:val="0"/>
          <w:numId w:val="5"/>
        </w:numPr>
        <w:spacing w:line="560" w:lineRule="exact"/>
        <w:ind w:firstLine="640"/>
        <w:rPr>
          <w:rFonts w:hint="eastAsia" w:ascii="仿宋_GB2312" w:hAnsi="仿宋_GB2312" w:cs="仿宋_GB2312"/>
          <w:b/>
          <w:bCs/>
          <w:sz w:val="32"/>
          <w:szCs w:val="32"/>
          <w:u w:val="none"/>
          <w:lang w:eastAsia="zh-CN"/>
        </w:rPr>
      </w:pPr>
      <w:r>
        <w:rPr>
          <w:rFonts w:hint="eastAsia" w:ascii="仿宋_GB2312" w:hAnsi="仿宋_GB2312" w:eastAsia="仿宋_GB2312" w:cs="仿宋_GB2312"/>
          <w:b/>
          <w:bCs/>
          <w:sz w:val="32"/>
          <w:szCs w:val="32"/>
          <w:u w:val="none"/>
        </w:rPr>
        <w:t>绩效评价结果应用情况</w:t>
      </w:r>
      <w:r>
        <w:rPr>
          <w:rFonts w:hint="eastAsia" w:ascii="仿宋_GB2312" w:hAnsi="仿宋_GB2312" w:cs="仿宋_GB2312"/>
          <w:b/>
          <w:bCs/>
          <w:sz w:val="32"/>
          <w:szCs w:val="32"/>
          <w:u w:val="none"/>
          <w:lang w:eastAsia="zh-CN"/>
        </w:rPr>
        <w:t>。</w:t>
      </w:r>
    </w:p>
    <w:p>
      <w:pPr>
        <w:numPr>
          <w:ilvl w:val="0"/>
          <w:numId w:val="0"/>
        </w:numPr>
        <w:spacing w:line="560" w:lineRule="exact"/>
        <w:rPr>
          <w:rFonts w:hint="eastAsia" w:ascii="仿宋_GB2312" w:hAnsi="仿宋" w:eastAsia="仿宋_GB2312" w:cs="仿宋"/>
          <w:sz w:val="32"/>
          <w:szCs w:val="32"/>
          <w:u w:val="none"/>
          <w:lang w:val="en-US" w:eastAsia="zh-CN"/>
        </w:rPr>
      </w:pPr>
      <w:r>
        <w:rPr>
          <w:rFonts w:hint="eastAsia" w:ascii="仿宋_GB2312" w:hAnsi="仿宋_GB2312" w:cs="仿宋_GB2312"/>
          <w:b/>
          <w:bCs/>
          <w:sz w:val="32"/>
          <w:szCs w:val="32"/>
          <w:u w:val="none"/>
          <w:lang w:val="en-US" w:eastAsia="zh-CN"/>
        </w:rPr>
        <w:t xml:space="preserve">    </w:t>
      </w:r>
      <w:r>
        <w:rPr>
          <w:rFonts w:hint="eastAsia" w:ascii="仿宋_GB2312" w:hAnsi="仿宋" w:eastAsia="仿宋_GB2312" w:cs="仿宋"/>
          <w:sz w:val="32"/>
          <w:szCs w:val="32"/>
          <w:u w:val="none"/>
          <w:lang w:val="en-US" w:eastAsia="zh-CN"/>
        </w:rPr>
        <w:t>黄石港区江北管理区开展部门整体支出绩效自评工作，针对各项指标逐项进行考核。项目支出围绕优化营商环境中心改造，江北社区文体中心改造项目进行，重点项目安排率达到100%。2022年主要围绕提质增效，着力园区经济发展；保障民生，增进民生福祉；便民安民，创建平安社区；安全生产大检查大整治四个方面开展部门工作。在预算执行过程中我单位全额完成年初预算数，2022年在年初预算的基础上调整预算至630.67万元，主要为落实园区基础设施建设等而追加的项目支出。相关支付进度均按照相关政策要求按规按时支付。在工作过程中我单位不断健全完善相关制度，建立符合国家财经法规和财务管理制度规定以及有关专项资金管理办法的规定，相关管理制度得到有效执行。</w:t>
      </w:r>
    </w:p>
    <w:p>
      <w:pPr>
        <w:spacing w:line="560" w:lineRule="exact"/>
        <w:ind w:firstLine="640"/>
        <w:rPr>
          <w:rFonts w:hint="eastAsia" w:ascii="仿宋_GB2312" w:hAnsi="仿宋" w:eastAsia="仿宋_GB2312" w:cs="仿宋"/>
          <w:sz w:val="32"/>
          <w:szCs w:val="32"/>
          <w:u w:val="none"/>
        </w:rPr>
      </w:pPr>
    </w:p>
    <w:p>
      <w:pPr>
        <w:pStyle w:val="11"/>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第四部分  名词解释</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none"/>
          <w:u w:val="none"/>
          <w:lang w:eastAsia="zh-CN"/>
        </w:rPr>
      </w:pPr>
      <w:r>
        <w:rPr>
          <w:rFonts w:hint="eastAsia" w:ascii="仿宋_GB2312" w:eastAsia="仿宋_GB2312"/>
          <w:bCs/>
          <w:kern w:val="44"/>
          <w:sz w:val="32"/>
          <w:szCs w:val="32"/>
          <w:highlight w:val="none"/>
          <w:u w:val="none"/>
        </w:rPr>
        <w:t>(一)</w:t>
      </w:r>
      <w:r>
        <w:rPr>
          <w:rFonts w:hint="eastAsia" w:ascii="仿宋_GB2312" w:eastAsia="仿宋_GB2312"/>
          <w:spacing w:val="6"/>
          <w:sz w:val="32"/>
          <w:szCs w:val="32"/>
          <w:highlight w:val="none"/>
          <w:u w:val="none"/>
        </w:rPr>
        <w:t>一般公共预算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eastAsia="仿宋_GB2312"/>
          <w:spacing w:val="6"/>
          <w:sz w:val="32"/>
          <w:szCs w:val="32"/>
          <w:highlight w:val="none"/>
          <w:u w:val="none"/>
        </w:rPr>
        <w:t>一般公共预算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default" w:ascii="仿宋_GB2312" w:eastAsia="仿宋_GB2312"/>
          <w:bCs/>
          <w:kern w:val="44"/>
          <w:sz w:val="32"/>
          <w:szCs w:val="32"/>
          <w:highlight w:val="none"/>
          <w:u w:val="none"/>
        </w:rPr>
        <w:t>指</w:t>
      </w:r>
      <w:r>
        <w:rPr>
          <w:rFonts w:hint="eastAsia" w:ascii="仿宋_GB2312" w:eastAsia="仿宋_GB2312"/>
          <w:bCs/>
          <w:kern w:val="44"/>
          <w:sz w:val="32"/>
          <w:szCs w:val="32"/>
          <w:highlight w:val="none"/>
          <w:u w:val="none"/>
          <w:lang w:eastAsia="zh-CN"/>
        </w:rPr>
        <w:t>市级</w:t>
      </w:r>
      <w:r>
        <w:rPr>
          <w:rFonts w:hint="default" w:ascii="仿宋_GB2312" w:eastAsia="仿宋_GB2312"/>
          <w:bCs/>
          <w:kern w:val="44"/>
          <w:sz w:val="32"/>
          <w:szCs w:val="32"/>
          <w:highlight w:val="none"/>
          <w:u w:val="none"/>
        </w:rPr>
        <w:t>财政</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default" w:ascii="仿宋_GB2312" w:eastAsia="仿宋_GB2312"/>
          <w:bCs/>
          <w:kern w:val="44"/>
          <w:sz w:val="32"/>
          <w:szCs w:val="32"/>
          <w:highlight w:val="none"/>
          <w:u w:val="none"/>
        </w:rPr>
        <w:t>当年拨付的</w:t>
      </w:r>
      <w:r>
        <w:rPr>
          <w:rFonts w:hint="eastAsia" w:ascii="仿宋_GB2312" w:eastAsia="仿宋_GB2312"/>
          <w:bCs/>
          <w:kern w:val="44"/>
          <w:sz w:val="32"/>
          <w:szCs w:val="32"/>
          <w:highlight w:val="none"/>
          <w:u w:val="none"/>
          <w:lang w:eastAsia="zh-CN"/>
        </w:rPr>
        <w:t>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预算财政拨款收入：指市级财政</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预算当年拨付的资金。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四</w:t>
      </w:r>
      <w:r>
        <w:rPr>
          <w:rFonts w:hint="eastAsia" w:ascii="仿宋_GB2312" w:eastAsia="仿宋_GB2312"/>
          <w:bCs/>
          <w:kern w:val="44"/>
          <w:sz w:val="32"/>
          <w:szCs w:val="32"/>
          <w:highlight w:val="none"/>
          <w:u w:val="none"/>
        </w:rPr>
        <w:t>)上级补助收入：指从</w:t>
      </w:r>
      <w:r>
        <w:rPr>
          <w:rFonts w:hint="eastAsia" w:ascii="仿宋_GB2312" w:hAnsi="宋体" w:eastAsia="仿宋_GB2312"/>
          <w:sz w:val="32"/>
          <w:szCs w:val="32"/>
          <w:highlight w:val="none"/>
          <w:u w:val="none"/>
        </w:rPr>
        <w:t>事业单位</w:t>
      </w:r>
      <w:r>
        <w:rPr>
          <w:rFonts w:hint="eastAsia" w:ascii="仿宋_GB2312" w:eastAsia="仿宋_GB2312"/>
          <w:bCs/>
          <w:kern w:val="44"/>
          <w:sz w:val="32"/>
          <w:szCs w:val="32"/>
          <w:highlight w:val="none"/>
          <w:u w:val="none"/>
        </w:rPr>
        <w:t>主管部门和上级单位取得的非财政补助收入。</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五</w:t>
      </w:r>
      <w:r>
        <w:rPr>
          <w:rFonts w:hint="eastAsia" w:ascii="仿宋_GB2312" w:eastAsia="仿宋_GB2312"/>
          <w:bCs/>
          <w:kern w:val="44"/>
          <w:sz w:val="32"/>
          <w:szCs w:val="32"/>
          <w:highlight w:val="none"/>
          <w:u w:val="none"/>
        </w:rPr>
        <w:t>)事业收入：指事业单位开展专业业务活动及其辅助活动取得的收入。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六</w:t>
      </w:r>
      <w:r>
        <w:rPr>
          <w:rFonts w:hint="eastAsia" w:ascii="仿宋_GB2312" w:eastAsia="仿宋_GB2312"/>
          <w:bCs/>
          <w:kern w:val="44"/>
          <w:sz w:val="32"/>
          <w:szCs w:val="32"/>
          <w:highlight w:val="none"/>
          <w:u w:val="none"/>
        </w:rPr>
        <w:t>)经营收入：指事业单位在专业业务活动及其辅助活动之外开展非独立核算经营活动取得的收入。</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宋体" w:eastAsia="仿宋_GB2312"/>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七</w:t>
      </w:r>
      <w:r>
        <w:rPr>
          <w:rFonts w:hint="eastAsia" w:ascii="仿宋_GB2312" w:eastAsia="仿宋_GB2312"/>
          <w:bCs/>
          <w:kern w:val="44"/>
          <w:sz w:val="32"/>
          <w:szCs w:val="32"/>
          <w:highlight w:val="none"/>
          <w:u w:val="none"/>
        </w:rPr>
        <w:t>)其他收入：指</w:t>
      </w:r>
      <w:r>
        <w:rPr>
          <w:rFonts w:hint="eastAsia" w:ascii="仿宋_GB2312" w:hAnsi="宋体" w:eastAsia="仿宋_GB2312"/>
          <w:sz w:val="32"/>
          <w:szCs w:val="32"/>
          <w:highlight w:val="none"/>
          <w:u w:val="none"/>
        </w:rPr>
        <w:t>单位取得的除</w:t>
      </w:r>
      <w:r>
        <w:rPr>
          <w:rFonts w:hint="eastAsia" w:ascii="仿宋_GB2312" w:hAnsi="宋体" w:eastAsia="仿宋_GB2312"/>
          <w:sz w:val="32"/>
          <w:szCs w:val="32"/>
          <w:highlight w:val="none"/>
          <w:u w:val="none"/>
          <w:lang w:eastAsia="zh-CN"/>
        </w:rPr>
        <w:t>上述“一般公共预算财政拨款收入”、“</w:t>
      </w:r>
      <w:r>
        <w:rPr>
          <w:rFonts w:hint="eastAsia" w:ascii="仿宋_GB2312" w:hAnsi="宋体" w:eastAsia="仿宋_GB2312"/>
          <w:sz w:val="32"/>
          <w:szCs w:val="32"/>
          <w:highlight w:val="none"/>
          <w:u w:val="none"/>
        </w:rPr>
        <w:t>政府性基金</w:t>
      </w:r>
      <w:r>
        <w:rPr>
          <w:rFonts w:hint="eastAsia" w:ascii="仿宋_GB2312" w:eastAsia="仿宋_GB2312"/>
          <w:spacing w:val="6"/>
          <w:sz w:val="32"/>
          <w:szCs w:val="32"/>
          <w:highlight w:val="none"/>
          <w:u w:val="none"/>
        </w:rPr>
        <w:t>预算</w:t>
      </w:r>
      <w:r>
        <w:rPr>
          <w:rFonts w:hint="eastAsia" w:ascii="仿宋_GB2312" w:eastAsia="仿宋_GB2312"/>
          <w:bCs/>
          <w:kern w:val="44"/>
          <w:sz w:val="32"/>
          <w:szCs w:val="32"/>
          <w:highlight w:val="none"/>
          <w:u w:val="none"/>
        </w:rPr>
        <w:t>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u w:val="none"/>
          <w:lang w:eastAsia="zh-CN"/>
        </w:rPr>
        <w:t>国有资本经营</w:t>
      </w:r>
      <w:r>
        <w:rPr>
          <w:rFonts w:hint="eastAsia" w:ascii="仿宋_GB2312" w:eastAsia="仿宋_GB2312"/>
          <w:bCs/>
          <w:kern w:val="44"/>
          <w:sz w:val="32"/>
          <w:szCs w:val="32"/>
          <w:u w:val="none"/>
        </w:rPr>
        <w:t>预算财政拨款收入</w:t>
      </w:r>
      <w:r>
        <w:rPr>
          <w:rFonts w:hint="eastAsia" w:ascii="仿宋_GB2312" w:hAnsi="宋体" w:eastAsia="仿宋_GB2312"/>
          <w:sz w:val="32"/>
          <w:szCs w:val="32"/>
          <w:highlight w:val="none"/>
          <w:u w:val="none"/>
          <w:lang w:eastAsia="zh-CN"/>
        </w:rPr>
        <w:t>”、“</w:t>
      </w:r>
      <w:r>
        <w:rPr>
          <w:rFonts w:hint="eastAsia" w:ascii="仿宋_GB2312" w:eastAsia="仿宋_GB2312"/>
          <w:bCs/>
          <w:kern w:val="44"/>
          <w:sz w:val="32"/>
          <w:szCs w:val="32"/>
          <w:highlight w:val="none"/>
          <w:u w:val="none"/>
        </w:rPr>
        <w:t>上级补助收入</w:t>
      </w:r>
      <w:r>
        <w:rPr>
          <w:rFonts w:hint="eastAsia" w:ascii="仿宋_GB2312" w:hAnsi="宋体" w:eastAsia="仿宋_GB2312"/>
          <w:sz w:val="32"/>
          <w:szCs w:val="32"/>
          <w:highlight w:val="none"/>
          <w:u w:val="none"/>
          <w:lang w:eastAsia="zh-CN"/>
        </w:rPr>
        <w:t>”、“事业收入”、“经营收入”等</w:t>
      </w:r>
      <w:r>
        <w:rPr>
          <w:rFonts w:hint="eastAsia" w:ascii="仿宋_GB2312" w:hAnsi="宋体" w:eastAsia="仿宋_GB2312"/>
          <w:sz w:val="32"/>
          <w:szCs w:val="32"/>
          <w:highlight w:val="none"/>
          <w:u w:val="none"/>
        </w:rPr>
        <w:t>收入以外的各项收入</w:t>
      </w:r>
      <w:r>
        <w:rPr>
          <w:rFonts w:hint="eastAsia" w:ascii="仿宋_GB2312" w:hAnsi="宋体" w:eastAsia="仿宋_GB2312"/>
          <w:sz w:val="32"/>
          <w:szCs w:val="32"/>
          <w:highlight w:val="none"/>
          <w:u w:val="none"/>
          <w:lang w:eastAsia="zh-CN"/>
        </w:rPr>
        <w:t>。（</w:t>
      </w:r>
      <w:r>
        <w:rPr>
          <w:rFonts w:hint="eastAsia" w:ascii="仿宋_GB2312" w:hAnsi="宋体" w:eastAsia="仿宋_GB2312"/>
          <w:sz w:val="32"/>
          <w:szCs w:val="32"/>
          <w:highlight w:val="none"/>
          <w:u w:val="none"/>
          <w:lang w:val="en-US" w:eastAsia="zh-CN"/>
        </w:rPr>
        <w:t>该</w:t>
      </w:r>
      <w:r>
        <w:rPr>
          <w:rFonts w:hint="eastAsia" w:ascii="仿宋" w:hAnsi="仿宋" w:eastAsia="仿宋" w:cs="仿宋"/>
          <w:sz w:val="32"/>
          <w:szCs w:val="32"/>
          <w:highlight w:val="none"/>
          <w:u w:val="none"/>
          <w:lang w:val="en-US" w:eastAsia="zh-CN"/>
        </w:rPr>
        <w:t>项名词解</w:t>
      </w:r>
      <w:r>
        <w:rPr>
          <w:rFonts w:hint="eastAsia" w:ascii="仿宋" w:hAnsi="仿宋" w:eastAsia="仿宋" w:cs="仿宋"/>
          <w:sz w:val="32"/>
          <w:szCs w:val="32"/>
          <w:highlight w:val="none"/>
          <w:u w:val="none"/>
        </w:rPr>
        <w:t>释</w:t>
      </w:r>
      <w:r>
        <w:rPr>
          <w:rFonts w:hint="eastAsia" w:ascii="仿宋" w:hAnsi="仿宋" w:eastAsia="仿宋" w:cs="仿宋"/>
          <w:sz w:val="32"/>
          <w:szCs w:val="32"/>
          <w:highlight w:val="none"/>
          <w:u w:val="none"/>
          <w:lang w:eastAsia="zh-CN"/>
        </w:rPr>
        <w:t>中“上述……等收入”请依据部门收入的实际情况进行</w:t>
      </w:r>
      <w:r>
        <w:rPr>
          <w:rFonts w:hint="eastAsia" w:ascii="仿宋" w:hAnsi="仿宋" w:eastAsia="仿宋" w:cs="仿宋"/>
          <w:sz w:val="32"/>
          <w:szCs w:val="32"/>
          <w:highlight w:val="none"/>
          <w:u w:val="none"/>
          <w:lang w:val="en-US" w:eastAsia="zh-CN"/>
        </w:rPr>
        <w:t>解</w:t>
      </w:r>
      <w:r>
        <w:rPr>
          <w:rFonts w:hint="eastAsia" w:ascii="仿宋" w:hAnsi="仿宋" w:eastAsia="仿宋" w:cs="仿宋"/>
          <w:sz w:val="32"/>
          <w:szCs w:val="32"/>
          <w:highlight w:val="none"/>
          <w:u w:val="none"/>
        </w:rPr>
        <w:t>释</w:t>
      </w:r>
      <w:r>
        <w:rPr>
          <w:rFonts w:hint="eastAsia" w:ascii="仿宋_GB2312" w:hAnsi="宋体" w:eastAsia="仿宋_GB2312"/>
          <w:sz w:val="32"/>
          <w:szCs w:val="32"/>
          <w:highlight w:val="none"/>
          <w:u w:val="none"/>
          <w:lang w:eastAsia="zh-CN"/>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u w:val="none"/>
          <w:lang w:eastAsia="zh-CN"/>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八</w:t>
      </w: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使用非财政拨款结余</w:t>
      </w:r>
      <w:r>
        <w:rPr>
          <w:rFonts w:hint="eastAsia" w:ascii="仿宋_GB2312" w:eastAsia="仿宋_GB2312"/>
          <w:bCs/>
          <w:kern w:val="44"/>
          <w:sz w:val="32"/>
          <w:szCs w:val="32"/>
          <w:highlight w:val="none"/>
          <w:u w:val="none"/>
        </w:rPr>
        <w:t>：</w:t>
      </w:r>
      <w:r>
        <w:rPr>
          <w:rFonts w:hint="default" w:ascii="仿宋_GB2312" w:hAnsi="仿宋_GB2312" w:eastAsia="仿宋_GB2312"/>
          <w:color w:val="000000"/>
          <w:sz w:val="32"/>
          <w:u w:val="none"/>
        </w:rPr>
        <w:t>指事业单位</w:t>
      </w:r>
      <w:r>
        <w:rPr>
          <w:rFonts w:hint="eastAsia" w:ascii="仿宋_GB2312" w:hAnsi="仿宋_GB2312" w:eastAsia="仿宋_GB2312"/>
          <w:color w:val="000000"/>
          <w:sz w:val="32"/>
          <w:u w:val="none"/>
          <w:lang w:eastAsia="zh-CN"/>
        </w:rPr>
        <w:t>使用以前年度积累的非财政拨款结余弥补当年收支差额的金额。</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yellow"/>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九</w:t>
      </w:r>
      <w:r>
        <w:rPr>
          <w:rFonts w:hint="eastAsia" w:ascii="仿宋_GB2312" w:eastAsia="仿宋_GB2312"/>
          <w:bCs/>
          <w:kern w:val="44"/>
          <w:sz w:val="32"/>
          <w:szCs w:val="32"/>
          <w:highlight w:val="none"/>
          <w:u w:val="none"/>
        </w:rPr>
        <w:t>)年初结转和结余：</w:t>
      </w:r>
      <w:r>
        <w:rPr>
          <w:rFonts w:hint="default" w:ascii="仿宋_GB2312" w:hAnsi="仿宋_GB2312" w:eastAsia="仿宋_GB2312"/>
          <w:color w:val="000000"/>
          <w:sz w:val="32"/>
          <w:u w:val="none"/>
        </w:rPr>
        <w:t>指</w:t>
      </w:r>
      <w:r>
        <w:rPr>
          <w:rFonts w:hint="eastAsia" w:ascii="仿宋_GB2312" w:hAnsi="仿宋_GB2312" w:eastAsia="仿宋_GB2312"/>
          <w:color w:val="000000"/>
          <w:sz w:val="32"/>
          <w:u w:val="none"/>
          <w:lang w:eastAsia="zh-CN"/>
        </w:rPr>
        <w:t>单位</w:t>
      </w:r>
      <w:r>
        <w:rPr>
          <w:rFonts w:hint="default" w:ascii="仿宋_GB2312" w:hAnsi="仿宋_GB2312" w:eastAsia="仿宋_GB2312"/>
          <w:color w:val="000000"/>
          <w:sz w:val="32"/>
          <w:u w:val="none"/>
        </w:rPr>
        <w:t>以前年度</w:t>
      </w:r>
      <w:r>
        <w:rPr>
          <w:rFonts w:hint="eastAsia" w:ascii="仿宋_GB2312" w:hAnsi="仿宋_GB2312" w:eastAsia="仿宋_GB2312"/>
          <w:color w:val="000000"/>
          <w:sz w:val="32"/>
          <w:u w:val="none"/>
          <w:lang w:eastAsia="zh-CN"/>
        </w:rPr>
        <w:t>尚未完成</w:t>
      </w:r>
      <w:r>
        <w:rPr>
          <w:rFonts w:hint="default" w:ascii="仿宋_GB2312" w:hAnsi="仿宋_GB2312" w:eastAsia="仿宋_GB2312"/>
          <w:color w:val="000000"/>
          <w:sz w:val="32"/>
          <w:u w:val="none"/>
        </w:rPr>
        <w:t>、结转到本年仍按原规定用途继续使用的资金</w:t>
      </w:r>
      <w:r>
        <w:rPr>
          <w:rFonts w:hint="eastAsia" w:ascii="仿宋_GB2312" w:hAnsi="仿宋_GB2312" w:eastAsia="仿宋_GB2312"/>
          <w:color w:val="000000"/>
          <w:sz w:val="32"/>
          <w:u w:val="none"/>
          <w:lang w:eastAsia="zh-CN"/>
        </w:rPr>
        <w:t>，或项目已完成等产生的结余资金</w:t>
      </w:r>
      <w:r>
        <w:rPr>
          <w:rFonts w:hint="default" w:ascii="仿宋_GB2312" w:hAnsi="仿宋_GB2312" w:eastAsia="仿宋_GB2312"/>
          <w:color w:val="000000"/>
          <w:sz w:val="32"/>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w:t>
      </w:r>
      <w:r>
        <w:rPr>
          <w:rFonts w:hint="eastAsia" w:ascii="仿宋_GB2312" w:eastAsia="仿宋_GB2312"/>
          <w:bCs/>
          <w:kern w:val="44"/>
          <w:sz w:val="32"/>
          <w:szCs w:val="32"/>
          <w:highlight w:val="none"/>
          <w:u w:val="none"/>
          <w:lang w:eastAsia="zh-CN"/>
        </w:rPr>
        <w:t>十</w:t>
      </w:r>
      <w:r>
        <w:rPr>
          <w:rFonts w:hint="eastAsia" w:ascii="仿宋_GB2312" w:eastAsia="仿宋_GB2312"/>
          <w:bCs/>
          <w:kern w:val="44"/>
          <w:sz w:val="32"/>
          <w:szCs w:val="32"/>
          <w:highlight w:val="none"/>
          <w:u w:val="none"/>
        </w:rPr>
        <w:t>)本部门使用的支出功能分类科目(到项级)</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rPr>
      </w:pPr>
      <w:r>
        <w:rPr>
          <w:rFonts w:hint="eastAsia" w:ascii="仿宋_GB2312" w:eastAsia="仿宋_GB2312"/>
          <w:bCs/>
          <w:kern w:val="44"/>
          <w:sz w:val="32"/>
          <w:szCs w:val="32"/>
          <w:highlight w:val="none"/>
          <w:u w:val="none"/>
        </w:rPr>
        <w:t>1.</w:t>
      </w:r>
      <w:r>
        <w:rPr>
          <w:rFonts w:hint="eastAsia" w:ascii="仿宋_GB2312" w:eastAsia="仿宋_GB2312"/>
          <w:sz w:val="32"/>
          <w:szCs w:val="32"/>
          <w:highlight w:val="none"/>
          <w:u w:val="none"/>
        </w:rPr>
        <w:t>一般公共服务支出(类)政府办公厅（室）及相关机构事务(款)信访事务(项)</w:t>
      </w:r>
      <w:r>
        <w:rPr>
          <w:rFonts w:hint="eastAsia" w:ascii="仿宋_GB2312" w:eastAsia="仿宋_GB2312"/>
          <w:sz w:val="32"/>
          <w:szCs w:val="32"/>
          <w:highlight w:val="none"/>
          <w:u w:val="none"/>
          <w:lang w:eastAsia="zh-CN"/>
        </w:rPr>
        <w:t>反应各级政府用于接待群众来信来访方面的支出。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rPr>
        <w:t>2</w:t>
      </w:r>
      <w:r>
        <w:rPr>
          <w:rFonts w:hint="eastAsia" w:ascii="仿宋_GB2312" w:eastAsia="仿宋_GB2312"/>
          <w:sz w:val="32"/>
          <w:szCs w:val="32"/>
          <w:highlight w:val="none"/>
          <w:u w:val="none"/>
          <w:lang w:eastAsia="zh-CN"/>
        </w:rPr>
        <w:t>.一般公共服务支出（类）其他一般公共服务支出（款）其他一般公共服务支出反应除上述项目外的一般公共服务支出。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3.城乡社区支出（类）城乡社区管理事务（款）行政运行项反应行政单位（包括实行公务员管理的事业单位）的基本支出。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4.城乡社区支出（类）城乡社区管理事务（款）一般行政管理事务项反应行政单位（包括实行公务员管理的事业单位）未单独设置项级科目的其他项目支出。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5.城乡社区支出（类）城乡社区管理事务（款）其他城乡社区管理事务支出项反应其他用于城乡社区管理事务方面的支出。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6.城乡社区支出（类）城乡社区公共设施（款）小城镇基础设施建设项反应用于小城镇路、气、水、电等基础建设方面的支出。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7.交通运输支出（类）公路水路运输（款）公路建设项反应新建公路支出，公路改建支出。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none"/>
          <w:u w:val="none"/>
          <w:lang w:eastAsia="zh-CN"/>
        </w:rPr>
      </w:pPr>
      <w:r>
        <w:rPr>
          <w:rFonts w:hint="eastAsia" w:ascii="仿宋_GB2312" w:eastAsia="仿宋_GB2312"/>
          <w:sz w:val="32"/>
          <w:szCs w:val="32"/>
          <w:highlight w:val="none"/>
          <w:u w:val="none"/>
          <w:lang w:eastAsia="zh-CN"/>
        </w:rPr>
        <w:t>（</w:t>
      </w:r>
      <w:r>
        <w:rPr>
          <w:rFonts w:hint="eastAsia" w:ascii="仿宋_GB2312" w:eastAsia="仿宋_GB2312"/>
          <w:sz w:val="32"/>
          <w:szCs w:val="32"/>
          <w:highlight w:val="none"/>
          <w:u w:val="none"/>
        </w:rPr>
        <w:t>参考《</w:t>
      </w:r>
      <w:r>
        <w:rPr>
          <w:rFonts w:hint="eastAsia" w:ascii="仿宋_GB2312"/>
          <w:sz w:val="32"/>
          <w:szCs w:val="32"/>
          <w:highlight w:val="none"/>
          <w:u w:val="none"/>
          <w:lang w:eastAsia="zh-CN"/>
        </w:rPr>
        <w:t>2022</w:t>
      </w:r>
      <w:r>
        <w:rPr>
          <w:rFonts w:hint="eastAsia" w:ascii="仿宋_GB2312" w:eastAsia="仿宋_GB2312"/>
          <w:sz w:val="32"/>
          <w:szCs w:val="32"/>
          <w:highlight w:val="none"/>
          <w:u w:val="none"/>
        </w:rPr>
        <w:t>年政府收支分类科目》说明逐项解释</w:t>
      </w:r>
      <w:r>
        <w:rPr>
          <w:rFonts w:hint="eastAsia" w:ascii="仿宋_GB2312" w:eastAsia="仿宋_GB2312"/>
          <w:sz w:val="32"/>
          <w:szCs w:val="32"/>
          <w:highlight w:val="none"/>
          <w:u w:val="none"/>
          <w:lang w:eastAsia="zh-CN"/>
        </w:rPr>
        <w:t>）</w:t>
      </w:r>
      <w:bookmarkStart w:id="0" w:name="_GoBack"/>
      <w:bookmarkEnd w:id="0"/>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一</w:t>
      </w:r>
      <w:r>
        <w:rPr>
          <w:rFonts w:hint="eastAsia" w:ascii="仿宋_GB2312" w:eastAsia="仿宋_GB2312"/>
          <w:bCs/>
          <w:kern w:val="44"/>
          <w:sz w:val="32"/>
          <w:szCs w:val="32"/>
          <w:highlight w:val="none"/>
          <w:u w:val="none"/>
        </w:rPr>
        <w:t>)结余分配：指事业单位按照会计制度规定缴纳</w:t>
      </w:r>
      <w:r>
        <w:rPr>
          <w:rFonts w:hint="eastAsia" w:ascii="仿宋_GB2312" w:eastAsia="仿宋_GB2312"/>
          <w:bCs/>
          <w:kern w:val="44"/>
          <w:sz w:val="32"/>
          <w:szCs w:val="32"/>
          <w:highlight w:val="none"/>
          <w:u w:val="none"/>
          <w:lang w:eastAsia="zh-CN"/>
        </w:rPr>
        <w:t>的企业</w:t>
      </w:r>
      <w:r>
        <w:rPr>
          <w:rFonts w:hint="eastAsia" w:ascii="仿宋_GB2312" w:eastAsia="仿宋_GB2312"/>
          <w:bCs/>
          <w:kern w:val="44"/>
          <w:sz w:val="32"/>
          <w:szCs w:val="32"/>
          <w:highlight w:val="none"/>
          <w:u w:val="none"/>
        </w:rPr>
        <w:t>所得税</w:t>
      </w:r>
      <w:r>
        <w:rPr>
          <w:rFonts w:hint="eastAsia" w:ascii="仿宋_GB2312" w:eastAsia="仿宋_GB2312"/>
          <w:bCs/>
          <w:kern w:val="44"/>
          <w:sz w:val="32"/>
          <w:szCs w:val="32"/>
          <w:highlight w:val="none"/>
          <w:u w:val="none"/>
          <w:lang w:eastAsia="zh-CN"/>
        </w:rPr>
        <w:t>、提取的专用结余以及转入非财政拨款结余的金额</w:t>
      </w:r>
      <w:r>
        <w:rPr>
          <w:rFonts w:hint="eastAsia" w:ascii="仿宋_GB2312" w:eastAsia="仿宋_GB2312"/>
          <w:bCs/>
          <w:kern w:val="44"/>
          <w:sz w:val="32"/>
          <w:szCs w:val="32"/>
          <w:highlight w:val="none"/>
          <w:u w:val="none"/>
        </w:rPr>
        <w:t>等。</w:t>
      </w:r>
    </w:p>
    <w:p>
      <w:pPr>
        <w:pageBreakBefore w:val="0"/>
        <w:widowControl w:val="0"/>
        <w:numPr>
          <w:ilvl w:val="0"/>
          <w:numId w:val="0"/>
        </w:numPr>
        <w:kinsoku/>
        <w:wordWrap/>
        <w:overflowPunct/>
        <w:topLinePunct w:val="0"/>
        <w:bidi w:val="0"/>
        <w:adjustRightInd w:val="0"/>
        <w:snapToGrid w:val="0"/>
        <w:spacing w:line="360" w:lineRule="auto"/>
        <w:ind w:firstLine="640" w:firstLineChars="200"/>
        <w:textAlignment w:val="auto"/>
        <w:rPr>
          <w:rFonts w:hint="eastAsia"/>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二</w:t>
      </w:r>
      <w:r>
        <w:rPr>
          <w:rFonts w:hint="eastAsia" w:ascii="仿宋_GB2312" w:eastAsia="仿宋_GB2312"/>
          <w:bCs/>
          <w:kern w:val="44"/>
          <w:sz w:val="32"/>
          <w:szCs w:val="32"/>
          <w:highlight w:val="none"/>
          <w:u w:val="none"/>
        </w:rPr>
        <w:t>)年末结转和结余：指单位</w:t>
      </w:r>
      <w:r>
        <w:rPr>
          <w:rFonts w:hint="eastAsia" w:ascii="仿宋_GB2312" w:eastAsia="仿宋_GB2312"/>
          <w:bCs/>
          <w:kern w:val="44"/>
          <w:sz w:val="32"/>
          <w:szCs w:val="32"/>
          <w:highlight w:val="none"/>
          <w:u w:val="none"/>
          <w:lang w:eastAsia="zh-CN"/>
        </w:rPr>
        <w:t>按有关规定结转到下年或以后年度继续使用的资金</w:t>
      </w:r>
      <w:r>
        <w:rPr>
          <w:rFonts w:hint="eastAsia" w:ascii="仿宋_GB2312" w:eastAsia="仿宋_GB2312"/>
          <w:bCs/>
          <w:kern w:val="44"/>
          <w:sz w:val="32"/>
          <w:szCs w:val="32"/>
          <w:highlight w:val="none"/>
          <w:u w:val="none"/>
        </w:rPr>
        <w:t>，或项目已完成等产生的结余资金。</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bCs/>
          <w:kern w:val="44"/>
          <w:sz w:val="32"/>
          <w:szCs w:val="32"/>
          <w:highlight w:val="none"/>
          <w:u w:val="none"/>
        </w:rPr>
        <w:t>(十</w:t>
      </w:r>
      <w:r>
        <w:rPr>
          <w:rFonts w:hint="eastAsia" w:ascii="仿宋_GB2312" w:eastAsia="仿宋_GB2312"/>
          <w:bCs/>
          <w:kern w:val="44"/>
          <w:sz w:val="32"/>
          <w:szCs w:val="32"/>
          <w:highlight w:val="none"/>
          <w:u w:val="none"/>
          <w:lang w:eastAsia="zh-CN"/>
        </w:rPr>
        <w:t>三</w:t>
      </w:r>
      <w:r>
        <w:rPr>
          <w:rFonts w:hint="eastAsia" w:ascii="仿宋_GB2312" w:eastAsia="仿宋_GB2312"/>
          <w:bCs/>
          <w:kern w:val="44"/>
          <w:sz w:val="32"/>
          <w:szCs w:val="32"/>
          <w:highlight w:val="none"/>
          <w:u w:val="none"/>
        </w:rPr>
        <w:t>)基本支出：指为保障机构正常运转、完成日常工作任务而发生的</w:t>
      </w:r>
      <w:r>
        <w:rPr>
          <w:rFonts w:ascii="仿宋_GB2312" w:eastAsia="仿宋_GB2312"/>
          <w:bCs/>
          <w:kern w:val="44"/>
          <w:sz w:val="32"/>
          <w:szCs w:val="32"/>
          <w:highlight w:val="none"/>
          <w:u w:val="none"/>
        </w:rPr>
        <w:t>人员支出和公用支出</w:t>
      </w:r>
      <w:r>
        <w:rPr>
          <w:rFonts w:hint="eastAsia" w:ascii="仿宋_GB2312" w:eastAsia="仿宋_GB2312"/>
          <w:bCs/>
          <w:kern w:val="44"/>
          <w:sz w:val="32"/>
          <w:szCs w:val="32"/>
          <w:highlight w:val="none"/>
          <w:u w:val="none"/>
        </w:rPr>
        <w:t>。</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hAnsi="仿宋_GB2312" w:eastAsia="仿宋_GB2312"/>
          <w:color w:val="000000"/>
          <w:sz w:val="32"/>
          <w:szCs w:val="22"/>
          <w:u w:val="none"/>
        </w:rPr>
      </w:pPr>
      <w:r>
        <w:rPr>
          <w:rFonts w:hint="eastAsia" w:ascii="仿宋_GB2312" w:hAnsi="仿宋_GB2312" w:eastAsia="仿宋_GB2312"/>
          <w:color w:val="000000"/>
          <w:sz w:val="32"/>
          <w:szCs w:val="22"/>
          <w:u w:val="none"/>
        </w:rPr>
        <w:t>(十</w:t>
      </w:r>
      <w:r>
        <w:rPr>
          <w:rFonts w:hint="eastAsia" w:ascii="仿宋_GB2312" w:hAnsi="仿宋_GB2312" w:eastAsia="仿宋_GB2312"/>
          <w:color w:val="000000"/>
          <w:sz w:val="32"/>
          <w:szCs w:val="22"/>
          <w:u w:val="none"/>
          <w:lang w:eastAsia="zh-CN"/>
        </w:rPr>
        <w:t>四</w:t>
      </w:r>
      <w:r>
        <w:rPr>
          <w:rFonts w:hint="eastAsia" w:ascii="仿宋_GB2312" w:hAnsi="仿宋_GB2312" w:eastAsia="仿宋_GB2312"/>
          <w:color w:val="000000"/>
          <w:sz w:val="32"/>
          <w:szCs w:val="22"/>
          <w:u w:val="none"/>
        </w:rPr>
        <w:t>)项目支出：指在基本支出之外为完成特定行政任务或事业发展目标所发生的支出。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kern w:val="44"/>
          <w:sz w:val="32"/>
          <w:szCs w:val="32"/>
          <w:highlight w:val="none"/>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五</w:t>
      </w:r>
      <w:r>
        <w:rPr>
          <w:rFonts w:hint="eastAsia" w:ascii="仿宋_GB2312" w:eastAsia="仿宋_GB2312"/>
          <w:sz w:val="32"/>
          <w:szCs w:val="32"/>
          <w:highlight w:val="none"/>
          <w:u w:val="none"/>
        </w:rPr>
        <w:t>)</w:t>
      </w:r>
      <w:r>
        <w:rPr>
          <w:rFonts w:hint="eastAsia" w:ascii="仿宋_GB2312" w:eastAsia="仿宋_GB2312"/>
          <w:bCs/>
          <w:kern w:val="44"/>
          <w:sz w:val="32"/>
          <w:szCs w:val="32"/>
          <w:highlight w:val="none"/>
          <w:u w:val="none"/>
        </w:rPr>
        <w:t>经营支出：指事业单位在专业活动及辅助活动之外开展非独立核算经营活动发生的支出。</w:t>
      </w: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sz w:val="32"/>
          <w:szCs w:val="32"/>
          <w:highlight w:val="yellow"/>
          <w:u w:val="none"/>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六</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纳入财政一般公共预算管理的</w:t>
      </w:r>
      <w:r>
        <w:rPr>
          <w:rFonts w:hint="eastAsia" w:ascii="仿宋_GB2312" w:eastAsia="仿宋_GB2312"/>
          <w:sz w:val="32"/>
          <w:szCs w:val="32"/>
          <w:highlight w:val="none"/>
          <w:u w:val="none"/>
        </w:rPr>
        <w:t>“三公”经费</w:t>
      </w:r>
      <w:r>
        <w:rPr>
          <w:rFonts w:hint="eastAsia" w:ascii="仿宋_GB2312" w:eastAsia="仿宋_GB2312"/>
          <w:sz w:val="32"/>
          <w:szCs w:val="32"/>
          <w:highlight w:val="none"/>
          <w:u w:val="none"/>
          <w:lang w:eastAsia="zh-CN"/>
        </w:rPr>
        <w:t>，是</w:t>
      </w:r>
      <w:r>
        <w:rPr>
          <w:rFonts w:hint="eastAsia" w:ascii="仿宋_GB2312" w:eastAsia="仿宋_GB2312"/>
          <w:sz w:val="32"/>
          <w:szCs w:val="32"/>
          <w:highlight w:val="none"/>
          <w:u w:val="none"/>
        </w:rPr>
        <w:t>指</w:t>
      </w:r>
      <w:r>
        <w:rPr>
          <w:rFonts w:hint="eastAsia" w:ascii="仿宋_GB2312" w:eastAsia="仿宋_GB2312"/>
          <w:sz w:val="32"/>
          <w:szCs w:val="32"/>
          <w:highlight w:val="none"/>
          <w:u w:val="none"/>
          <w:lang w:eastAsia="zh-CN"/>
        </w:rPr>
        <w:t>市直部门</w:t>
      </w:r>
      <w:r>
        <w:rPr>
          <w:rFonts w:hint="eastAsia" w:ascii="仿宋_GB2312" w:eastAsia="仿宋_GB2312"/>
          <w:sz w:val="32"/>
          <w:szCs w:val="32"/>
          <w:highlight w:val="none"/>
          <w:u w:val="none"/>
        </w:rPr>
        <w:t>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eastAsia="仿宋_GB2312"/>
          <w:sz w:val="32"/>
          <w:szCs w:val="32"/>
          <w:highlight w:val="none"/>
          <w:u w:val="none"/>
          <w:lang w:eastAsia="zh-CN"/>
        </w:rPr>
        <w:t>、牌照费</w:t>
      </w:r>
      <w:r>
        <w:rPr>
          <w:rFonts w:hint="eastAsia" w:ascii="仿宋_GB2312" w:eastAsia="仿宋_GB2312"/>
          <w:sz w:val="32"/>
          <w:szCs w:val="32"/>
          <w:highlight w:val="none"/>
          <w:u w:val="none"/>
        </w:rPr>
        <w:t>)及燃料费、维修费、过桥过路费、保险费、安全奖励费用等支出；公务接待费反映单位按规定开支的各类公务接待(含外宾接待)费用。</w:t>
      </w:r>
    </w:p>
    <w:p>
      <w:pPr>
        <w:pageBreakBefore w:val="0"/>
        <w:widowControl w:val="0"/>
        <w:kinsoku/>
        <w:wordWrap/>
        <w:overflowPunct/>
        <w:topLinePunct w:val="0"/>
        <w:bidi w:val="0"/>
        <w:snapToGrid w:val="0"/>
        <w:spacing w:line="360" w:lineRule="auto"/>
        <w:ind w:firstLine="640" w:firstLineChars="200"/>
        <w:textAlignment w:val="auto"/>
        <w:rPr>
          <w:rFonts w:hint="eastAsia" w:ascii="仿宋_GB2312" w:eastAsia="仿宋_GB2312"/>
          <w:sz w:val="32"/>
          <w:szCs w:val="32"/>
          <w:highlight w:val="yellow"/>
          <w:u w:val="none"/>
          <w:lang w:eastAsia="zh-CN"/>
        </w:rPr>
      </w:pPr>
      <w:r>
        <w:rPr>
          <w:rFonts w:hint="eastAsia" w:ascii="仿宋_GB2312" w:eastAsia="仿宋_GB2312"/>
          <w:sz w:val="32"/>
          <w:szCs w:val="32"/>
          <w:highlight w:val="none"/>
          <w:u w:val="none"/>
        </w:rPr>
        <w:t>(十</w:t>
      </w:r>
      <w:r>
        <w:rPr>
          <w:rFonts w:hint="eastAsia" w:ascii="仿宋_GB2312" w:eastAsia="仿宋_GB2312"/>
          <w:sz w:val="32"/>
          <w:szCs w:val="32"/>
          <w:highlight w:val="none"/>
          <w:u w:val="none"/>
          <w:lang w:eastAsia="zh-CN"/>
        </w:rPr>
        <w:t>七</w:t>
      </w:r>
      <w:r>
        <w:rPr>
          <w:rFonts w:hint="eastAsia" w:ascii="仿宋_GB2312" w:eastAsia="仿宋_GB2312"/>
          <w:sz w:val="32"/>
          <w:szCs w:val="32"/>
          <w:highlight w:val="none"/>
          <w:u w:val="none"/>
        </w:rPr>
        <w:t>)机关运行经费：指为保障行政单位（</w:t>
      </w:r>
      <w:r>
        <w:rPr>
          <w:rFonts w:hint="eastAsia" w:ascii="仿宋_GB2312" w:eastAsia="仿宋_GB2312"/>
          <w:sz w:val="32"/>
          <w:szCs w:val="32"/>
          <w:highlight w:val="none"/>
          <w:u w:val="none"/>
          <w:lang w:eastAsia="zh-CN"/>
        </w:rPr>
        <w:t>包括</w:t>
      </w:r>
      <w:r>
        <w:rPr>
          <w:rFonts w:hint="eastAsia" w:ascii="仿宋_GB2312" w:eastAsia="仿宋_GB2312"/>
          <w:sz w:val="32"/>
          <w:szCs w:val="32"/>
          <w:highlight w:val="none"/>
          <w:u w:val="none"/>
        </w:rPr>
        <w:t>参照公务员法管理的事业单位）运行用于购买货物和服务的各项资金，</w:t>
      </w:r>
      <w:r>
        <w:rPr>
          <w:rFonts w:ascii="仿宋_GB2312" w:eastAsia="仿宋_GB2312"/>
          <w:sz w:val="32"/>
          <w:szCs w:val="32"/>
          <w:highlight w:val="none"/>
          <w:u w:val="none"/>
        </w:rPr>
        <w:t>包括办公</w:t>
      </w:r>
      <w:r>
        <w:rPr>
          <w:rFonts w:hint="eastAsia" w:ascii="仿宋_GB2312" w:eastAsia="仿宋_GB2312"/>
          <w:sz w:val="32"/>
          <w:szCs w:val="32"/>
          <w:highlight w:val="none"/>
          <w:u w:val="none"/>
          <w:lang w:eastAsia="zh-CN"/>
        </w:rPr>
        <w:t>费、</w:t>
      </w:r>
      <w:r>
        <w:rPr>
          <w:rFonts w:ascii="仿宋_GB2312" w:eastAsia="仿宋_GB2312"/>
          <w:sz w:val="32"/>
          <w:szCs w:val="32"/>
          <w:highlight w:val="none"/>
          <w:u w:val="none"/>
        </w:rPr>
        <w:t>印刷费、邮电费、差旅费、会议费、福利费、日常维修费、专用材料及一般设备购置费、办公用房水电费、</w:t>
      </w:r>
      <w:r>
        <w:rPr>
          <w:rFonts w:hint="eastAsia" w:ascii="仿宋_GB2312" w:eastAsia="仿宋_GB2312"/>
          <w:sz w:val="32"/>
          <w:szCs w:val="32"/>
          <w:highlight w:val="none"/>
          <w:u w:val="none"/>
        </w:rPr>
        <w:t>办公用房取暖费、</w:t>
      </w:r>
      <w:r>
        <w:rPr>
          <w:rFonts w:ascii="仿宋_GB2312" w:eastAsia="仿宋_GB2312"/>
          <w:sz w:val="32"/>
          <w:szCs w:val="32"/>
          <w:highlight w:val="none"/>
          <w:u w:val="none"/>
        </w:rPr>
        <w:t>办公用房物业管理费、公务用车运行维护费以及其他费用。</w:t>
      </w:r>
    </w:p>
    <w:p>
      <w:pPr>
        <w:pStyle w:val="11"/>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第五部分  附件</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一、2022年度部门名称整体绩效评价报告</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（主要内容）</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二、2022年度XX项目绩效评价报告</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（主要内容）</w:t>
      </w:r>
    </w:p>
    <w:p>
      <w:pPr>
        <w:pStyle w:val="11"/>
        <w:rPr>
          <w:rFonts w:hint="eastAsia" w:ascii="仿宋_GB2312" w:eastAsia="仿宋_GB2312" w:hAnsiTheme="minorHAnsi" w:cstheme="minorBidi"/>
          <w:kern w:val="2"/>
          <w:sz w:val="32"/>
          <w:szCs w:val="32"/>
          <w:highlight w:val="none"/>
          <w:u w:val="none"/>
          <w:lang w:val="en-US" w:eastAsia="zh-CN" w:bidi="ar-SA"/>
        </w:rPr>
      </w:pPr>
      <w:r>
        <w:rPr>
          <w:rFonts w:hint="eastAsia" w:ascii="仿宋_GB2312" w:eastAsia="仿宋_GB2312" w:hAnsiTheme="minorHAnsi" w:cstheme="minorBidi"/>
          <w:kern w:val="2"/>
          <w:sz w:val="32"/>
          <w:szCs w:val="32"/>
          <w:highlight w:val="none"/>
          <w:u w:val="none"/>
          <w:lang w:val="en-US" w:eastAsia="zh-CN" w:bidi="ar-SA"/>
        </w:rPr>
        <w:t>三、……</w:t>
      </w:r>
    </w:p>
    <w:p>
      <w:pPr>
        <w:bidi w:val="0"/>
        <w:rPr>
          <w:rFonts w:hint="default"/>
          <w:u w:val="none"/>
          <w:lang w:val="en-US" w:eastAsia="zh-CN"/>
        </w:rPr>
      </w:pPr>
    </w:p>
    <w:p>
      <w:pPr>
        <w:pStyle w:val="11"/>
        <w:rPr>
          <w:rFonts w:hint="eastAsia" w:ascii="仿宋_GB2312" w:eastAsia="仿宋_GB2312" w:cs="宋体"/>
          <w:szCs w:val="32"/>
          <w:lang w:val="en-US" w:eastAsia="zh-CN"/>
        </w:rPr>
      </w:pPr>
    </w:p>
    <w:p>
      <w:pPr>
        <w:ind w:firstLine="640"/>
        <w:jc w:val="both"/>
        <w:rPr>
          <w:rFonts w:hint="default" w:ascii="仿宋_GB2312" w:hAnsi="仿宋_GB2312" w:eastAsia="仿宋_GB2312" w:cs="仿宋_GB2312"/>
          <w:sz w:val="32"/>
          <w:szCs w:val="3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bidi w:val="0"/>
        <w:ind w:firstLine="643" w:firstLineChars="200"/>
        <w:rPr>
          <w:rFonts w:hint="eastAsia" w:ascii="Times New Roman" w:hAnsi="Times New Roman" w:eastAsia="仿宋_GB2312" w:cs="Times New Roman"/>
          <w:b/>
          <w:bCs/>
          <w:color w:val="FF0000"/>
          <w:sz w:val="32"/>
          <w:szCs w:val="22"/>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仿宋_GB2312" w:eastAsia="仿宋_GB2312"/>
          <w:bCs/>
          <w:color w:val="auto"/>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eastAsia" w:ascii="楷体" w:hAnsi="楷体" w:eastAsia="楷体" w:cs="楷体"/>
          <w:bCs/>
          <w:kern w:val="44"/>
          <w:sz w:val="32"/>
          <w:szCs w:val="32"/>
          <w:highlight w:val="none"/>
          <w:u w:val="none"/>
          <w:lang w:val="en-US" w:eastAsia="zh-CN"/>
        </w:rPr>
      </w:pPr>
    </w:p>
    <w:p>
      <w:pPr>
        <w:pageBreakBefore w:val="0"/>
        <w:widowControl w:val="0"/>
        <w:kinsoku/>
        <w:wordWrap/>
        <w:overflowPunct/>
        <w:topLinePunct w:val="0"/>
        <w:bidi w:val="0"/>
        <w:adjustRightInd w:val="0"/>
        <w:snapToGrid w:val="0"/>
        <w:spacing w:line="360" w:lineRule="auto"/>
        <w:ind w:firstLine="640" w:firstLineChars="200"/>
        <w:textAlignment w:val="auto"/>
        <w:rPr>
          <w:rFonts w:hint="default" w:ascii="楷体" w:hAnsi="楷体" w:eastAsia="楷体" w:cs="楷体"/>
          <w:bCs/>
          <w:kern w:val="44"/>
          <w:sz w:val="32"/>
          <w:szCs w:val="32"/>
          <w:highlight w:val="none"/>
          <w:u w:val="none"/>
          <w:lang w:val="en-US" w:eastAsia="zh-CN"/>
        </w:rPr>
      </w:pPr>
    </w:p>
    <w:p>
      <w:pPr>
        <w:numPr>
          <w:ilvl w:val="0"/>
          <w:numId w:val="0"/>
        </w:numPr>
        <w:bidi w:val="0"/>
        <w:ind w:firstLine="640" w:firstLineChars="200"/>
        <w:rPr>
          <w:rFonts w:hint="default" w:ascii="楷体" w:hAnsi="楷体" w:eastAsia="楷体" w:cs="楷体"/>
          <w:b w:val="0"/>
          <w:bCs w:val="0"/>
          <w:sz w:val="32"/>
          <w:szCs w:val="32"/>
          <w:highlight w:val="none"/>
          <w:u w:val="none"/>
          <w:lang w:val="en-US" w:eastAsia="zh-CN"/>
        </w:rPr>
      </w:pPr>
    </w:p>
    <w:p>
      <w:pPr>
        <w:numPr>
          <w:ilvl w:val="0"/>
          <w:numId w:val="0"/>
        </w:numPr>
        <w:bidi w:val="0"/>
        <w:rPr>
          <w:rFonts w:hint="eastAsia" w:ascii="楷体_GB2312" w:hAnsi="楷体_GB2312" w:eastAsia="楷体_GB2312" w:cs="楷体_GB2312"/>
          <w:bCs/>
          <w:kern w:val="44"/>
          <w:sz w:val="32"/>
          <w:szCs w:val="32"/>
          <w:highlight w:val="none"/>
          <w:lang w:eastAsia="zh-CN"/>
        </w:rPr>
      </w:pPr>
    </w:p>
    <w:p>
      <w:pPr>
        <w:numPr>
          <w:ilvl w:val="0"/>
          <w:numId w:val="0"/>
        </w:numPr>
        <w:bidi w:val="0"/>
        <w:ind w:left="640" w:leftChars="0"/>
        <w:rPr>
          <w:rFonts w:hint="default" w:ascii="楷体_GB2312" w:hAnsi="楷体_GB2312" w:eastAsia="楷体_GB2312" w:cs="楷体_GB2312"/>
          <w:bCs/>
          <w:kern w:val="44"/>
          <w:sz w:val="32"/>
          <w:szCs w:val="32"/>
          <w:highlight w:val="none"/>
          <w:lang w:val="en-US" w:eastAsia="zh-CN"/>
        </w:rPr>
      </w:pPr>
    </w:p>
    <w:p>
      <w:pPr>
        <w:numPr>
          <w:ilvl w:val="0"/>
          <w:numId w:val="0"/>
        </w:numPr>
        <w:bidi w:val="0"/>
        <w:ind w:leftChars="3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adjustRightInd w:val="0"/>
        <w:snapToGrid w:val="0"/>
        <w:spacing w:line="580" w:lineRule="atLeast"/>
        <w:ind w:firstLine="640" w:firstLineChars="200"/>
        <w:rPr>
          <w:rFonts w:hint="eastAsia" w:ascii="仿宋_GB2312" w:hAnsi="仿宋_GB2312" w:eastAsia="仿宋_GB2312" w:cs="仿宋_GB2312"/>
          <w:bCs/>
          <w:sz w:val="32"/>
          <w:szCs w:val="32"/>
          <w:highlight w:val="none"/>
          <w:lang w:val="en-US" w:eastAsia="zh-CN"/>
        </w:rPr>
      </w:pPr>
    </w:p>
    <w:p>
      <w:pPr>
        <w:bidi w:val="0"/>
        <w:ind w:firstLine="640" w:firstLineChars="200"/>
        <w:rPr>
          <w:rFonts w:hint="eastAsia" w:ascii="Times New Roman" w:hAnsi="Times New Roman" w:eastAsia="仿宋_GB2312" w:cs="Times New Roman"/>
          <w:color w:val="FF0000"/>
          <w:sz w:val="32"/>
          <w:szCs w:val="22"/>
          <w:u w:val="none"/>
          <w:lang w:val="en-US" w:eastAsia="zh-CN"/>
        </w:rPr>
      </w:pPr>
    </w:p>
    <w:p>
      <w:pPr>
        <w:adjustRightInd w:val="0"/>
        <w:snapToGrid w:val="0"/>
        <w:spacing w:line="580" w:lineRule="atLeast"/>
        <w:ind w:firstLine="640" w:firstLineChars="200"/>
        <w:rPr>
          <w:rFonts w:hint="eastAsia" w:ascii="仿宋_GB2312" w:hAnsi="宋体"/>
          <w:bCs/>
          <w:sz w:val="32"/>
          <w:szCs w:val="32"/>
          <w:highlight w:val="none"/>
          <w:lang w:val="en-US" w:eastAsia="zh-CN"/>
        </w:rPr>
      </w:pPr>
    </w:p>
    <w:p>
      <w:pPr>
        <w:adjustRightInd w:val="0"/>
        <w:snapToGrid w:val="0"/>
        <w:spacing w:line="580" w:lineRule="atLeast"/>
        <w:ind w:firstLine="640" w:firstLineChars="200"/>
        <w:rPr>
          <w:rFonts w:hint="eastAsia" w:ascii="楷体" w:hAnsi="楷体" w:eastAsia="楷体" w:cs="楷体"/>
          <w:b w:val="0"/>
          <w:bCs w:val="0"/>
          <w:color w:val="FF0000"/>
          <w:sz w:val="32"/>
          <w:szCs w:val="32"/>
          <w:highlight w:val="none"/>
          <w:u w:val="none"/>
          <w:lang w:val="en-US" w:eastAsia="zh-CN"/>
        </w:rPr>
      </w:pPr>
    </w:p>
    <w:p>
      <w:pPr>
        <w:adjustRightInd w:val="0"/>
        <w:snapToGrid w:val="0"/>
        <w:spacing w:line="580" w:lineRule="atLeast"/>
        <w:ind w:right="-512" w:rightChars="-244" w:firstLine="640" w:firstLineChars="200"/>
        <w:rPr>
          <w:rFonts w:hint="eastAsia" w:ascii="楷体" w:hAnsi="楷体" w:eastAsia="楷体" w:cs="楷体"/>
          <w:bCs/>
          <w:sz w:val="32"/>
          <w:szCs w:val="32"/>
          <w:highlight w:val="none"/>
          <w:u w:val="none"/>
          <w:lang w:val="en-US" w:eastAsia="zh-CN"/>
        </w:rPr>
      </w:pPr>
    </w:p>
    <w:p>
      <w:pPr>
        <w:widowControl/>
        <w:shd w:val="clear" w:color="auto" w:fill="FFFFFF"/>
        <w:ind w:firstLine="480"/>
        <w:jc w:val="left"/>
        <w:rPr>
          <w:rFonts w:hint="eastAsia" w:ascii="仿宋_GB2312" w:hAnsi="仿宋_GB2312" w:eastAsia="仿宋_GB2312" w:cs="仿宋_GB2312"/>
          <w:color w:val="333333"/>
          <w:kern w:val="0"/>
          <w:sz w:val="32"/>
          <w:szCs w:val="32"/>
          <w:lang w:val="en-US" w:eastAsia="zh-CN"/>
        </w:rPr>
      </w:pPr>
    </w:p>
    <w:p>
      <w:pPr>
        <w:pStyle w:val="5"/>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楷体">
    <w:altName w:val="楷体_GB2312"/>
    <w:panose1 w:val="02010609060101010101"/>
    <w:charset w:val="86"/>
    <w:family w:val="auto"/>
    <w:pitch w:val="default"/>
    <w:sig w:usb0="00000000" w:usb1="00000000" w:usb2="00000016" w:usb3="00000000" w:csb0="00040001" w:csb1="00000000"/>
  </w:font>
  <w:font w:name="Tahoma">
    <w:panose1 w:val="020B0604030504040204"/>
    <w:charset w:val="00"/>
    <w:family w:val="auto"/>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D0D46"/>
    <w:multiLevelType w:val="singleLevel"/>
    <w:tmpl w:val="B19D0D46"/>
    <w:lvl w:ilvl="0" w:tentative="0">
      <w:start w:val="2"/>
      <w:numFmt w:val="chineseCounting"/>
      <w:suff w:val="nothing"/>
      <w:lvlText w:val="%1、"/>
      <w:lvlJc w:val="left"/>
      <w:rPr>
        <w:rFonts w:hint="eastAsia"/>
      </w:rPr>
    </w:lvl>
  </w:abstractNum>
  <w:abstractNum w:abstractNumId="1">
    <w:nsid w:val="1957BB01"/>
    <w:multiLevelType w:val="singleLevel"/>
    <w:tmpl w:val="1957BB01"/>
    <w:lvl w:ilvl="0" w:tentative="0">
      <w:start w:val="5"/>
      <w:numFmt w:val="chineseCounting"/>
      <w:suff w:val="nothing"/>
      <w:lvlText w:val="%1、"/>
      <w:lvlJc w:val="left"/>
      <w:rPr>
        <w:rFonts w:hint="eastAsia"/>
      </w:rPr>
    </w:lvl>
  </w:abstractNum>
  <w:abstractNum w:abstractNumId="2">
    <w:nsid w:val="6502C927"/>
    <w:multiLevelType w:val="singleLevel"/>
    <w:tmpl w:val="6502C927"/>
    <w:lvl w:ilvl="0" w:tentative="0">
      <w:start w:val="3"/>
      <w:numFmt w:val="decimal"/>
      <w:suff w:val="nothing"/>
      <w:lvlText w:val="%1."/>
      <w:lvlJc w:val="left"/>
    </w:lvl>
  </w:abstractNum>
  <w:abstractNum w:abstractNumId="3">
    <w:nsid w:val="6507F1BD"/>
    <w:multiLevelType w:val="singleLevel"/>
    <w:tmpl w:val="6507F1BD"/>
    <w:lvl w:ilvl="0" w:tentative="0">
      <w:start w:val="1"/>
      <w:numFmt w:val="decimal"/>
      <w:suff w:val="nothing"/>
      <w:lvlText w:val="%1."/>
      <w:lvlJc w:val="left"/>
    </w:lvl>
  </w:abstractNum>
  <w:abstractNum w:abstractNumId="4">
    <w:nsid w:val="6FC9A984"/>
    <w:multiLevelType w:val="singleLevel"/>
    <w:tmpl w:val="6FC9A984"/>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0MjZhZWQxZDJkN2Q1OTIxZTI5MTJlYjM0YzA0NjQifQ=="/>
  </w:docVars>
  <w:rsids>
    <w:rsidRoot w:val="00000000"/>
    <w:rsid w:val="020944F5"/>
    <w:rsid w:val="02DD21CD"/>
    <w:rsid w:val="03F9740F"/>
    <w:rsid w:val="057532A4"/>
    <w:rsid w:val="0593241A"/>
    <w:rsid w:val="064A17F7"/>
    <w:rsid w:val="06AA540F"/>
    <w:rsid w:val="075975F5"/>
    <w:rsid w:val="088A1BF0"/>
    <w:rsid w:val="09910807"/>
    <w:rsid w:val="0BF532AC"/>
    <w:rsid w:val="0C023101"/>
    <w:rsid w:val="0DD56120"/>
    <w:rsid w:val="0F1C11D8"/>
    <w:rsid w:val="10F31F5D"/>
    <w:rsid w:val="12C64D2A"/>
    <w:rsid w:val="13351A0C"/>
    <w:rsid w:val="13472952"/>
    <w:rsid w:val="140137D5"/>
    <w:rsid w:val="15465E0E"/>
    <w:rsid w:val="17EC737C"/>
    <w:rsid w:val="182D7823"/>
    <w:rsid w:val="18D506DB"/>
    <w:rsid w:val="19802738"/>
    <w:rsid w:val="1A05549C"/>
    <w:rsid w:val="1AB73500"/>
    <w:rsid w:val="1E085F02"/>
    <w:rsid w:val="1FE9682F"/>
    <w:rsid w:val="20592CBD"/>
    <w:rsid w:val="20901B73"/>
    <w:rsid w:val="22982E2D"/>
    <w:rsid w:val="229D0D51"/>
    <w:rsid w:val="2569060B"/>
    <w:rsid w:val="263C0693"/>
    <w:rsid w:val="27201B45"/>
    <w:rsid w:val="279A6285"/>
    <w:rsid w:val="27E1607E"/>
    <w:rsid w:val="27FE59F2"/>
    <w:rsid w:val="2A991B85"/>
    <w:rsid w:val="2D047671"/>
    <w:rsid w:val="2D674FBD"/>
    <w:rsid w:val="2E7E0635"/>
    <w:rsid w:val="2EF5619E"/>
    <w:rsid w:val="333B1CCF"/>
    <w:rsid w:val="33412F99"/>
    <w:rsid w:val="33A37C65"/>
    <w:rsid w:val="34D31186"/>
    <w:rsid w:val="34EC4C26"/>
    <w:rsid w:val="35260571"/>
    <w:rsid w:val="35F64EB7"/>
    <w:rsid w:val="37142D56"/>
    <w:rsid w:val="38563836"/>
    <w:rsid w:val="3BB3379D"/>
    <w:rsid w:val="3C9A79B7"/>
    <w:rsid w:val="3DCE4C56"/>
    <w:rsid w:val="3E652778"/>
    <w:rsid w:val="406E40DB"/>
    <w:rsid w:val="415F1FAB"/>
    <w:rsid w:val="415F517C"/>
    <w:rsid w:val="43266D77"/>
    <w:rsid w:val="43D139C9"/>
    <w:rsid w:val="44B33811"/>
    <w:rsid w:val="45DE3C21"/>
    <w:rsid w:val="46206CE3"/>
    <w:rsid w:val="4A9C0E81"/>
    <w:rsid w:val="4BAF7AD9"/>
    <w:rsid w:val="4BB07A04"/>
    <w:rsid w:val="4BD64EFC"/>
    <w:rsid w:val="4D664345"/>
    <w:rsid w:val="4E4E19C6"/>
    <w:rsid w:val="50A42306"/>
    <w:rsid w:val="52230FE9"/>
    <w:rsid w:val="5224562C"/>
    <w:rsid w:val="52471974"/>
    <w:rsid w:val="528E5670"/>
    <w:rsid w:val="530C2057"/>
    <w:rsid w:val="559C2F67"/>
    <w:rsid w:val="56634880"/>
    <w:rsid w:val="566F4666"/>
    <w:rsid w:val="56704860"/>
    <w:rsid w:val="590C4089"/>
    <w:rsid w:val="5A040EFF"/>
    <w:rsid w:val="5B50434B"/>
    <w:rsid w:val="5C6E1D37"/>
    <w:rsid w:val="5F282D71"/>
    <w:rsid w:val="61D262B1"/>
    <w:rsid w:val="642872DE"/>
    <w:rsid w:val="657F5A08"/>
    <w:rsid w:val="65DB7A59"/>
    <w:rsid w:val="67AF3ED0"/>
    <w:rsid w:val="68354C56"/>
    <w:rsid w:val="68390E29"/>
    <w:rsid w:val="684B4971"/>
    <w:rsid w:val="691C158F"/>
    <w:rsid w:val="69BE0ADE"/>
    <w:rsid w:val="6A8168FC"/>
    <w:rsid w:val="6A9307EB"/>
    <w:rsid w:val="6ABA51F5"/>
    <w:rsid w:val="6AE743C8"/>
    <w:rsid w:val="6B511F28"/>
    <w:rsid w:val="6B5F0C09"/>
    <w:rsid w:val="6B833097"/>
    <w:rsid w:val="6C546744"/>
    <w:rsid w:val="6C5669E3"/>
    <w:rsid w:val="6F6B5362"/>
    <w:rsid w:val="704F4E0C"/>
    <w:rsid w:val="706B3DB7"/>
    <w:rsid w:val="74642DCF"/>
    <w:rsid w:val="74B92521"/>
    <w:rsid w:val="752D7AA5"/>
    <w:rsid w:val="76774E5B"/>
    <w:rsid w:val="791C60AB"/>
    <w:rsid w:val="7BB570A9"/>
    <w:rsid w:val="7BF26D77"/>
    <w:rsid w:val="7CE0795F"/>
    <w:rsid w:val="7E5C4A6E"/>
    <w:rsid w:val="7FB72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spacing w:beforeAutospacing="1" w:afterAutospacing="1"/>
      <w:jc w:val="left"/>
      <w:outlineLvl w:val="4"/>
    </w:pPr>
    <w:rPr>
      <w:rFonts w:hint="eastAsia" w:ascii="宋体" w:hAnsi="宋体" w:eastAsia="宋体" w:cs="Times New Roman"/>
      <w:b/>
      <w:kern w:val="0"/>
      <w:sz w:val="2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paragraph" w:customStyle="1" w:styleId="9">
    <w:name w:val="List Paragraph"/>
    <w:basedOn w:val="1"/>
    <w:unhideWhenUsed/>
    <w:qFormat/>
    <w:uiPriority w:val="99"/>
    <w:pPr>
      <w:ind w:firstLine="420" w:firstLineChars="200"/>
    </w:pPr>
  </w:style>
  <w:style w:type="paragraph" w:customStyle="1" w:styleId="1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1">
    <w:name w:val="正文缩进 + 首行缩进:  2 字符"/>
    <w:basedOn w:val="1"/>
    <w:qFormat/>
    <w:uiPriority w:val="0"/>
    <w:pPr>
      <w:spacing w:line="560" w:lineRule="exact"/>
      <w:ind w:firstLine="640"/>
    </w:pPr>
    <w:rPr>
      <w:rFonts w:ascii="仿宋" w:hAnsi="仿宋" w:eastAsia="仿宋" w:cs="宋体"/>
      <w:sz w:val="32"/>
      <w:szCs w:val="20"/>
    </w:rPr>
  </w:style>
  <w:style w:type="character" w:customStyle="1" w:styleId="12">
    <w:name w:val="font81"/>
    <w:basedOn w:val="7"/>
    <w:qFormat/>
    <w:uiPriority w:val="0"/>
    <w:rPr>
      <w:rFonts w:hint="eastAsia" w:ascii="宋体" w:hAnsi="宋体" w:eastAsia="宋体" w:cs="宋体"/>
      <w:color w:val="000000"/>
      <w:sz w:val="18"/>
      <w:szCs w:val="18"/>
      <w:u w:val="none"/>
    </w:rPr>
  </w:style>
  <w:style w:type="character" w:customStyle="1" w:styleId="13">
    <w:name w:val="font51"/>
    <w:basedOn w:val="7"/>
    <w:qFormat/>
    <w:uiPriority w:val="0"/>
    <w:rPr>
      <w:rFonts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8082</Words>
  <Characters>8811</Characters>
  <Lines>0</Lines>
  <Paragraphs>0</Paragraphs>
  <TotalTime>0</TotalTime>
  <ScaleCrop>false</ScaleCrop>
  <LinksUpToDate>false</LinksUpToDate>
  <CharactersWithSpaces>9164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2023-09-06T02:09:00Z</dcterms:created>
  <dc:creator>Administrator</dc:creator>
  <cp:lastModifiedBy>biubiu</cp:lastModifiedBy>
  <dcterms:modified xsi:type="dcterms:W3CDTF">2023-09-21T09:23:54Z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49E575BFEF8448DD9AAC55E2D24E5C08_12</vt:lpwstr>
  </property>
</Properties>
</file>