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行管处</w:t>
      </w:r>
      <w:r>
        <w:rPr>
          <w:rFonts w:hint="eastAsia" w:ascii="微软雅黑" w:hAnsi="微软雅黑" w:eastAsia="微软雅黑" w:cs="微软雅黑"/>
          <w:b/>
          <w:i w:val="0"/>
          <w:caps w:val="0"/>
          <w:color w:val="BC1010"/>
          <w:spacing w:val="0"/>
          <w:sz w:val="40"/>
          <w:szCs w:val="40"/>
          <w:bdr w:val="none" w:color="auto" w:sz="0" w:space="0"/>
          <w:shd w:val="clear" w:fill="FFFFFF"/>
        </w:rPr>
        <w:t>2017年决算公开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6"/>
          <w:rFonts w:hint="eastAsia" w:ascii="微软雅黑" w:hAnsi="微软雅黑" w:eastAsia="微软雅黑" w:cs="微软雅黑"/>
          <w:i w:val="0"/>
          <w:caps w:val="0"/>
          <w:color w:val="333333"/>
          <w:spacing w:val="0"/>
          <w:sz w:val="24"/>
          <w:szCs w:val="24"/>
          <w:bdr w:val="none" w:color="auto" w:sz="0" w:space="0"/>
          <w:shd w:val="clear" w:fill="FFFFFF"/>
          <w:lang w:eastAsia="zh-CN"/>
        </w:rPr>
        <w:t>黄石港区行管处</w:t>
      </w:r>
      <w:r>
        <w:rPr>
          <w:rStyle w:val="6"/>
          <w:rFonts w:hint="eastAsia" w:ascii="微软雅黑" w:hAnsi="微软雅黑" w:eastAsia="微软雅黑" w:cs="微软雅黑"/>
          <w:i w:val="0"/>
          <w:caps w:val="0"/>
          <w:color w:val="333333"/>
          <w:spacing w:val="0"/>
          <w:sz w:val="24"/>
          <w:szCs w:val="24"/>
          <w:bdr w:val="none" w:color="auto" w:sz="0" w:space="0"/>
          <w:shd w:val="clear" w:fill="FFFFFF"/>
        </w:rPr>
        <w:t>2017年决算公开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目  录</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第一部分:部门基本情况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一、部门主要职责</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二、部门决算单位构成</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第二部分: 部门2017年部门决算表</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一、收入支出决算总表（表1）</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二、收入决算表（表2）</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三、支出决算表（表3）</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四、财政拨款收入支出决算总表（表4）</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五、一般公共预算财政拨款支出决算表（表5）</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六、一般公共预算财政拨款基本支出决算表（表6）</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七、一般公共预算财政拨款“三公”经费支出决算表（表7）</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八、政府性基金预算财政拨款收入支出决算表（8）</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九、政府性基金预算财政拨款“三公”支出决算表（9）</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第三部分：部门2017年部门决算情况说明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一、部门收入支出决算情况说明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九、政府性基金预算财政拨款“三公”支出决算情况说明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第四部分：名词解释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6"/>
          <w:rFonts w:hint="eastAsia" w:ascii="微软雅黑" w:hAnsi="微软雅黑" w:eastAsia="微软雅黑" w:cs="微软雅黑"/>
          <w:i w:val="0"/>
          <w:caps w:val="0"/>
          <w:color w:val="333333"/>
          <w:spacing w:val="0"/>
          <w:sz w:val="24"/>
          <w:szCs w:val="24"/>
          <w:bdr w:val="none" w:color="auto" w:sz="0" w:space="0"/>
          <w:shd w:val="clear" w:fill="FFFFFF"/>
        </w:rPr>
        <w:t>2017年部门决算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6"/>
          <w:rFonts w:hint="eastAsia" w:ascii="微软雅黑" w:hAnsi="微软雅黑" w:eastAsia="微软雅黑" w:cs="微软雅黑"/>
          <w:i w:val="0"/>
          <w:caps w:val="0"/>
          <w:color w:val="333333"/>
          <w:spacing w:val="0"/>
          <w:sz w:val="24"/>
          <w:szCs w:val="24"/>
          <w:bdr w:val="none" w:color="auto" w:sz="0" w:space="0"/>
          <w:shd w:val="clear" w:fill="FFFFFF"/>
          <w:lang w:eastAsia="zh-CN"/>
        </w:rPr>
        <w:t>第一部分</w:t>
      </w:r>
      <w:r>
        <w:rPr>
          <w:rStyle w:val="6"/>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6"/>
          <w:rFonts w:hint="eastAsia" w:ascii="微软雅黑" w:hAnsi="微软雅黑" w:eastAsia="微软雅黑" w:cs="微软雅黑"/>
          <w:i w:val="0"/>
          <w:caps w:val="0"/>
          <w:color w:val="333333"/>
          <w:spacing w:val="0"/>
          <w:sz w:val="24"/>
          <w:szCs w:val="24"/>
          <w:bdr w:val="none" w:color="auto" w:sz="0" w:space="0"/>
          <w:shd w:val="clear" w:fill="FFFFFF"/>
        </w:rPr>
        <w:t>部门概况</w:t>
      </w:r>
    </w:p>
    <w:p>
      <w:pPr>
        <w:widowControl/>
        <w:shd w:val="clear" w:color="auto" w:fill="FFFFFF"/>
        <w:ind w:firstLine="480"/>
        <w:jc w:val="left"/>
        <w:rPr>
          <w:rFonts w:hint="eastAsia" w:ascii="宋体" w:hAnsi="宋体" w:cs="宋体"/>
          <w:sz w:val="28"/>
          <w:szCs w:val="28"/>
        </w:rPr>
      </w:pPr>
      <w:r>
        <w:rPr>
          <w:rFonts w:hint="eastAsia" w:ascii="宋体" w:hAnsi="宋体" w:cs="宋体"/>
          <w:color w:val="333333"/>
          <w:kern w:val="0"/>
          <w:sz w:val="28"/>
          <w:szCs w:val="28"/>
        </w:rPr>
        <w:t>（</w:t>
      </w:r>
      <w:r>
        <w:rPr>
          <w:rFonts w:hint="eastAsia" w:ascii="宋体" w:hAnsi="宋体" w:cs="宋体"/>
          <w:sz w:val="28"/>
          <w:szCs w:val="28"/>
        </w:rPr>
        <w:t>一）主要职责</w:t>
      </w:r>
    </w:p>
    <w:p>
      <w:pPr>
        <w:pStyle w:val="3"/>
        <w:autoSpaceDE w:val="0"/>
        <w:spacing w:line="560" w:lineRule="exact"/>
        <w:ind w:left="420" w:leftChars="200" w:firstLine="142" w:firstLineChars="50"/>
        <w:rPr>
          <w:rFonts w:hint="eastAsia" w:hAnsi="宋体" w:cs="宋体"/>
          <w:color w:val="000000"/>
          <w:spacing w:val="2"/>
          <w:sz w:val="28"/>
          <w:szCs w:val="28"/>
        </w:rPr>
      </w:pPr>
      <w:r>
        <w:rPr>
          <w:rFonts w:hint="eastAsia" w:hAnsi="宋体" w:cs="宋体"/>
          <w:color w:val="000000"/>
          <w:spacing w:val="2"/>
          <w:sz w:val="28"/>
          <w:szCs w:val="28"/>
        </w:rPr>
        <w:t xml:space="preserve"> (1)、加强机关大院安全保卫工作，严格进出人员登记管理，车辆停放有序，无盗窃等案件发生，保障机关正常办公秩序。</w:t>
      </w:r>
    </w:p>
    <w:p>
      <w:pPr>
        <w:pStyle w:val="3"/>
        <w:autoSpaceDE w:val="0"/>
        <w:spacing w:line="560" w:lineRule="exact"/>
        <w:ind w:firstLine="568" w:firstLineChars="200"/>
        <w:rPr>
          <w:rFonts w:hint="eastAsia" w:hAnsi="宋体" w:cs="宋体"/>
          <w:color w:val="000000"/>
          <w:spacing w:val="2"/>
          <w:sz w:val="28"/>
          <w:szCs w:val="28"/>
        </w:rPr>
      </w:pPr>
      <w:r>
        <w:rPr>
          <w:rFonts w:hint="eastAsia" w:hAnsi="宋体" w:cs="宋体"/>
          <w:color w:val="000000"/>
          <w:spacing w:val="2"/>
          <w:sz w:val="28"/>
          <w:szCs w:val="28"/>
        </w:rPr>
        <w:t>(2)、认真履行区机关财产管理职能，做好区机关办公用 房管理工作。</w:t>
      </w:r>
    </w:p>
    <w:p>
      <w:pPr>
        <w:pStyle w:val="3"/>
        <w:autoSpaceDE w:val="0"/>
        <w:spacing w:line="560" w:lineRule="exact"/>
        <w:ind w:firstLine="568" w:firstLineChars="200"/>
        <w:rPr>
          <w:rFonts w:hint="eastAsia" w:hAnsi="宋体" w:cs="宋体"/>
          <w:color w:val="000000"/>
          <w:spacing w:val="2"/>
          <w:sz w:val="28"/>
          <w:szCs w:val="28"/>
        </w:rPr>
      </w:pPr>
      <w:r>
        <w:rPr>
          <w:rFonts w:hint="eastAsia" w:hAnsi="宋体" w:cs="宋体"/>
          <w:color w:val="000000"/>
          <w:spacing w:val="2"/>
          <w:sz w:val="28"/>
          <w:szCs w:val="28"/>
        </w:rPr>
        <w:t>(3)、履行公务车辆管理职能，做好公务车使用管理工作。</w:t>
      </w:r>
    </w:p>
    <w:p>
      <w:pPr>
        <w:pStyle w:val="3"/>
        <w:autoSpaceDE w:val="0"/>
        <w:spacing w:line="560" w:lineRule="exact"/>
        <w:ind w:firstLine="568" w:firstLineChars="200"/>
        <w:rPr>
          <w:rFonts w:hint="eastAsia" w:hAnsi="宋体" w:cs="宋体"/>
          <w:color w:val="000000"/>
          <w:spacing w:val="2"/>
          <w:sz w:val="28"/>
          <w:szCs w:val="28"/>
        </w:rPr>
      </w:pPr>
      <w:r>
        <w:rPr>
          <w:rFonts w:hint="eastAsia" w:hAnsi="宋体" w:cs="宋体"/>
          <w:color w:val="000000"/>
          <w:spacing w:val="2"/>
          <w:sz w:val="28"/>
          <w:szCs w:val="28"/>
        </w:rPr>
        <w:t>(4)、搞好机关大院绿化和公共场所的卫生管理。</w:t>
      </w:r>
    </w:p>
    <w:p>
      <w:pPr>
        <w:pStyle w:val="3"/>
        <w:autoSpaceDE w:val="0"/>
        <w:spacing w:line="560" w:lineRule="exact"/>
        <w:ind w:firstLine="568" w:firstLineChars="200"/>
        <w:rPr>
          <w:rFonts w:hint="eastAsia" w:hAnsi="宋体" w:cs="宋体"/>
          <w:color w:val="000000"/>
          <w:spacing w:val="2"/>
          <w:sz w:val="28"/>
          <w:szCs w:val="28"/>
        </w:rPr>
      </w:pPr>
      <w:r>
        <w:rPr>
          <w:rFonts w:hint="eastAsia" w:hAnsi="宋体" w:cs="宋体"/>
          <w:color w:val="000000"/>
          <w:spacing w:val="2"/>
          <w:sz w:val="28"/>
          <w:szCs w:val="28"/>
        </w:rPr>
        <w:t>(5)、加强机关食堂管理工作，保证干部职工就餐。</w:t>
      </w:r>
    </w:p>
    <w:p>
      <w:pPr>
        <w:pStyle w:val="3"/>
        <w:autoSpaceDE w:val="0"/>
        <w:spacing w:line="560" w:lineRule="exact"/>
        <w:ind w:firstLine="568" w:firstLineChars="200"/>
        <w:rPr>
          <w:rFonts w:hint="eastAsia" w:hAnsi="宋体" w:cs="宋体"/>
          <w:color w:val="000000"/>
          <w:spacing w:val="2"/>
          <w:sz w:val="28"/>
          <w:szCs w:val="28"/>
        </w:rPr>
      </w:pPr>
      <w:r>
        <w:rPr>
          <w:rFonts w:hint="eastAsia" w:hAnsi="宋体" w:cs="宋体"/>
          <w:color w:val="000000"/>
          <w:spacing w:val="2"/>
          <w:sz w:val="28"/>
          <w:szCs w:val="28"/>
        </w:rPr>
        <w:t>(6)、做好会议室的维护管理，确保正常使用。</w:t>
      </w:r>
    </w:p>
    <w:p>
      <w:pPr>
        <w:pStyle w:val="3"/>
        <w:autoSpaceDE w:val="0"/>
        <w:spacing w:line="560" w:lineRule="exact"/>
        <w:ind w:firstLine="568" w:firstLineChars="200"/>
        <w:rPr>
          <w:rFonts w:hint="eastAsia" w:hAnsi="宋体" w:cs="宋体"/>
          <w:color w:val="000000"/>
          <w:spacing w:val="2"/>
          <w:sz w:val="28"/>
          <w:szCs w:val="28"/>
        </w:rPr>
      </w:pPr>
      <w:r>
        <w:rPr>
          <w:rFonts w:hint="eastAsia" w:hAnsi="宋体" w:cs="宋体"/>
          <w:color w:val="000000"/>
          <w:spacing w:val="2"/>
          <w:sz w:val="28"/>
          <w:szCs w:val="28"/>
        </w:rPr>
        <w:t>(7)、履行公共机构节能管理职能，完成市定节能目标。</w:t>
      </w:r>
    </w:p>
    <w:p>
      <w:pPr>
        <w:pStyle w:val="3"/>
        <w:autoSpaceDE w:val="0"/>
        <w:spacing w:line="560" w:lineRule="exact"/>
        <w:ind w:firstLine="568" w:firstLineChars="200"/>
        <w:rPr>
          <w:rFonts w:hint="eastAsia" w:hAnsi="宋体" w:cs="宋体"/>
          <w:color w:val="000000"/>
          <w:spacing w:val="2"/>
          <w:sz w:val="28"/>
          <w:szCs w:val="28"/>
        </w:rPr>
      </w:pPr>
      <w:r>
        <w:rPr>
          <w:rFonts w:hint="eastAsia" w:hAnsi="宋体" w:cs="宋体"/>
          <w:color w:val="000000"/>
          <w:spacing w:val="2"/>
          <w:sz w:val="28"/>
          <w:szCs w:val="28"/>
        </w:rPr>
        <w:t>(8)、认真做好科级及以下退休干部的管理工作。</w:t>
      </w:r>
    </w:p>
    <w:p>
      <w:pPr>
        <w:pStyle w:val="3"/>
        <w:autoSpaceDE w:val="0"/>
        <w:spacing w:line="560" w:lineRule="exact"/>
        <w:ind w:firstLine="568" w:firstLineChars="200"/>
        <w:rPr>
          <w:rFonts w:hint="eastAsia" w:hAnsi="宋体" w:cs="宋体"/>
          <w:color w:val="000000"/>
          <w:spacing w:val="2"/>
          <w:sz w:val="28"/>
          <w:szCs w:val="28"/>
        </w:rPr>
      </w:pPr>
      <w:r>
        <w:rPr>
          <w:rFonts w:hint="eastAsia" w:hAnsi="宋体" w:cs="宋体"/>
          <w:color w:val="000000"/>
          <w:spacing w:val="2"/>
          <w:sz w:val="28"/>
          <w:szCs w:val="28"/>
        </w:rPr>
        <w:t>(9)、做好挂点社区的帮扶工作。</w:t>
      </w:r>
    </w:p>
    <w:p>
      <w:pPr>
        <w:pStyle w:val="3"/>
        <w:autoSpaceDE w:val="0"/>
        <w:spacing w:line="560" w:lineRule="exact"/>
        <w:ind w:firstLine="568" w:firstLineChars="200"/>
        <w:rPr>
          <w:rFonts w:hint="eastAsia" w:hAnsi="宋体" w:cs="宋体"/>
          <w:sz w:val="28"/>
          <w:szCs w:val="28"/>
        </w:rPr>
      </w:pPr>
      <w:r>
        <w:rPr>
          <w:rFonts w:hint="eastAsia" w:hAnsi="宋体" w:cs="宋体"/>
          <w:color w:val="000000"/>
          <w:spacing w:val="2"/>
          <w:sz w:val="28"/>
          <w:szCs w:val="28"/>
        </w:rPr>
        <w:t>(10)、完成区委、区政府交办的其他工作。</w:t>
      </w:r>
    </w:p>
    <w:p>
      <w:pPr>
        <w:widowControl/>
        <w:shd w:val="clear" w:color="auto" w:fill="FFFFFF"/>
        <w:ind w:firstLine="560" w:firstLineChars="200"/>
        <w:jc w:val="left"/>
        <w:rPr>
          <w:rFonts w:hint="eastAsia" w:ascii="宋体" w:hAnsi="宋体" w:cs="宋体"/>
          <w:color w:val="333333"/>
          <w:kern w:val="0"/>
          <w:sz w:val="28"/>
          <w:szCs w:val="28"/>
        </w:rPr>
      </w:pPr>
      <w:r>
        <w:rPr>
          <w:rFonts w:hint="eastAsia" w:ascii="宋体" w:hAnsi="宋体" w:cs="宋体"/>
          <w:sz w:val="28"/>
          <w:szCs w:val="28"/>
        </w:rPr>
        <w:t>（二）单位基本信息(机构设置等</w:t>
      </w:r>
      <w:r>
        <w:rPr>
          <w:rFonts w:hint="eastAsia" w:ascii="宋体" w:hAnsi="宋体" w:cs="宋体"/>
          <w:color w:val="333333"/>
          <w:kern w:val="0"/>
          <w:sz w:val="28"/>
          <w:szCs w:val="28"/>
        </w:rPr>
        <w:t>)</w:t>
      </w:r>
    </w:p>
    <w:p>
      <w:pPr>
        <w:spacing w:line="560" w:lineRule="exact"/>
        <w:ind w:firstLine="562" w:firstLineChars="200"/>
        <w:rPr>
          <w:rFonts w:hint="eastAsia" w:ascii="宋体" w:hAnsi="宋体" w:cs="宋体"/>
          <w:sz w:val="28"/>
          <w:szCs w:val="28"/>
        </w:rPr>
      </w:pPr>
      <w:r>
        <w:rPr>
          <w:rFonts w:hint="eastAsia" w:ascii="宋体" w:hAnsi="宋体" w:cs="宋体"/>
          <w:b/>
          <w:bCs/>
          <w:color w:val="000000"/>
          <w:sz w:val="28"/>
          <w:szCs w:val="28"/>
        </w:rPr>
        <w:t>1、安保维稳保障有力。</w:t>
      </w:r>
      <w:r>
        <w:rPr>
          <w:rFonts w:hint="eastAsia" w:ascii="宋体" w:hAnsi="宋体" w:cs="宋体"/>
          <w:color w:val="000000"/>
          <w:sz w:val="28"/>
          <w:szCs w:val="28"/>
        </w:rPr>
        <w:t>我局始终把安全保卫工作放在首位，一把手亲自抓，分管领导具体抓，专职人员分工明确，责任落实到人。建立了一套严密的安全保卫管理制度，采取人防、物防、技防相结合，加强保安巡逻，实行24小时值班巡查制度，顺利完成日常及十九大期间区机关大院的安保工作。协助区委政法委、区信访局做好上访人员的疏导和劝解工作，及时化解不稳定不和谐因素。安装了大院车辆进出门禁系统，录入了固定车辆信息，重新划定了标识线，将人车分流，完善车辆进出和停放管理工作。建立了微型消防站，每月召开一次全体安保人员会议，经常开展业务培训、灭火演练，强化履职尽责，确保责任落实。2017年区直机关大院盗窃事件、火灾事故零发生。</w:t>
      </w:r>
    </w:p>
    <w:p>
      <w:pPr>
        <w:spacing w:line="560" w:lineRule="exact"/>
        <w:ind w:firstLine="562" w:firstLineChars="200"/>
        <w:rPr>
          <w:rFonts w:hint="eastAsia" w:ascii="宋体" w:hAnsi="宋体" w:cs="宋体"/>
          <w:bCs/>
          <w:color w:val="000000"/>
          <w:sz w:val="28"/>
          <w:szCs w:val="28"/>
        </w:rPr>
      </w:pPr>
      <w:r>
        <w:rPr>
          <w:rFonts w:hint="eastAsia" w:ascii="宋体" w:hAnsi="宋体" w:cs="宋体"/>
          <w:b/>
          <w:bCs/>
          <w:color w:val="000000"/>
          <w:sz w:val="28"/>
          <w:szCs w:val="28"/>
        </w:rPr>
        <w:t>2、环境卫生长效管理。</w:t>
      </w:r>
      <w:r>
        <w:rPr>
          <w:rFonts w:hint="eastAsia" w:ascii="宋体" w:hAnsi="宋体" w:cs="宋体"/>
          <w:sz w:val="28"/>
          <w:szCs w:val="28"/>
        </w:rPr>
        <w:t>坚持执行全天候的清扫保洁制度，并</w:t>
      </w:r>
      <w:r>
        <w:rPr>
          <w:rFonts w:hint="eastAsia" w:ascii="宋体" w:hAnsi="宋体" w:cs="宋体"/>
          <w:bCs/>
          <w:color w:val="000000"/>
          <w:sz w:val="28"/>
          <w:szCs w:val="28"/>
        </w:rPr>
        <w:t>对</w:t>
      </w:r>
      <w:r>
        <w:rPr>
          <w:rFonts w:hint="eastAsia" w:ascii="宋体" w:hAnsi="宋体" w:cs="宋体"/>
          <w:sz w:val="28"/>
          <w:szCs w:val="28"/>
        </w:rPr>
        <w:t>清扫保洁</w:t>
      </w:r>
      <w:r>
        <w:rPr>
          <w:rFonts w:hint="eastAsia" w:ascii="宋体" w:hAnsi="宋体" w:cs="宋体"/>
          <w:bCs/>
          <w:color w:val="000000"/>
          <w:sz w:val="28"/>
          <w:szCs w:val="28"/>
        </w:rPr>
        <w:t>人员出勤到岗和清扫保洁情况进行不定期检查，确保清扫保洁工作到位，保证机关大院环境卫生干净整洁。不定期进行区机关主楼外立面卫生保洁。十一长假期间，对办公楼主楼外玻璃墙面进行了清洗，优化了主楼办公环境，得到干部职工的一致认可。</w:t>
      </w:r>
    </w:p>
    <w:p>
      <w:pPr>
        <w:spacing w:line="560" w:lineRule="exact"/>
        <w:ind w:firstLine="562" w:firstLineChars="200"/>
        <w:rPr>
          <w:rFonts w:hint="eastAsia" w:ascii="宋体" w:hAnsi="宋体" w:cs="宋体"/>
          <w:color w:val="000000"/>
          <w:sz w:val="28"/>
          <w:szCs w:val="28"/>
          <w:shd w:val="clear" w:color="auto" w:fill="FFFFFF"/>
        </w:rPr>
      </w:pPr>
      <w:r>
        <w:rPr>
          <w:rFonts w:hint="eastAsia" w:ascii="宋体" w:hAnsi="宋体" w:cs="宋体"/>
          <w:b/>
          <w:color w:val="000000"/>
          <w:sz w:val="28"/>
          <w:szCs w:val="28"/>
        </w:rPr>
        <w:t>3、会务保障周到细致。</w:t>
      </w:r>
      <w:r>
        <w:rPr>
          <w:rFonts w:hint="eastAsia" w:ascii="宋体" w:hAnsi="宋体" w:cs="宋体"/>
          <w:sz w:val="28"/>
          <w:szCs w:val="28"/>
        </w:rPr>
        <w:t>加强对会议室设备设施维护、升级和日常管理，改善会议条件，更新了人大常委会会议的无线表决系统，着力提高服务效能，全天候保证各类会议的顺利召开。</w:t>
      </w:r>
      <w:r>
        <w:rPr>
          <w:rFonts w:hint="eastAsia" w:ascii="宋体" w:hAnsi="宋体" w:cs="宋体"/>
          <w:color w:val="000000"/>
          <w:sz w:val="28"/>
          <w:szCs w:val="28"/>
          <w:shd w:val="clear" w:color="auto" w:fill="FFFFFF"/>
        </w:rPr>
        <w:t>积极配合有关单位和部门，做好全区重大节日、大型会议的会场布置、会务筹备、会议协调等各项工作，为全区性的重要会议有效召开提供了周到细致的服务保障。</w:t>
      </w:r>
    </w:p>
    <w:p>
      <w:pPr>
        <w:spacing w:line="560" w:lineRule="exact"/>
        <w:ind w:firstLine="562" w:firstLineChars="200"/>
        <w:rPr>
          <w:rFonts w:hint="eastAsia" w:ascii="宋体" w:hAnsi="宋体" w:cs="宋体"/>
          <w:sz w:val="28"/>
          <w:szCs w:val="28"/>
        </w:rPr>
      </w:pPr>
      <w:r>
        <w:rPr>
          <w:rFonts w:hint="eastAsia" w:ascii="宋体" w:hAnsi="宋体" w:cs="宋体"/>
          <w:b/>
          <w:bCs/>
          <w:sz w:val="28"/>
          <w:szCs w:val="28"/>
        </w:rPr>
        <w:t>4、基建维修及时全面。</w:t>
      </w:r>
      <w:r>
        <w:rPr>
          <w:rFonts w:hint="eastAsia" w:ascii="宋体" w:hAnsi="宋体" w:cs="宋体"/>
          <w:sz w:val="28"/>
          <w:szCs w:val="28"/>
        </w:rPr>
        <w:t>添置更换区机关办公大院的伸缩门，保证大院门口车辆和人员出入安全。将办公大楼后侧主供电线的单芯铜线更换成了电缆线，降低了因电线老化引起的火灾率。完成了办公大楼主楼后地面硬化和水管网的改造，改善和优化了办公环境。对区机关2号楼楼顶防水屋面进行改造，避免了因石棉瓦老化导致漏水严重的情况发生。</w:t>
      </w:r>
      <w:bookmarkStart w:id="0" w:name="OLE_LINK1"/>
      <w:r>
        <w:rPr>
          <w:rFonts w:hint="eastAsia" w:ascii="宋体" w:hAnsi="宋体" w:cs="宋体"/>
          <w:sz w:val="28"/>
          <w:szCs w:val="28"/>
        </w:rPr>
        <w:t>装修改造了</w:t>
      </w:r>
      <w:r>
        <w:rPr>
          <w:rFonts w:hint="eastAsia" w:ascii="宋体" w:hAnsi="宋体" w:cs="宋体"/>
          <w:color w:val="000000"/>
          <w:sz w:val="28"/>
          <w:szCs w:val="28"/>
        </w:rPr>
        <w:t>区直机关退休</w:t>
      </w:r>
      <w:bookmarkEnd w:id="0"/>
      <w:r>
        <w:rPr>
          <w:rFonts w:hint="eastAsia" w:ascii="宋体" w:hAnsi="宋体" w:cs="宋体"/>
          <w:color w:val="000000"/>
          <w:sz w:val="28"/>
          <w:szCs w:val="28"/>
        </w:rPr>
        <w:t>科级干部会议活动室，确保退休干部会议活动更放心、开心、舒心。给</w:t>
      </w:r>
      <w:r>
        <w:rPr>
          <w:rFonts w:hint="eastAsia" w:ascii="宋体" w:hAnsi="宋体" w:cs="宋体"/>
          <w:sz w:val="28"/>
          <w:szCs w:val="28"/>
        </w:rPr>
        <w:t>区主办公大楼东2层卫生间安装淋浴设备，保证了值班人员的洗浴需求。修建了信访楼无障碍通道、更换了大门防盗门，打通了残疾人的“上访通道”，便捷了上访群众，更好地促进了信访工作的顺利开展。</w:t>
      </w:r>
    </w:p>
    <w:p>
      <w:pPr>
        <w:widowControl/>
        <w:shd w:val="clear" w:color="050000" w:fill="FFFFFF"/>
        <w:spacing w:line="560" w:lineRule="exact"/>
        <w:ind w:left="-150" w:right="-150" w:firstLine="562" w:firstLineChars="200"/>
        <w:jc w:val="left"/>
        <w:rPr>
          <w:rFonts w:hint="eastAsia" w:ascii="宋体" w:hAnsi="宋体" w:cs="宋体"/>
          <w:sz w:val="28"/>
          <w:szCs w:val="28"/>
        </w:rPr>
      </w:pPr>
      <w:r>
        <w:rPr>
          <w:rFonts w:hint="eastAsia" w:ascii="宋体" w:hAnsi="宋体" w:cs="宋体"/>
          <w:b/>
          <w:bCs/>
          <w:sz w:val="28"/>
          <w:szCs w:val="28"/>
        </w:rPr>
        <w:t xml:space="preserve"> 5、公务车辆管理规范。</w:t>
      </w:r>
      <w:r>
        <w:rPr>
          <w:rFonts w:hint="eastAsia" w:ascii="宋体" w:hAnsi="宋体" w:cs="宋体"/>
          <w:sz w:val="28"/>
          <w:szCs w:val="28"/>
        </w:rPr>
        <w:t>定期召开驾驶员会议，组织驾驶员学习培训，敲响他们的安全警钟，警醒驾驶员确保安全、文明出车，杜绝违规用车。在县（市区）率先安装公务车北斗定位系统，</w:t>
      </w:r>
      <w:r>
        <w:rPr>
          <w:rFonts w:hint="eastAsia" w:ascii="宋体" w:hAnsi="宋体" w:cs="宋体"/>
          <w:color w:val="2B2B2B"/>
          <w:sz w:val="28"/>
          <w:szCs w:val="28"/>
          <w:shd w:val="clear" w:color="080000" w:fill="FFFFFF"/>
        </w:rPr>
        <w:t>更换公车</w:t>
      </w:r>
      <w:r>
        <w:rPr>
          <w:rFonts w:hint="eastAsia" w:ascii="宋体" w:hAnsi="宋体" w:cs="宋体"/>
          <w:sz w:val="28"/>
          <w:szCs w:val="28"/>
        </w:rPr>
        <w:t>专用号牌，喷涂公务用车标识</w:t>
      </w:r>
      <w:r>
        <w:rPr>
          <w:rFonts w:hint="eastAsia" w:ascii="宋体" w:hAnsi="宋体" w:cs="宋体"/>
          <w:color w:val="2B2B2B"/>
          <w:sz w:val="28"/>
          <w:szCs w:val="28"/>
          <w:shd w:val="clear" w:color="080000" w:fill="FFFFFF"/>
        </w:rPr>
        <w:t>，</w:t>
      </w:r>
      <w:r>
        <w:rPr>
          <w:rFonts w:hint="eastAsia" w:ascii="宋体" w:hAnsi="宋体" w:cs="宋体"/>
          <w:sz w:val="28"/>
          <w:szCs w:val="28"/>
        </w:rPr>
        <w:t>实现了对车辆的24小时监控。修建了公务用车停车棚，保证了公务车辆的定点停放。联合区纪委、区交警部门，在重大节假日期间对公务用车情况进行明察暗访，杜绝公车私用、违规用车。</w:t>
      </w:r>
      <w:r>
        <w:rPr>
          <w:rFonts w:hint="eastAsia" w:ascii="宋体" w:hAnsi="宋体" w:cs="宋体"/>
          <w:color w:val="2B2B2B"/>
          <w:sz w:val="28"/>
          <w:szCs w:val="28"/>
          <w:shd w:val="clear" w:color="080000" w:fill="FFFFFF"/>
        </w:rPr>
        <w:t>黄</w:t>
      </w:r>
      <w:r>
        <w:rPr>
          <w:rFonts w:hint="eastAsia" w:ascii="宋体" w:hAnsi="宋体" w:cs="宋体"/>
          <w:sz w:val="28"/>
          <w:szCs w:val="28"/>
        </w:rPr>
        <w:t>石港区公务用车在全市率先完成了公车管理平台化、平台建设信息化、公务用车标识化这一系列重要工作。通过平台监控，</w:t>
      </w:r>
      <w:r>
        <w:rPr>
          <w:rFonts w:hint="eastAsia" w:ascii="宋体" w:hAnsi="宋体" w:cs="宋体"/>
          <w:color w:val="191919"/>
          <w:sz w:val="28"/>
          <w:szCs w:val="28"/>
          <w:shd w:val="clear" w:color="080000" w:fill="FFFFFF"/>
        </w:rPr>
        <w:t>能够全天候掌握车辆运行状态，提高车辆使用率信息化水平，为全区经济建设提供便捷高效安全的出行保障。</w:t>
      </w:r>
    </w:p>
    <w:p>
      <w:pPr>
        <w:spacing w:line="560" w:lineRule="exact"/>
        <w:ind w:firstLine="642"/>
        <w:rPr>
          <w:rFonts w:hint="eastAsia" w:ascii="宋体" w:hAnsi="宋体" w:cs="宋体"/>
          <w:sz w:val="28"/>
          <w:szCs w:val="28"/>
        </w:rPr>
      </w:pPr>
      <w:r>
        <w:rPr>
          <w:rFonts w:hint="eastAsia" w:ascii="宋体" w:hAnsi="宋体" w:cs="宋体"/>
          <w:sz w:val="28"/>
          <w:szCs w:val="28"/>
        </w:rPr>
        <w:t>6、</w:t>
      </w:r>
      <w:r>
        <w:rPr>
          <w:rFonts w:hint="eastAsia" w:ascii="宋体" w:hAnsi="宋体" w:cs="宋体"/>
          <w:b/>
          <w:bCs/>
          <w:sz w:val="28"/>
          <w:szCs w:val="28"/>
        </w:rPr>
        <w:t>办公用房管理精细。</w:t>
      </w:r>
      <w:r>
        <w:rPr>
          <w:rFonts w:hint="eastAsia" w:ascii="宋体" w:hAnsi="宋体" w:cs="宋体"/>
          <w:sz w:val="28"/>
          <w:szCs w:val="28"/>
        </w:rPr>
        <w:t>严格执行党政机关办公用房配备标准，对区机关办公用房进行清理规范。根据各部门人员编制配备情况，对办公用房进行“腾、退、调”。由于招商局归并到商务局，其办公用房腾出用于调剂。为规范管理、整体合一、统一调剂的原则，将区发改局调至区招商局原址办公，并将发改局的办公用房调剂给区政法委、文旅投办公。经合理调剂后，解决了区委办、政府办、政协办、文旅投办公用房拥挤不够的问题。</w:t>
      </w:r>
    </w:p>
    <w:p>
      <w:pPr>
        <w:numPr>
          <w:ilvl w:val="0"/>
          <w:numId w:val="1"/>
        </w:numPr>
        <w:spacing w:line="560" w:lineRule="exact"/>
        <w:ind w:firstLine="562" w:firstLineChars="200"/>
        <w:rPr>
          <w:rFonts w:hint="eastAsia" w:ascii="宋体" w:hAnsi="宋体" w:cs="宋体"/>
          <w:sz w:val="28"/>
          <w:szCs w:val="28"/>
        </w:rPr>
      </w:pPr>
      <w:r>
        <w:rPr>
          <w:rFonts w:hint="eastAsia" w:ascii="宋体" w:hAnsi="宋体" w:cs="宋体"/>
          <w:b/>
          <w:bCs/>
          <w:sz w:val="28"/>
          <w:szCs w:val="28"/>
        </w:rPr>
        <w:t>食堂管理服务到位。</w:t>
      </w:r>
      <w:r>
        <w:rPr>
          <w:rFonts w:hint="eastAsia" w:ascii="宋体" w:hAnsi="宋体" w:cs="宋体"/>
          <w:sz w:val="28"/>
          <w:szCs w:val="28"/>
        </w:rPr>
        <w:t>为进一步规范机关食堂管理，提高机关食堂的服务水平和保障能力，给干部职工提供方便、卫生、高效的自助餐就餐环境，制定出台了《黄石港区机关食堂管理制度》。</w:t>
      </w:r>
      <w:r>
        <w:rPr>
          <w:rFonts w:hint="eastAsia" w:ascii="宋体" w:hAnsi="宋体" w:cs="宋体"/>
          <w:color w:val="333333"/>
          <w:sz w:val="28"/>
          <w:szCs w:val="28"/>
          <w:shd w:val="clear" w:color="080000" w:fill="FFFFFF"/>
        </w:rPr>
        <w:t>严把进货关。定点采购，确保进货质量，并定时进行食材市场价格调查，严格控制支出。严把卫生关。对餐具做到一洗、二刷、三冲、四消毒，每天对操作间、餐厅卫生及时清理，每周一次大清扫，确保卫生达标。严把监督关。多次开展满意度民意调查，均得到区机关干部职工的一致好评。组织食堂厨师技能比武，</w:t>
      </w:r>
      <w:r>
        <w:rPr>
          <w:rFonts w:hint="eastAsia" w:ascii="宋体" w:hAnsi="宋体" w:cs="宋体"/>
          <w:color w:val="333333"/>
          <w:kern w:val="0"/>
          <w:sz w:val="28"/>
          <w:szCs w:val="28"/>
          <w:shd w:val="clear" w:color="090000" w:fill="FFFFFF"/>
        </w:rPr>
        <w:t>进一步提升了后厨队伍的整体技术水平。</w:t>
      </w:r>
      <w:r>
        <w:rPr>
          <w:rFonts w:hint="eastAsia" w:ascii="宋体" w:hAnsi="宋体" w:cs="宋体"/>
          <w:sz w:val="28"/>
          <w:szCs w:val="28"/>
        </w:rPr>
        <w:t>区机关食堂被评为2016年度湖北省餐饮服务食品安全示范单位。</w:t>
      </w:r>
    </w:p>
    <w:p>
      <w:pPr>
        <w:pStyle w:val="10"/>
        <w:spacing w:before="0" w:beforeAutospacing="0" w:after="0" w:afterAutospacing="0" w:line="560" w:lineRule="exact"/>
        <w:ind w:firstLine="562" w:firstLineChars="200"/>
        <w:jc w:val="both"/>
        <w:rPr>
          <w:rFonts w:hint="eastAsia"/>
          <w:color w:val="333333"/>
          <w:sz w:val="28"/>
          <w:szCs w:val="28"/>
        </w:rPr>
      </w:pPr>
      <w:r>
        <w:rPr>
          <w:rFonts w:hint="eastAsia"/>
          <w:b/>
          <w:color w:val="000000"/>
          <w:sz w:val="28"/>
          <w:szCs w:val="28"/>
        </w:rPr>
        <w:t>8、机构节能成效显著。</w:t>
      </w:r>
      <w:r>
        <w:rPr>
          <w:rFonts w:hint="eastAsia"/>
          <w:sz w:val="28"/>
          <w:szCs w:val="28"/>
        </w:rPr>
        <w:t>完成了2016年黄石港区公共机构能源资源消费统计数据的录入报送。开展“节能宣传周”和“低碳日”活动，以“节能有我，绿色共享”为主题，以建设生态文明为主线，以动员机关干部职工参与节能降碳为重点，通过张贴节能降碳宣传画、编制绿色环保宣传栏、利用电子屏宣传节能降碳标语等方式宣传绿色发展理念，传播生态文明主流价值观，营造良好的环保氛围。认真组织开展</w:t>
      </w:r>
      <w:r>
        <w:rPr>
          <w:rFonts w:hint="eastAsia"/>
          <w:color w:val="000000"/>
          <w:sz w:val="28"/>
          <w:szCs w:val="28"/>
          <w:shd w:val="clear" w:color="080000" w:fill="FFFFFF"/>
        </w:rPr>
        <w:t>节约型公共机构示范单位创建工作</w:t>
      </w:r>
      <w:r>
        <w:rPr>
          <w:rFonts w:hint="eastAsia"/>
          <w:sz w:val="28"/>
          <w:szCs w:val="28"/>
        </w:rPr>
        <w:t>，积极</w:t>
      </w:r>
      <w:r>
        <w:rPr>
          <w:rFonts w:hint="eastAsia"/>
          <w:color w:val="000000"/>
          <w:sz w:val="28"/>
          <w:szCs w:val="28"/>
          <w:shd w:val="clear" w:color="080000" w:fill="FFFFFF"/>
        </w:rPr>
        <w:t>推进公共机构办公与生活垃圾分类回收工作,</w:t>
      </w:r>
      <w:r>
        <w:rPr>
          <w:rFonts w:hint="eastAsia"/>
          <w:color w:val="000000"/>
          <w:sz w:val="28"/>
          <w:szCs w:val="28"/>
        </w:rPr>
        <w:t>充分发挥机关单位在节能工作中的表率和带动作用，动员和引导全员都参与到公共机构节能工作中来。区机关被评为2016年度黄石市节水型机关。</w:t>
      </w:r>
    </w:p>
    <w:p>
      <w:pPr>
        <w:spacing w:line="620" w:lineRule="exact"/>
        <w:ind w:firstLine="570" w:firstLineChars="200"/>
        <w:jc w:val="left"/>
        <w:rPr>
          <w:rFonts w:hint="eastAsia" w:ascii="宋体" w:hAnsi="宋体" w:cs="宋体"/>
          <w:b/>
          <w:color w:val="000000"/>
          <w:spacing w:val="2"/>
          <w:sz w:val="28"/>
          <w:szCs w:val="28"/>
        </w:rPr>
      </w:pPr>
      <w:r>
        <w:rPr>
          <w:rFonts w:hint="eastAsia" w:ascii="宋体" w:hAnsi="宋体" w:cs="宋体"/>
          <w:b/>
          <w:color w:val="000000"/>
          <w:spacing w:val="2"/>
          <w:sz w:val="28"/>
          <w:szCs w:val="28"/>
        </w:rPr>
        <w:t>3、人员情况</w:t>
      </w:r>
    </w:p>
    <w:p>
      <w:pPr>
        <w:autoSpaceDE w:val="0"/>
        <w:spacing w:line="560" w:lineRule="exact"/>
        <w:ind w:firstLine="568" w:firstLineChars="200"/>
        <w:rPr>
          <w:rFonts w:hint="eastAsia" w:ascii="宋体" w:hAnsi="宋体" w:cs="宋体"/>
          <w:color w:val="333333"/>
          <w:kern w:val="0"/>
          <w:sz w:val="28"/>
          <w:szCs w:val="28"/>
        </w:rPr>
      </w:pPr>
      <w:r>
        <w:rPr>
          <w:rFonts w:hint="eastAsia" w:ascii="宋体" w:hAnsi="宋体" w:cs="宋体"/>
          <w:color w:val="000000"/>
          <w:spacing w:val="2"/>
          <w:sz w:val="28"/>
          <w:szCs w:val="28"/>
        </w:rPr>
        <w:t>2017年我单位在职人员为11人，聘用人员9人。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6"/>
          <w:rFonts w:hint="eastAsia" w:ascii="微软雅黑" w:hAnsi="微软雅黑" w:eastAsia="微软雅黑" w:cs="微软雅黑"/>
          <w:i w:val="0"/>
          <w:caps w:val="0"/>
          <w:color w:val="333333"/>
          <w:spacing w:val="0"/>
          <w:sz w:val="24"/>
          <w:szCs w:val="24"/>
          <w:bdr w:val="none" w:color="auto" w:sz="0" w:space="0"/>
          <w:shd w:val="clear" w:fill="FFFFFF"/>
          <w:lang w:eastAsia="zh-CN"/>
        </w:rPr>
        <w:t>第二部分</w:t>
      </w:r>
      <w:r>
        <w:rPr>
          <w:rStyle w:val="6"/>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6"/>
          <w:rFonts w:hint="eastAsia" w:ascii="微软雅黑" w:hAnsi="微软雅黑" w:eastAsia="微软雅黑" w:cs="微软雅黑"/>
          <w:i w:val="0"/>
          <w:caps w:val="0"/>
          <w:color w:val="333333"/>
          <w:spacing w:val="0"/>
          <w:sz w:val="24"/>
          <w:szCs w:val="24"/>
          <w:bdr w:val="none" w:color="auto" w:sz="0" w:space="0"/>
          <w:shd w:val="clear" w:fill="FFFFFF"/>
        </w:rPr>
        <w:t>2017年部门决算表</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sectPr>
          <w:pgSz w:w="11906" w:h="16838"/>
          <w:pgMar w:top="1440" w:right="1800" w:bottom="1440" w:left="1800" w:header="851" w:footer="992" w:gutter="0"/>
          <w:cols w:space="425" w:num="1"/>
          <w:docGrid w:type="lines" w:linePitch="312" w:charSpace="0"/>
        </w:sect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both"/>
      </w:pPr>
      <w:r>
        <w:drawing>
          <wp:inline distT="0" distB="0" distL="114300" distR="114300">
            <wp:extent cx="6419850" cy="5010150"/>
            <wp:effectExtent l="0" t="0" r="0" b="0"/>
            <wp:docPr id="36"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pic:cNvPicPr>
                      <a:picLocks noChangeAspect="1"/>
                    </pic:cNvPicPr>
                  </pic:nvPicPr>
                  <pic:blipFill>
                    <a:blip r:embed="rId4"/>
                    <a:stretch>
                      <a:fillRect/>
                    </a:stretch>
                  </pic:blipFill>
                  <pic:spPr>
                    <a:xfrm>
                      <a:off x="0" y="0"/>
                      <a:ext cx="6419850" cy="5010150"/>
                    </a:xfrm>
                    <a:prstGeom prst="rect">
                      <a:avLst/>
                    </a:prstGeom>
                    <a:noFill/>
                    <a:ln w="9525">
                      <a:noFill/>
                    </a:ln>
                  </pic:spPr>
                </pic:pic>
              </a:graphicData>
            </a:graphic>
          </wp:inline>
        </w:drawing>
      </w:r>
      <w:r>
        <w:drawing>
          <wp:inline distT="0" distB="0" distL="114300" distR="114300">
            <wp:extent cx="8860155" cy="2404745"/>
            <wp:effectExtent l="0" t="0" r="17145" b="14605"/>
            <wp:docPr id="37"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pic:cNvPicPr>
                      <a:picLocks noChangeAspect="1"/>
                    </pic:cNvPicPr>
                  </pic:nvPicPr>
                  <pic:blipFill>
                    <a:blip r:embed="rId5"/>
                    <a:stretch>
                      <a:fillRect/>
                    </a:stretch>
                  </pic:blipFill>
                  <pic:spPr>
                    <a:xfrm>
                      <a:off x="0" y="0"/>
                      <a:ext cx="8860155" cy="2404745"/>
                    </a:xfrm>
                    <a:prstGeom prst="rect">
                      <a:avLst/>
                    </a:prstGeom>
                    <a:noFill/>
                    <a:ln w="9525">
                      <a:noFill/>
                    </a:ln>
                  </pic:spPr>
                </pic:pic>
              </a:graphicData>
            </a:graphic>
          </wp:inline>
        </w:drawing>
      </w:r>
      <w:r>
        <w:drawing>
          <wp:inline distT="0" distB="0" distL="114300" distR="114300">
            <wp:extent cx="8859520" cy="3143250"/>
            <wp:effectExtent l="0" t="0" r="17780" b="0"/>
            <wp:docPr id="38"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pic:cNvPicPr>
                      <a:picLocks noChangeAspect="1"/>
                    </pic:cNvPicPr>
                  </pic:nvPicPr>
                  <pic:blipFill>
                    <a:blip r:embed="rId6"/>
                    <a:stretch>
                      <a:fillRect/>
                    </a:stretch>
                  </pic:blipFill>
                  <pic:spPr>
                    <a:xfrm>
                      <a:off x="0" y="0"/>
                      <a:ext cx="8859520" cy="3143250"/>
                    </a:xfrm>
                    <a:prstGeom prst="rect">
                      <a:avLst/>
                    </a:prstGeom>
                    <a:noFill/>
                    <a:ln w="9525">
                      <a:noFill/>
                    </a:ln>
                  </pic:spPr>
                </pic:pic>
              </a:graphicData>
            </a:graphic>
          </wp:inline>
        </w:drawing>
      </w:r>
      <w:r>
        <w:drawing>
          <wp:inline distT="0" distB="0" distL="114300" distR="114300">
            <wp:extent cx="8853170" cy="2012950"/>
            <wp:effectExtent l="0" t="0" r="5080" b="6350"/>
            <wp:docPr id="39"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pic:cNvPicPr>
                      <a:picLocks noChangeAspect="1"/>
                    </pic:cNvPicPr>
                  </pic:nvPicPr>
                  <pic:blipFill>
                    <a:blip r:embed="rId7"/>
                    <a:stretch>
                      <a:fillRect/>
                    </a:stretch>
                  </pic:blipFill>
                  <pic:spPr>
                    <a:xfrm>
                      <a:off x="0" y="0"/>
                      <a:ext cx="8853170" cy="2012950"/>
                    </a:xfrm>
                    <a:prstGeom prst="rect">
                      <a:avLst/>
                    </a:prstGeom>
                    <a:noFill/>
                    <a:ln w="9525">
                      <a:noFill/>
                    </a:ln>
                  </pic:spPr>
                </pic:pic>
              </a:graphicData>
            </a:graphic>
          </wp:inline>
        </w:drawing>
      </w:r>
      <w:r>
        <w:drawing>
          <wp:inline distT="0" distB="0" distL="114300" distR="114300">
            <wp:extent cx="8696325" cy="4962525"/>
            <wp:effectExtent l="0" t="0" r="9525" b="9525"/>
            <wp:docPr id="40"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pic:cNvPicPr>
                      <a:picLocks noChangeAspect="1"/>
                    </pic:cNvPicPr>
                  </pic:nvPicPr>
                  <pic:blipFill>
                    <a:blip r:embed="rId8"/>
                    <a:stretch>
                      <a:fillRect/>
                    </a:stretch>
                  </pic:blipFill>
                  <pic:spPr>
                    <a:xfrm>
                      <a:off x="0" y="0"/>
                      <a:ext cx="8696325" cy="4962525"/>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sectPr>
          <w:pgSz w:w="16838" w:h="11906" w:orient="landscape"/>
          <w:pgMar w:top="1800" w:right="1440" w:bottom="1800" w:left="1440" w:header="851" w:footer="992" w:gutter="0"/>
          <w:cols w:space="425" w:num="1"/>
          <w:docGrid w:type="lines" w:linePitch="312" w:charSpace="0"/>
        </w:sectPr>
      </w:pPr>
      <w:r>
        <w:drawing>
          <wp:inline distT="0" distB="0" distL="114300" distR="114300">
            <wp:extent cx="8858885" cy="1737360"/>
            <wp:effectExtent l="0" t="0" r="18415" b="15240"/>
            <wp:docPr id="42"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2"/>
                    <pic:cNvPicPr>
                      <a:picLocks noChangeAspect="1"/>
                    </pic:cNvPicPr>
                  </pic:nvPicPr>
                  <pic:blipFill>
                    <a:blip r:embed="rId9"/>
                    <a:stretch>
                      <a:fillRect/>
                    </a:stretch>
                  </pic:blipFill>
                  <pic:spPr>
                    <a:xfrm>
                      <a:off x="0" y="0"/>
                      <a:ext cx="8858885" cy="1737360"/>
                    </a:xfrm>
                    <a:prstGeom prst="rect">
                      <a:avLst/>
                    </a:prstGeom>
                    <a:noFill/>
                    <a:ln w="9525">
                      <a:noFill/>
                    </a:ln>
                  </pic:spPr>
                </pic:pic>
              </a:graphicData>
            </a:graphic>
          </wp:inline>
        </w:drawing>
      </w:r>
      <w:bookmarkStart w:id="1" w:name="_GoBack"/>
      <w:bookmarkEnd w:id="1"/>
      <w:r>
        <w:drawing>
          <wp:inline distT="0" distB="0" distL="114300" distR="114300">
            <wp:extent cx="8857615" cy="1929130"/>
            <wp:effectExtent l="0" t="0" r="635" b="13970"/>
            <wp:docPr id="41"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pic:cNvPicPr>
                      <a:picLocks noChangeAspect="1"/>
                    </pic:cNvPicPr>
                  </pic:nvPicPr>
                  <pic:blipFill>
                    <a:blip r:embed="rId10"/>
                    <a:stretch>
                      <a:fillRect/>
                    </a:stretch>
                  </pic:blipFill>
                  <pic:spPr>
                    <a:xfrm>
                      <a:off x="0" y="0"/>
                      <a:ext cx="8857615" cy="1929130"/>
                    </a:xfrm>
                    <a:prstGeom prst="rect">
                      <a:avLst/>
                    </a:prstGeom>
                    <a:noFill/>
                    <a:ln w="9525">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6"/>
          <w:rFonts w:hint="eastAsia" w:ascii="微软雅黑" w:hAnsi="微软雅黑" w:eastAsia="微软雅黑" w:cs="微软雅黑"/>
          <w:i w:val="0"/>
          <w:caps w:val="0"/>
          <w:color w:val="333333"/>
          <w:spacing w:val="0"/>
          <w:sz w:val="24"/>
          <w:szCs w:val="24"/>
          <w:bdr w:val="none" w:color="auto" w:sz="0" w:space="0"/>
          <w:shd w:val="clear" w:fill="FFFFFF"/>
          <w:lang w:eastAsia="zh-CN"/>
        </w:rPr>
        <w:t>第三部分</w:t>
      </w:r>
      <w:r>
        <w:rPr>
          <w:rStyle w:val="6"/>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6"/>
          <w:rFonts w:hint="eastAsia" w:ascii="微软雅黑" w:hAnsi="微软雅黑" w:eastAsia="微软雅黑" w:cs="微软雅黑"/>
          <w:i w:val="0"/>
          <w:caps w:val="0"/>
          <w:color w:val="333333"/>
          <w:spacing w:val="0"/>
          <w:sz w:val="24"/>
          <w:szCs w:val="24"/>
          <w:bdr w:val="none" w:color="auto" w:sz="0" w:space="0"/>
          <w:shd w:val="clear" w:fill="FFFFFF"/>
        </w:rPr>
        <w:t>2017年部门决算情况说明</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（一）预算执行情况分析</w:t>
      </w:r>
    </w:p>
    <w:p>
      <w:pPr>
        <w:widowControl/>
        <w:ind w:firstLine="556" w:firstLineChars="196"/>
        <w:rPr>
          <w:rFonts w:hint="eastAsia"/>
          <w:color w:val="000000"/>
          <w:spacing w:val="2"/>
          <w:sz w:val="28"/>
          <w:szCs w:val="28"/>
        </w:rPr>
      </w:pPr>
      <w:r>
        <w:rPr>
          <w:rFonts w:hint="eastAsia"/>
          <w:color w:val="000000"/>
          <w:spacing w:val="2"/>
          <w:sz w:val="28"/>
          <w:szCs w:val="28"/>
        </w:rPr>
        <w:t>2017</w:t>
      </w:r>
      <w:r>
        <w:rPr>
          <w:rFonts w:hint="eastAsia" w:hAnsi="宋体"/>
          <w:color w:val="000000"/>
          <w:spacing w:val="2"/>
          <w:sz w:val="28"/>
          <w:szCs w:val="28"/>
        </w:rPr>
        <w:t>年财政收入预算执行数</w:t>
      </w:r>
      <w:r>
        <w:rPr>
          <w:rFonts w:hint="eastAsia"/>
          <w:color w:val="000000"/>
          <w:spacing w:val="2"/>
          <w:sz w:val="28"/>
          <w:szCs w:val="28"/>
        </w:rPr>
        <w:t>13932371.98</w:t>
      </w:r>
      <w:r>
        <w:rPr>
          <w:rFonts w:hint="eastAsia" w:hAnsi="宋体"/>
          <w:color w:val="000000"/>
          <w:spacing w:val="2"/>
          <w:sz w:val="28"/>
          <w:szCs w:val="28"/>
        </w:rPr>
        <w:t>元，其中人员经费</w:t>
      </w:r>
      <w:r>
        <w:rPr>
          <w:rFonts w:hint="eastAsia"/>
          <w:color w:val="000000"/>
          <w:spacing w:val="2"/>
          <w:sz w:val="28"/>
          <w:szCs w:val="28"/>
        </w:rPr>
        <w:t>12049078</w:t>
      </w:r>
      <w:r>
        <w:rPr>
          <w:rFonts w:hint="eastAsia" w:hAnsi="宋体"/>
          <w:color w:val="000000"/>
          <w:spacing w:val="2"/>
          <w:sz w:val="28"/>
          <w:szCs w:val="28"/>
        </w:rPr>
        <w:t>元，公用经费</w:t>
      </w:r>
      <w:r>
        <w:rPr>
          <w:rFonts w:hint="eastAsia"/>
          <w:color w:val="000000"/>
          <w:spacing w:val="2"/>
          <w:sz w:val="28"/>
          <w:szCs w:val="28"/>
        </w:rPr>
        <w:t>1883293.98</w:t>
      </w:r>
      <w:r>
        <w:rPr>
          <w:rFonts w:hint="eastAsia" w:hAnsi="宋体"/>
          <w:color w:val="000000"/>
          <w:spacing w:val="2"/>
          <w:sz w:val="28"/>
          <w:szCs w:val="28"/>
        </w:rPr>
        <w:t>元</w:t>
      </w:r>
      <w:r>
        <w:rPr>
          <w:rFonts w:hint="eastAsia"/>
          <w:color w:val="000000"/>
          <w:spacing w:val="2"/>
          <w:sz w:val="28"/>
          <w:szCs w:val="28"/>
        </w:rPr>
        <w:t>, 2017</w:t>
      </w:r>
      <w:r>
        <w:rPr>
          <w:rFonts w:hint="eastAsia" w:hAnsi="宋体"/>
          <w:color w:val="000000"/>
          <w:spacing w:val="2"/>
          <w:sz w:val="28"/>
          <w:szCs w:val="28"/>
        </w:rPr>
        <w:t>年财政支出预算执行数</w:t>
      </w:r>
      <w:r>
        <w:rPr>
          <w:rFonts w:hint="eastAsia"/>
          <w:color w:val="000000"/>
          <w:spacing w:val="2"/>
          <w:sz w:val="28"/>
          <w:szCs w:val="28"/>
        </w:rPr>
        <w:t>13932371.98</w:t>
      </w:r>
      <w:r>
        <w:rPr>
          <w:rFonts w:hint="eastAsia" w:hAnsi="宋体"/>
          <w:color w:val="000000"/>
          <w:spacing w:val="2"/>
          <w:sz w:val="28"/>
          <w:szCs w:val="28"/>
        </w:rPr>
        <w:t>元，其中人员经费</w:t>
      </w:r>
      <w:r>
        <w:rPr>
          <w:rFonts w:hint="eastAsia"/>
          <w:color w:val="000000"/>
          <w:spacing w:val="2"/>
          <w:sz w:val="28"/>
          <w:szCs w:val="28"/>
        </w:rPr>
        <w:t>12049078</w:t>
      </w:r>
      <w:r>
        <w:rPr>
          <w:rFonts w:hint="eastAsia" w:hAnsi="宋体"/>
          <w:color w:val="000000"/>
          <w:spacing w:val="2"/>
          <w:sz w:val="28"/>
          <w:szCs w:val="28"/>
        </w:rPr>
        <w:t>元，公用经费</w:t>
      </w:r>
      <w:r>
        <w:rPr>
          <w:rFonts w:hint="eastAsia"/>
          <w:color w:val="000000"/>
          <w:spacing w:val="2"/>
          <w:sz w:val="28"/>
          <w:szCs w:val="28"/>
        </w:rPr>
        <w:t>1883293.98</w:t>
      </w:r>
      <w:r>
        <w:rPr>
          <w:rFonts w:hint="eastAsia" w:hAnsi="宋体"/>
          <w:color w:val="000000"/>
          <w:spacing w:val="2"/>
          <w:sz w:val="28"/>
          <w:szCs w:val="28"/>
        </w:rPr>
        <w:t>元</w:t>
      </w:r>
      <w:r>
        <w:rPr>
          <w:rFonts w:hint="eastAsia"/>
          <w:color w:val="000000"/>
          <w:spacing w:val="2"/>
          <w:sz w:val="28"/>
          <w:szCs w:val="28"/>
        </w:rPr>
        <w:t>, 2017</w:t>
      </w:r>
      <w:r>
        <w:rPr>
          <w:rFonts w:hint="eastAsia" w:hAnsi="宋体"/>
          <w:color w:val="000000"/>
          <w:spacing w:val="2"/>
          <w:sz w:val="28"/>
          <w:szCs w:val="28"/>
        </w:rPr>
        <w:t>年收入预算数执行比上年增加</w:t>
      </w:r>
      <w:r>
        <w:rPr>
          <w:rFonts w:hint="eastAsia"/>
          <w:color w:val="000000"/>
          <w:spacing w:val="2"/>
          <w:sz w:val="28"/>
          <w:szCs w:val="28"/>
        </w:rPr>
        <w:t>2403666.980</w:t>
      </w:r>
      <w:r>
        <w:rPr>
          <w:rFonts w:hint="eastAsia" w:hAnsi="宋体"/>
          <w:color w:val="000000"/>
          <w:spacing w:val="2"/>
          <w:sz w:val="28"/>
          <w:szCs w:val="28"/>
        </w:rPr>
        <w:t>元，</w:t>
      </w:r>
      <w:r>
        <w:rPr>
          <w:rFonts w:hint="eastAsia"/>
          <w:color w:val="000000"/>
          <w:spacing w:val="2"/>
          <w:sz w:val="28"/>
          <w:szCs w:val="28"/>
        </w:rPr>
        <w:t xml:space="preserve"> 2017</w:t>
      </w:r>
      <w:r>
        <w:rPr>
          <w:rFonts w:hint="eastAsia" w:hAnsi="宋体"/>
          <w:color w:val="000000"/>
          <w:spacing w:val="2"/>
          <w:sz w:val="28"/>
          <w:szCs w:val="28"/>
        </w:rPr>
        <w:t>年支出预算数执行比上年增加</w:t>
      </w:r>
      <w:r>
        <w:rPr>
          <w:rFonts w:hint="eastAsia"/>
          <w:color w:val="000000"/>
          <w:spacing w:val="2"/>
          <w:sz w:val="28"/>
          <w:szCs w:val="28"/>
        </w:rPr>
        <w:t>2403666.980</w:t>
      </w:r>
      <w:r>
        <w:rPr>
          <w:rFonts w:hint="eastAsia" w:hAnsi="宋体"/>
          <w:color w:val="000000"/>
          <w:spacing w:val="2"/>
          <w:sz w:val="28"/>
          <w:szCs w:val="28"/>
        </w:rPr>
        <w:t>元。</w:t>
      </w:r>
    </w:p>
    <w:p>
      <w:pPr>
        <w:widowControl/>
        <w:rPr>
          <w:rFonts w:hint="eastAsia"/>
          <w:color w:val="000000"/>
          <w:spacing w:val="2"/>
          <w:sz w:val="28"/>
          <w:szCs w:val="28"/>
        </w:rPr>
      </w:pPr>
      <w:r>
        <w:rPr>
          <w:rFonts w:hint="eastAsia"/>
          <w:color w:val="000000"/>
          <w:spacing w:val="2"/>
          <w:sz w:val="28"/>
          <w:szCs w:val="28"/>
        </w:rPr>
        <w:t>1</w:t>
      </w:r>
      <w:r>
        <w:rPr>
          <w:rFonts w:hint="eastAsia" w:hAnsi="宋体"/>
          <w:color w:val="000000"/>
          <w:spacing w:val="2"/>
          <w:sz w:val="28"/>
          <w:szCs w:val="28"/>
        </w:rPr>
        <w:t>、收入支出与预算对比分析</w:t>
      </w:r>
    </w:p>
    <w:p>
      <w:pPr>
        <w:spacing w:line="440" w:lineRule="exact"/>
        <w:ind w:firstLine="568" w:firstLineChars="200"/>
        <w:rPr>
          <w:rFonts w:hint="eastAsia"/>
          <w:color w:val="000000"/>
          <w:spacing w:val="2"/>
          <w:sz w:val="28"/>
          <w:szCs w:val="28"/>
        </w:rPr>
      </w:pPr>
      <w:r>
        <w:rPr>
          <w:rFonts w:hint="eastAsia"/>
          <w:color w:val="000000"/>
          <w:spacing w:val="2"/>
          <w:sz w:val="28"/>
          <w:szCs w:val="28"/>
        </w:rPr>
        <w:t>2017</w:t>
      </w:r>
      <w:r>
        <w:rPr>
          <w:rFonts w:hint="eastAsia" w:hAnsi="宋体"/>
          <w:color w:val="000000"/>
          <w:spacing w:val="2"/>
          <w:sz w:val="28"/>
          <w:szCs w:val="28"/>
        </w:rPr>
        <w:t>年全年总收入</w:t>
      </w:r>
      <w:r>
        <w:rPr>
          <w:rFonts w:hint="eastAsia"/>
          <w:color w:val="000000"/>
          <w:spacing w:val="2"/>
          <w:sz w:val="28"/>
          <w:szCs w:val="28"/>
        </w:rPr>
        <w:t>22459596.11</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其中财拔款决算收入</w:t>
      </w:r>
      <w:r>
        <w:rPr>
          <w:rFonts w:hint="eastAsia"/>
          <w:color w:val="000000"/>
          <w:spacing w:val="2"/>
          <w:sz w:val="28"/>
          <w:szCs w:val="28"/>
        </w:rPr>
        <w:t>2216991.86</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2216991.86</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其它收入</w:t>
      </w:r>
      <w:r>
        <w:rPr>
          <w:rFonts w:hint="eastAsia"/>
          <w:color w:val="000000"/>
          <w:spacing w:val="2"/>
          <w:sz w:val="28"/>
          <w:szCs w:val="28"/>
        </w:rPr>
        <w:t>332604.25</w:t>
      </w:r>
      <w:r>
        <w:rPr>
          <w:rFonts w:hint="eastAsia" w:hAnsi="宋体"/>
          <w:color w:val="000000"/>
          <w:spacing w:val="2"/>
          <w:sz w:val="28"/>
          <w:szCs w:val="28"/>
        </w:rPr>
        <w:t>元</w:t>
      </w:r>
      <w:r>
        <w:rPr>
          <w:rFonts w:hint="eastAsia"/>
          <w:color w:val="000000"/>
          <w:spacing w:val="2"/>
          <w:sz w:val="28"/>
          <w:szCs w:val="28"/>
        </w:rPr>
        <w:t>, 2017</w:t>
      </w:r>
      <w:r>
        <w:rPr>
          <w:rFonts w:hint="eastAsia" w:hAnsi="宋体"/>
          <w:color w:val="000000"/>
          <w:spacing w:val="2"/>
          <w:sz w:val="28"/>
          <w:szCs w:val="28"/>
        </w:rPr>
        <w:t>年全年总支出</w:t>
      </w:r>
      <w:r>
        <w:rPr>
          <w:rFonts w:hint="eastAsia"/>
          <w:color w:val="000000"/>
          <w:spacing w:val="2"/>
          <w:sz w:val="28"/>
          <w:szCs w:val="28"/>
        </w:rPr>
        <w:t>22126991.86</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其中财拔款决算支出</w:t>
      </w:r>
      <w:r>
        <w:rPr>
          <w:rFonts w:hint="eastAsia"/>
          <w:color w:val="000000"/>
          <w:spacing w:val="2"/>
          <w:sz w:val="28"/>
          <w:szCs w:val="28"/>
        </w:rPr>
        <w:t>2216991.86</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2216991.86</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其它资金支出</w:t>
      </w:r>
      <w:r>
        <w:rPr>
          <w:rFonts w:hint="eastAsia"/>
          <w:color w:val="000000"/>
          <w:spacing w:val="2"/>
          <w:sz w:val="28"/>
          <w:szCs w:val="28"/>
        </w:rPr>
        <w:t>327100.95</w:t>
      </w:r>
      <w:r>
        <w:rPr>
          <w:rFonts w:hint="eastAsia" w:hAnsi="宋体"/>
          <w:color w:val="000000"/>
          <w:spacing w:val="2"/>
          <w:sz w:val="28"/>
          <w:szCs w:val="28"/>
        </w:rPr>
        <w:t>元</w:t>
      </w:r>
      <w:r>
        <w:rPr>
          <w:rFonts w:hint="eastAsia"/>
          <w:color w:val="000000"/>
          <w:spacing w:val="2"/>
          <w:sz w:val="28"/>
          <w:szCs w:val="28"/>
        </w:rPr>
        <w:t>,2017</w:t>
      </w:r>
      <w:r>
        <w:rPr>
          <w:rFonts w:hint="eastAsia" w:hAnsi="宋体"/>
          <w:color w:val="000000"/>
          <w:spacing w:val="2"/>
          <w:sz w:val="28"/>
          <w:szCs w:val="28"/>
        </w:rPr>
        <w:t>年财政预算数</w:t>
      </w:r>
      <w:r>
        <w:rPr>
          <w:rFonts w:hint="eastAsia"/>
          <w:color w:val="000000"/>
          <w:spacing w:val="2"/>
          <w:sz w:val="28"/>
          <w:szCs w:val="28"/>
        </w:rPr>
        <w:t>13932371.98</w:t>
      </w:r>
      <w:r>
        <w:rPr>
          <w:rFonts w:hint="eastAsia" w:hAnsi="宋体"/>
          <w:color w:val="000000"/>
          <w:spacing w:val="2"/>
          <w:sz w:val="28"/>
          <w:szCs w:val="28"/>
        </w:rPr>
        <w:t>元，财拔决算比预算多</w:t>
      </w:r>
      <w:r>
        <w:rPr>
          <w:rFonts w:hint="eastAsia"/>
          <w:color w:val="000000"/>
          <w:spacing w:val="2"/>
          <w:sz w:val="28"/>
          <w:szCs w:val="28"/>
        </w:rPr>
        <w:t>8194619.88</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幅度为</w:t>
      </w:r>
      <w:r>
        <w:rPr>
          <w:rFonts w:hint="eastAsia"/>
          <w:color w:val="000000"/>
          <w:spacing w:val="2"/>
          <w:sz w:val="28"/>
          <w:szCs w:val="28"/>
        </w:rPr>
        <w:t>37%,</w:t>
      </w:r>
      <w:r>
        <w:rPr>
          <w:rFonts w:hint="eastAsia" w:hAnsi="宋体"/>
          <w:color w:val="000000"/>
          <w:spacing w:val="2"/>
          <w:sz w:val="28"/>
          <w:szCs w:val="28"/>
        </w:rPr>
        <w:t>原因为业务增加。</w:t>
      </w:r>
    </w:p>
    <w:p>
      <w:pPr>
        <w:spacing w:line="440" w:lineRule="exact"/>
        <w:ind w:firstLine="568" w:firstLineChars="200"/>
        <w:rPr>
          <w:rFonts w:hint="eastAsia"/>
          <w:color w:val="000000"/>
          <w:spacing w:val="2"/>
          <w:sz w:val="28"/>
          <w:szCs w:val="28"/>
        </w:rPr>
      </w:pPr>
      <w:r>
        <w:rPr>
          <w:rFonts w:hint="eastAsia"/>
          <w:color w:val="000000"/>
          <w:spacing w:val="2"/>
          <w:sz w:val="28"/>
          <w:szCs w:val="28"/>
        </w:rPr>
        <w:t>2016</w:t>
      </w:r>
      <w:r>
        <w:rPr>
          <w:rFonts w:hint="eastAsia" w:hAnsi="宋体"/>
          <w:color w:val="000000"/>
          <w:spacing w:val="2"/>
          <w:sz w:val="28"/>
          <w:szCs w:val="28"/>
        </w:rPr>
        <w:t>年全年总收入</w:t>
      </w:r>
      <w:r>
        <w:rPr>
          <w:rFonts w:hint="eastAsia"/>
          <w:color w:val="000000"/>
          <w:spacing w:val="2"/>
          <w:sz w:val="28"/>
          <w:szCs w:val="28"/>
        </w:rPr>
        <w:t>17586318.38</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其中财拔款决算收入</w:t>
      </w:r>
      <w:r>
        <w:rPr>
          <w:rFonts w:hint="eastAsia"/>
          <w:color w:val="000000"/>
          <w:spacing w:val="2"/>
          <w:sz w:val="28"/>
          <w:szCs w:val="28"/>
        </w:rPr>
        <w:t>17586318.38</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17586318.38</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其它收入</w:t>
      </w:r>
      <w:r>
        <w:rPr>
          <w:rFonts w:hint="eastAsia"/>
          <w:color w:val="000000"/>
          <w:spacing w:val="2"/>
          <w:sz w:val="28"/>
          <w:szCs w:val="28"/>
        </w:rPr>
        <w:t>0</w:t>
      </w:r>
      <w:r>
        <w:rPr>
          <w:rFonts w:hint="eastAsia" w:hAnsi="宋体"/>
          <w:color w:val="000000"/>
          <w:spacing w:val="2"/>
          <w:sz w:val="28"/>
          <w:szCs w:val="28"/>
        </w:rPr>
        <w:t>元</w:t>
      </w:r>
      <w:r>
        <w:rPr>
          <w:rFonts w:hint="eastAsia"/>
          <w:color w:val="000000"/>
          <w:spacing w:val="2"/>
          <w:sz w:val="28"/>
          <w:szCs w:val="28"/>
        </w:rPr>
        <w:t>, 2016</w:t>
      </w:r>
      <w:r>
        <w:rPr>
          <w:rFonts w:hint="eastAsia" w:hAnsi="宋体"/>
          <w:color w:val="000000"/>
          <w:spacing w:val="2"/>
          <w:sz w:val="28"/>
          <w:szCs w:val="28"/>
        </w:rPr>
        <w:t>年全年总支出</w:t>
      </w:r>
      <w:r>
        <w:rPr>
          <w:rFonts w:hint="eastAsia"/>
          <w:color w:val="000000"/>
          <w:spacing w:val="2"/>
          <w:sz w:val="28"/>
          <w:szCs w:val="28"/>
        </w:rPr>
        <w:t>18204784.52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其中财拔款决算支出</w:t>
      </w:r>
      <w:r>
        <w:rPr>
          <w:rFonts w:hint="eastAsia"/>
          <w:color w:val="000000"/>
          <w:spacing w:val="2"/>
          <w:sz w:val="28"/>
          <w:szCs w:val="28"/>
        </w:rPr>
        <w:t>17586318.38</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17586318.38</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其它资金支出</w:t>
      </w:r>
      <w:r>
        <w:rPr>
          <w:rFonts w:hint="eastAsia"/>
          <w:color w:val="000000"/>
          <w:spacing w:val="2"/>
          <w:sz w:val="28"/>
          <w:szCs w:val="28"/>
        </w:rPr>
        <w:t>618466.14</w:t>
      </w:r>
      <w:r>
        <w:rPr>
          <w:rFonts w:hint="eastAsia" w:hAnsi="宋体"/>
          <w:color w:val="000000"/>
          <w:spacing w:val="2"/>
          <w:sz w:val="28"/>
          <w:szCs w:val="28"/>
        </w:rPr>
        <w:t>元</w:t>
      </w:r>
      <w:r>
        <w:rPr>
          <w:rFonts w:hint="eastAsia"/>
          <w:color w:val="000000"/>
          <w:spacing w:val="2"/>
          <w:sz w:val="28"/>
          <w:szCs w:val="28"/>
        </w:rPr>
        <w:t>,2016</w:t>
      </w:r>
      <w:r>
        <w:rPr>
          <w:rFonts w:hint="eastAsia" w:hAnsi="宋体"/>
          <w:color w:val="000000"/>
          <w:spacing w:val="2"/>
          <w:sz w:val="28"/>
          <w:szCs w:val="28"/>
        </w:rPr>
        <w:t>年财政预算数</w:t>
      </w:r>
      <w:r>
        <w:rPr>
          <w:rFonts w:hint="eastAsia"/>
          <w:color w:val="000000"/>
          <w:spacing w:val="2"/>
          <w:sz w:val="28"/>
          <w:szCs w:val="28"/>
        </w:rPr>
        <w:t>11528705.00</w:t>
      </w:r>
      <w:r>
        <w:rPr>
          <w:rFonts w:hint="eastAsia" w:hAnsi="宋体"/>
          <w:color w:val="000000"/>
          <w:spacing w:val="2"/>
          <w:sz w:val="28"/>
          <w:szCs w:val="28"/>
        </w:rPr>
        <w:t>元，财拔决算比预算多</w:t>
      </w:r>
      <w:r>
        <w:rPr>
          <w:rFonts w:hint="eastAsia"/>
          <w:color w:val="000000"/>
          <w:spacing w:val="2"/>
          <w:sz w:val="28"/>
          <w:szCs w:val="28"/>
        </w:rPr>
        <w:t>6057613.38</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幅度为</w:t>
      </w:r>
      <w:r>
        <w:rPr>
          <w:rFonts w:hint="eastAsia"/>
          <w:color w:val="000000"/>
          <w:spacing w:val="2"/>
          <w:sz w:val="28"/>
          <w:szCs w:val="28"/>
        </w:rPr>
        <w:t>34%,</w:t>
      </w:r>
      <w:r>
        <w:rPr>
          <w:rFonts w:hint="eastAsia" w:hAnsi="宋体"/>
          <w:color w:val="000000"/>
          <w:spacing w:val="2"/>
          <w:sz w:val="28"/>
          <w:szCs w:val="28"/>
        </w:rPr>
        <w:t>原因为业务增加。</w:t>
      </w:r>
    </w:p>
    <w:p>
      <w:pPr>
        <w:spacing w:line="440" w:lineRule="exact"/>
        <w:ind w:firstLine="568" w:firstLineChars="200"/>
        <w:rPr>
          <w:rFonts w:hint="eastAsia"/>
          <w:color w:val="000000"/>
          <w:spacing w:val="2"/>
          <w:sz w:val="28"/>
          <w:szCs w:val="28"/>
        </w:rPr>
      </w:pPr>
      <w:r>
        <w:rPr>
          <w:rFonts w:hint="eastAsia"/>
          <w:color w:val="000000"/>
          <w:spacing w:val="2"/>
          <w:sz w:val="28"/>
          <w:szCs w:val="28"/>
        </w:rPr>
        <w:t>2</w:t>
      </w:r>
      <w:r>
        <w:rPr>
          <w:rFonts w:hint="eastAsia" w:hAnsi="宋体"/>
          <w:color w:val="000000"/>
          <w:spacing w:val="2"/>
          <w:sz w:val="28"/>
          <w:szCs w:val="28"/>
        </w:rPr>
        <w:t>、收入支出结构分析</w:t>
      </w:r>
    </w:p>
    <w:p>
      <w:pPr>
        <w:spacing w:line="440" w:lineRule="exact"/>
        <w:ind w:firstLine="568" w:firstLineChars="200"/>
        <w:rPr>
          <w:rFonts w:hint="eastAsia"/>
          <w:color w:val="000000"/>
          <w:spacing w:val="2"/>
          <w:sz w:val="28"/>
          <w:szCs w:val="28"/>
        </w:rPr>
      </w:pPr>
      <w:r>
        <w:rPr>
          <w:rFonts w:hint="eastAsia"/>
          <w:color w:val="000000"/>
          <w:spacing w:val="2"/>
          <w:sz w:val="28"/>
          <w:szCs w:val="28"/>
        </w:rPr>
        <w:t>2017</w:t>
      </w:r>
      <w:r>
        <w:rPr>
          <w:rFonts w:hint="eastAsia" w:hAnsi="宋体"/>
          <w:color w:val="000000"/>
          <w:spacing w:val="2"/>
          <w:sz w:val="28"/>
          <w:szCs w:val="28"/>
        </w:rPr>
        <w:t>年全年总支出</w:t>
      </w:r>
      <w:r>
        <w:rPr>
          <w:rFonts w:hint="eastAsia"/>
          <w:color w:val="000000"/>
          <w:spacing w:val="2"/>
          <w:sz w:val="28"/>
          <w:szCs w:val="28"/>
        </w:rPr>
        <w:t>22126991.86</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其中财拔款决算支出</w:t>
      </w:r>
      <w:r>
        <w:rPr>
          <w:rFonts w:hint="eastAsia"/>
          <w:color w:val="000000"/>
          <w:spacing w:val="2"/>
          <w:sz w:val="28"/>
          <w:szCs w:val="28"/>
        </w:rPr>
        <w:t>2216991.86</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2216991.86</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其它资金支出</w:t>
      </w:r>
      <w:r>
        <w:rPr>
          <w:rFonts w:hint="eastAsia"/>
          <w:color w:val="000000"/>
          <w:spacing w:val="2"/>
          <w:sz w:val="28"/>
          <w:szCs w:val="28"/>
        </w:rPr>
        <w:t>327100.95</w:t>
      </w:r>
      <w:r>
        <w:rPr>
          <w:rFonts w:hint="eastAsia" w:hAnsi="宋体"/>
          <w:color w:val="000000"/>
          <w:spacing w:val="2"/>
          <w:sz w:val="28"/>
          <w:szCs w:val="28"/>
        </w:rPr>
        <w:t>元</w:t>
      </w:r>
      <w:r>
        <w:rPr>
          <w:rFonts w:hint="eastAsia"/>
          <w:color w:val="000000"/>
          <w:spacing w:val="2"/>
          <w:sz w:val="28"/>
          <w:szCs w:val="28"/>
        </w:rPr>
        <w:t>,2017</w:t>
      </w:r>
      <w:r>
        <w:rPr>
          <w:rFonts w:hint="eastAsia" w:hAnsi="宋体"/>
          <w:color w:val="000000"/>
          <w:spacing w:val="2"/>
          <w:sz w:val="28"/>
          <w:szCs w:val="28"/>
        </w:rPr>
        <w:t>年财政预算数</w:t>
      </w:r>
      <w:r>
        <w:rPr>
          <w:rFonts w:hint="eastAsia"/>
          <w:color w:val="000000"/>
          <w:spacing w:val="2"/>
          <w:sz w:val="28"/>
          <w:szCs w:val="28"/>
        </w:rPr>
        <w:t>13932371.98</w:t>
      </w:r>
      <w:r>
        <w:rPr>
          <w:rFonts w:hint="eastAsia" w:hAnsi="宋体"/>
          <w:color w:val="000000"/>
          <w:spacing w:val="2"/>
          <w:sz w:val="28"/>
          <w:szCs w:val="28"/>
        </w:rPr>
        <w:t>元，财拔决算比预算多</w:t>
      </w:r>
      <w:r>
        <w:rPr>
          <w:rFonts w:hint="eastAsia"/>
          <w:color w:val="000000"/>
          <w:spacing w:val="2"/>
          <w:sz w:val="28"/>
          <w:szCs w:val="28"/>
        </w:rPr>
        <w:t>8194619.88</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幅度为</w:t>
      </w:r>
      <w:r>
        <w:rPr>
          <w:rFonts w:hint="eastAsia"/>
          <w:color w:val="000000"/>
          <w:spacing w:val="2"/>
          <w:sz w:val="28"/>
          <w:szCs w:val="28"/>
        </w:rPr>
        <w:t>37%,</w:t>
      </w:r>
      <w:r>
        <w:rPr>
          <w:rFonts w:hint="eastAsia" w:hAnsi="宋体"/>
          <w:color w:val="000000"/>
          <w:spacing w:val="2"/>
          <w:sz w:val="28"/>
          <w:szCs w:val="28"/>
        </w:rPr>
        <w:t>原因为业务增加。</w:t>
      </w:r>
    </w:p>
    <w:p>
      <w:pPr>
        <w:spacing w:line="440" w:lineRule="exact"/>
        <w:ind w:firstLine="568" w:firstLineChars="200"/>
        <w:rPr>
          <w:rFonts w:hint="eastAsia"/>
          <w:color w:val="000000"/>
          <w:spacing w:val="2"/>
          <w:sz w:val="28"/>
          <w:szCs w:val="28"/>
        </w:rPr>
      </w:pPr>
      <w:r>
        <w:rPr>
          <w:rFonts w:hint="eastAsia"/>
          <w:color w:val="000000"/>
          <w:spacing w:val="2"/>
          <w:sz w:val="28"/>
          <w:szCs w:val="28"/>
        </w:rPr>
        <w:t>2016</w:t>
      </w:r>
      <w:r>
        <w:rPr>
          <w:rFonts w:hint="eastAsia" w:hAnsi="宋体"/>
          <w:color w:val="000000"/>
          <w:spacing w:val="2"/>
          <w:sz w:val="28"/>
          <w:szCs w:val="28"/>
        </w:rPr>
        <w:t>年全年总收入</w:t>
      </w:r>
      <w:r>
        <w:rPr>
          <w:rFonts w:hint="eastAsia"/>
          <w:color w:val="000000"/>
          <w:spacing w:val="2"/>
          <w:sz w:val="28"/>
          <w:szCs w:val="28"/>
        </w:rPr>
        <w:t>17586318.38</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其中财拔款决算收入</w:t>
      </w:r>
      <w:r>
        <w:rPr>
          <w:rFonts w:hint="eastAsia"/>
          <w:color w:val="000000"/>
          <w:spacing w:val="2"/>
          <w:sz w:val="28"/>
          <w:szCs w:val="28"/>
        </w:rPr>
        <w:t>17586318.38</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17586318.38</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占总收入</w:t>
      </w:r>
      <w:r>
        <w:rPr>
          <w:rFonts w:hint="eastAsia"/>
          <w:color w:val="000000"/>
          <w:spacing w:val="2"/>
          <w:sz w:val="28"/>
          <w:szCs w:val="28"/>
        </w:rPr>
        <w:t>100%,</w:t>
      </w:r>
      <w:r>
        <w:rPr>
          <w:rFonts w:hint="eastAsia" w:hAnsi="宋体"/>
          <w:color w:val="000000"/>
          <w:spacing w:val="2"/>
          <w:sz w:val="28"/>
          <w:szCs w:val="28"/>
        </w:rPr>
        <w:t>其它收入</w:t>
      </w:r>
      <w:r>
        <w:rPr>
          <w:rFonts w:hint="eastAsia"/>
          <w:color w:val="000000"/>
          <w:spacing w:val="2"/>
          <w:sz w:val="28"/>
          <w:szCs w:val="28"/>
        </w:rPr>
        <w:t>0</w:t>
      </w:r>
      <w:r>
        <w:rPr>
          <w:rFonts w:hint="eastAsia" w:hAnsi="宋体"/>
          <w:color w:val="000000"/>
          <w:spacing w:val="2"/>
          <w:sz w:val="28"/>
          <w:szCs w:val="28"/>
        </w:rPr>
        <w:t>元</w:t>
      </w:r>
      <w:r>
        <w:rPr>
          <w:rFonts w:hint="eastAsia"/>
          <w:color w:val="000000"/>
          <w:spacing w:val="2"/>
          <w:sz w:val="28"/>
          <w:szCs w:val="28"/>
        </w:rPr>
        <w:t xml:space="preserve">, </w:t>
      </w:r>
      <w:r>
        <w:rPr>
          <w:rFonts w:hint="eastAsia" w:hAnsi="宋体"/>
          <w:color w:val="000000"/>
          <w:spacing w:val="2"/>
          <w:sz w:val="28"/>
          <w:szCs w:val="28"/>
        </w:rPr>
        <w:t>占总收入</w:t>
      </w:r>
      <w:r>
        <w:rPr>
          <w:rFonts w:hint="eastAsia"/>
          <w:color w:val="000000"/>
          <w:spacing w:val="2"/>
          <w:sz w:val="28"/>
          <w:szCs w:val="28"/>
        </w:rPr>
        <w:t>0%, 2016</w:t>
      </w:r>
      <w:r>
        <w:rPr>
          <w:rFonts w:hint="eastAsia" w:hAnsi="宋体"/>
          <w:color w:val="000000"/>
          <w:spacing w:val="2"/>
          <w:sz w:val="28"/>
          <w:szCs w:val="28"/>
        </w:rPr>
        <w:t>年全年总支出</w:t>
      </w:r>
      <w:r>
        <w:rPr>
          <w:rFonts w:hint="eastAsia"/>
          <w:color w:val="000000"/>
          <w:spacing w:val="2"/>
          <w:sz w:val="28"/>
          <w:szCs w:val="28"/>
        </w:rPr>
        <w:t>18204784.52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其中财拔款决算支出</w:t>
      </w:r>
      <w:r>
        <w:rPr>
          <w:rFonts w:hint="eastAsia"/>
          <w:color w:val="000000"/>
          <w:spacing w:val="2"/>
          <w:sz w:val="28"/>
          <w:szCs w:val="28"/>
        </w:rPr>
        <w:t>17586318.38</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17586318.38</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占总支出</w:t>
      </w:r>
      <w:r>
        <w:rPr>
          <w:rFonts w:hint="eastAsia"/>
          <w:color w:val="000000"/>
          <w:spacing w:val="2"/>
          <w:sz w:val="28"/>
          <w:szCs w:val="28"/>
        </w:rPr>
        <w:t>97%,</w:t>
      </w:r>
      <w:r>
        <w:rPr>
          <w:rFonts w:hint="eastAsia" w:hAnsi="宋体"/>
          <w:color w:val="000000"/>
          <w:spacing w:val="2"/>
          <w:sz w:val="28"/>
          <w:szCs w:val="28"/>
        </w:rPr>
        <w:t>其它资金支出</w:t>
      </w:r>
      <w:r>
        <w:rPr>
          <w:rFonts w:hint="eastAsia"/>
          <w:color w:val="000000"/>
          <w:spacing w:val="2"/>
          <w:sz w:val="28"/>
          <w:szCs w:val="28"/>
        </w:rPr>
        <w:t>618466.14</w:t>
      </w:r>
      <w:r>
        <w:rPr>
          <w:rFonts w:hint="eastAsia" w:hAnsi="宋体"/>
          <w:color w:val="000000"/>
          <w:spacing w:val="2"/>
          <w:sz w:val="28"/>
          <w:szCs w:val="28"/>
        </w:rPr>
        <w:t>元</w:t>
      </w:r>
      <w:r>
        <w:rPr>
          <w:rFonts w:hint="eastAsia"/>
          <w:color w:val="000000"/>
          <w:spacing w:val="2"/>
          <w:sz w:val="28"/>
          <w:szCs w:val="28"/>
        </w:rPr>
        <w:t xml:space="preserve">, </w:t>
      </w:r>
      <w:r>
        <w:rPr>
          <w:rFonts w:hint="eastAsia" w:hAnsi="宋体"/>
          <w:color w:val="000000"/>
          <w:spacing w:val="2"/>
          <w:sz w:val="28"/>
          <w:szCs w:val="28"/>
        </w:rPr>
        <w:t>占总支出</w:t>
      </w:r>
      <w:r>
        <w:rPr>
          <w:rFonts w:hint="eastAsia"/>
          <w:color w:val="000000"/>
          <w:spacing w:val="2"/>
          <w:sz w:val="28"/>
          <w:szCs w:val="28"/>
        </w:rPr>
        <w:t>3%</w:t>
      </w:r>
      <w:r>
        <w:rPr>
          <w:rFonts w:hint="eastAsia" w:hAnsi="宋体"/>
          <w:color w:val="000000"/>
          <w:spacing w:val="2"/>
          <w:sz w:val="28"/>
          <w:szCs w:val="28"/>
        </w:rPr>
        <w:t>。</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（二）关于“三公”经费支出说明</w:t>
      </w:r>
    </w:p>
    <w:p>
      <w:pPr>
        <w:spacing w:line="440" w:lineRule="exact"/>
        <w:ind w:firstLine="560" w:firstLineChars="200"/>
        <w:rPr>
          <w:rFonts w:hint="eastAsia" w:ascii="宋体" w:hAnsi="宋体" w:cs="宋体"/>
          <w:color w:val="000000"/>
          <w:spacing w:val="2"/>
          <w:sz w:val="28"/>
          <w:szCs w:val="28"/>
        </w:rPr>
      </w:pPr>
      <w:r>
        <w:rPr>
          <w:rFonts w:hint="eastAsia" w:ascii="宋体" w:hAnsi="宋体" w:cs="宋体"/>
          <w:sz w:val="28"/>
          <w:szCs w:val="28"/>
        </w:rPr>
        <w:t xml:space="preserve">”三公”经费支出情况: 2017年决算公务车运行维护费363613.64元，预算数为363613.64元2016年决算公务车运行维护费355407.70元，预算数为146888.26元；本单位的公务车运行维护费用支出较大，主要是因为本单位从2016年起负责管理全区30辆公务用车。2017年决算公务接待数为0元，2016年决算公务接待数为0万元，预算数为0万元， (2)会议费支出情况: 2017年决算会议费为0万元，2016年决算会议费为0万元, (3)培训费支出情况2017年决算培训费780元， 2016年决算培训费0元， </w:t>
      </w:r>
      <w:r>
        <w:rPr>
          <w:rFonts w:hint="eastAsia" w:ascii="宋体" w:hAnsi="宋体" w:cs="宋体"/>
          <w:color w:val="000000"/>
          <w:spacing w:val="2"/>
          <w:sz w:val="28"/>
          <w:szCs w:val="28"/>
        </w:rPr>
        <w:t>(4)差旅费支出情况2017年决算差旅费为3234元，2016年决算差旅费为840.00元。</w:t>
      </w:r>
    </w:p>
    <w:p>
      <w:pPr>
        <w:widowControl/>
        <w:shd w:val="clear" w:color="auto" w:fill="FFFFFF"/>
        <w:jc w:val="left"/>
        <w:rPr>
          <w:rFonts w:hint="eastAsia" w:ascii="宋体" w:hAnsi="宋体" w:cs="宋体"/>
          <w:sz w:val="28"/>
          <w:szCs w:val="28"/>
        </w:rPr>
      </w:pPr>
      <w:r>
        <w:rPr>
          <w:rFonts w:hint="eastAsia" w:ascii="宋体" w:hAnsi="宋体" w:cs="宋体"/>
          <w:sz w:val="28"/>
          <w:szCs w:val="28"/>
        </w:rPr>
        <w:t>　　（三）关于机关运行经费支出说明</w:t>
      </w:r>
    </w:p>
    <w:p>
      <w:pPr>
        <w:spacing w:line="460" w:lineRule="exact"/>
        <w:ind w:firstLine="480"/>
        <w:rPr>
          <w:rFonts w:hint="eastAsia" w:ascii="宋体" w:hAnsi="宋体" w:cs="宋体"/>
          <w:color w:val="000000"/>
          <w:kern w:val="0"/>
          <w:sz w:val="28"/>
          <w:szCs w:val="28"/>
        </w:rPr>
      </w:pPr>
      <w:r>
        <w:rPr>
          <w:rFonts w:hint="eastAsia" w:ascii="宋体" w:hAnsi="宋体" w:cs="宋体"/>
          <w:color w:val="000000"/>
          <w:spacing w:val="2"/>
          <w:sz w:val="28"/>
          <w:szCs w:val="28"/>
        </w:rPr>
        <w:t>2017年全年总收入22459596.11元,其中财拔款决算收入2216991.86元(基本支出行政运行2216991.86元),其它收入332604.25元, 2017年全年总支出22126991.86元,其中财拔款决算支出2216991.86元(基本支出行政运行2216991.86元),其它资金支出327100.95元,2017年财政预算数13932371.98元，财拔决算比预算多8194619.88元,</w:t>
      </w:r>
      <w:r>
        <w:rPr>
          <w:rFonts w:hint="eastAsia" w:ascii="宋体" w:hAnsi="宋体" w:cs="宋体"/>
          <w:color w:val="000000"/>
          <w:kern w:val="0"/>
          <w:sz w:val="28"/>
          <w:szCs w:val="28"/>
        </w:rPr>
        <w:t xml:space="preserve"> </w:t>
      </w:r>
    </w:p>
    <w:p>
      <w:pPr>
        <w:widowControl/>
        <w:shd w:val="clear" w:color="auto" w:fill="FFFFFF"/>
        <w:jc w:val="left"/>
        <w:rPr>
          <w:rFonts w:hint="eastAsia" w:ascii="宋体" w:hAnsi="宋体" w:cs="宋体"/>
          <w:sz w:val="28"/>
          <w:szCs w:val="28"/>
        </w:rPr>
      </w:pPr>
      <w:r>
        <w:rPr>
          <w:rFonts w:hint="eastAsia" w:ascii="宋体" w:hAnsi="宋体" w:cs="宋体"/>
          <w:sz w:val="28"/>
          <w:szCs w:val="28"/>
        </w:rPr>
        <w:t>　　（四）关于政府采购支出说明</w:t>
      </w:r>
    </w:p>
    <w:p>
      <w:pPr>
        <w:widowControl/>
        <w:shd w:val="clear" w:color="auto" w:fill="FFFFFF"/>
        <w:ind w:firstLine="560" w:firstLineChars="200"/>
        <w:jc w:val="left"/>
        <w:rPr>
          <w:rFonts w:hint="eastAsia" w:ascii="宋体" w:hAnsi="宋体" w:cs="宋体"/>
          <w:color w:val="000000"/>
          <w:kern w:val="0"/>
          <w:sz w:val="28"/>
          <w:szCs w:val="28"/>
        </w:rPr>
      </w:pPr>
      <w:r>
        <w:rPr>
          <w:rFonts w:hint="eastAsia" w:ascii="宋体" w:hAnsi="宋体" w:cs="宋体"/>
          <w:color w:val="000000"/>
          <w:kern w:val="0"/>
          <w:sz w:val="28"/>
          <w:szCs w:val="28"/>
        </w:rPr>
        <w:t>无政府采购支出情况。</w:t>
      </w:r>
    </w:p>
    <w:p>
      <w:pPr>
        <w:widowControl/>
        <w:shd w:val="clear" w:color="auto" w:fill="FFFFFF"/>
        <w:jc w:val="left"/>
        <w:rPr>
          <w:rFonts w:hint="eastAsia" w:ascii="宋体" w:hAnsi="宋体" w:cs="宋体"/>
          <w:sz w:val="28"/>
          <w:szCs w:val="28"/>
        </w:rPr>
      </w:pPr>
      <w:r>
        <w:rPr>
          <w:rFonts w:hint="eastAsia" w:ascii="宋体" w:hAnsi="宋体" w:cs="宋体"/>
          <w:sz w:val="28"/>
          <w:szCs w:val="28"/>
        </w:rPr>
        <w:t>　　（五）关于国有资产占用情况说明</w:t>
      </w:r>
    </w:p>
    <w:p>
      <w:pPr>
        <w:pStyle w:val="8"/>
        <w:rPr>
          <w:rFonts w:hint="eastAsia" w:ascii="宋体" w:hAnsi="宋体"/>
          <w:sz w:val="28"/>
          <w:szCs w:val="28"/>
        </w:rPr>
      </w:pPr>
      <w:r>
        <w:rPr>
          <w:rFonts w:hint="eastAsia" w:ascii="宋体" w:hAnsi="宋体"/>
          <w:sz w:val="28"/>
          <w:szCs w:val="28"/>
        </w:rPr>
        <w:t>截至2017年12月31日，本部门（单位）共有车辆30辆，其中，领导干部用车0辆、一般公务用车30辆、一般执法执勤用车0辆、特种专业技术用车0辆、其他用车0辆；单位价值50万元以上通用设备0台（套），单价100万元以上专用设备0台（套）。</w:t>
      </w:r>
    </w:p>
    <w:p>
      <w:pPr>
        <w:widowControl/>
        <w:shd w:val="clear" w:color="auto" w:fill="FFFFFF"/>
        <w:jc w:val="left"/>
        <w:rPr>
          <w:rFonts w:hint="eastAsia" w:ascii="宋体" w:hAnsi="宋体" w:cs="宋体"/>
          <w:sz w:val="28"/>
          <w:szCs w:val="28"/>
        </w:rPr>
      </w:pPr>
      <w:r>
        <w:rPr>
          <w:rFonts w:hint="eastAsia" w:ascii="宋体" w:hAnsi="宋体" w:cs="宋体"/>
          <w:sz w:val="28"/>
          <w:szCs w:val="28"/>
        </w:rPr>
        <w:t xml:space="preserve">    上年度一般公务用车4辆，较上年度增加4869003元。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6"/>
          <w:rFonts w:hint="eastAsia" w:ascii="微软雅黑" w:hAnsi="微软雅黑" w:eastAsia="微软雅黑" w:cs="微软雅黑"/>
          <w:i w:val="0"/>
          <w:caps w:val="0"/>
          <w:color w:val="333333"/>
          <w:spacing w:val="0"/>
          <w:sz w:val="24"/>
          <w:szCs w:val="24"/>
          <w:bdr w:val="none" w:color="auto" w:sz="0" w:space="0"/>
          <w:shd w:val="clear" w:fill="FFFFFF"/>
        </w:rPr>
        <w:t>第四部分</w:t>
      </w:r>
      <w:r>
        <w:rPr>
          <w:rStyle w:val="6"/>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6"/>
          <w:rFonts w:hint="eastAsia" w:ascii="微软雅黑" w:hAnsi="微软雅黑" w:eastAsia="微软雅黑" w:cs="微软雅黑"/>
          <w:i w:val="0"/>
          <w:caps w:val="0"/>
          <w:color w:val="333333"/>
          <w:spacing w:val="0"/>
          <w:sz w:val="24"/>
          <w:szCs w:val="24"/>
          <w:bdr w:val="none" w:color="auto" w:sz="0" w:space="0"/>
          <w:shd w:val="clear" w:fill="FFFFFF"/>
        </w:rPr>
        <w:t>名词解释</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一、财政补助收入：指县级财政当年拨付的资金。</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二、其他收入：指除“财政拨款收入”、“上级补助收入”、“事业收入”、“经营收入”等以外的收入。主要是存款利息收入等。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三、年初结转和结余：指以前年度尚未完成、结转到本年按有关规定继续使用的资金。</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四、一般公共服务（类）行政运行（项）：指县行政单位及参照公务员管理事业单位用于保障机构正常运行、开展日常工作的基本支出。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六、一般公共服务（类）机关服务（项）：指县</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黄石港区行管处</w:t>
      </w:r>
      <w:r>
        <w:rPr>
          <w:rFonts w:hint="eastAsia" w:ascii="微软雅黑" w:hAnsi="微软雅黑" w:eastAsia="微软雅黑" w:cs="微软雅黑"/>
          <w:b w:val="0"/>
          <w:i w:val="0"/>
          <w:caps w:val="0"/>
          <w:color w:val="333333"/>
          <w:spacing w:val="0"/>
          <w:sz w:val="24"/>
          <w:szCs w:val="24"/>
          <w:bdr w:val="none" w:color="auto" w:sz="0" w:space="0"/>
          <w:shd w:val="clear" w:fill="FFFFFF"/>
        </w:rPr>
        <w:t>服务中心为机关提供办公楼日常维修、维护等后勤保障服务的支出。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七、一般公共服务（类）其他一般公共服务支出（款）其他一般公共服务支出（项）：指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黄石港区行管处</w:t>
      </w:r>
      <w:r>
        <w:rPr>
          <w:rFonts w:hint="eastAsia" w:ascii="微软雅黑" w:hAnsi="微软雅黑" w:eastAsia="微软雅黑" w:cs="微软雅黑"/>
          <w:b w:val="0"/>
          <w:i w:val="0"/>
          <w:caps w:val="0"/>
          <w:color w:val="333333"/>
          <w:spacing w:val="0"/>
          <w:sz w:val="24"/>
          <w:szCs w:val="24"/>
          <w:bdr w:val="none" w:color="auto" w:sz="0" w:space="0"/>
          <w:shd w:val="clear" w:fill="FFFFFF"/>
        </w:rPr>
        <w:t>用于其他一般公共服务方面的支出。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八、教育（类）普通教育（款）高等教育（项）：指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黄石港区行管处</w:t>
      </w:r>
      <w:r>
        <w:rPr>
          <w:rFonts w:hint="eastAsia" w:ascii="微软雅黑" w:hAnsi="微软雅黑" w:eastAsia="微软雅黑" w:cs="微软雅黑"/>
          <w:b w:val="0"/>
          <w:i w:val="0"/>
          <w:caps w:val="0"/>
          <w:color w:val="333333"/>
          <w:spacing w:val="0"/>
          <w:sz w:val="24"/>
          <w:szCs w:val="24"/>
          <w:bdr w:val="none" w:color="auto" w:sz="0" w:space="0"/>
          <w:shd w:val="clear" w:fill="FFFFFF"/>
        </w:rPr>
        <w:t>厅支持地方高校的重点发展和特色办学，组织专家对省属院校申报的建设规划和项目预算进行评审等相关工作的支出。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九、社会保障和就业(类)行政事业单位离退休（款）归口管理的行政单位离退休（项）：指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黄石港区行管处</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用于离退休人员的支出、退休人员支出，以及提供管理服务工作的离退休干部处的支出。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十、社会保障和就业(类)行政事业单位离退休（款）其他行政事业单位离退休支出（项）：指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黄石港区行管处</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用于离退休方面的其他支出。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十一、医疗卫生与计划生育（类）医疗保障（款）行政单位医疗（项）：指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黄石港区行管处</w:t>
      </w:r>
      <w:r>
        <w:rPr>
          <w:rFonts w:hint="eastAsia" w:ascii="微软雅黑" w:hAnsi="微软雅黑" w:eastAsia="微软雅黑" w:cs="微软雅黑"/>
          <w:b w:val="0"/>
          <w:i w:val="0"/>
          <w:caps w:val="0"/>
          <w:color w:val="333333"/>
          <w:spacing w:val="0"/>
          <w:sz w:val="24"/>
          <w:szCs w:val="24"/>
          <w:bdr w:val="none" w:color="auto" w:sz="0" w:space="0"/>
          <w:shd w:val="clear" w:fill="FFFFFF"/>
        </w:rPr>
        <w:t>用于机关干部职工及离退休人员医疗方面的支出。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十二、住房保障（类）住房改革支出（款）购房补贴（项）：指按照相关住房分配货币化改革的政策规定和标准，对无房和住房未达标职工发放的住房分配货币化补贴资金。</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十三、年末结转和结余：指本年度或以前年度预算安排、因客观条件发生变化无法按原计划实施，需要延迟到以后年度按有关规定继续使用的资金。</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十四、基本支出：指为保障机构正常运转、完成日常工作任务而发生的人员支出（包括基本工资、津贴补贴等）和公用支出（包括办公费、水电费、邮电费、交通费、差旅费等）。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十五、项目支出：指在基本支出之外为完成特定行政任务和事业发展目标所发生的支出。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十六、“三公”经费：是指用财政拨款安排的因公出国（境）费、公务用车购置及运行维护费、公务接待费。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A121DC7"/>
    <w:multiLevelType w:val="singleLevel"/>
    <w:tmpl w:val="5A121DC7"/>
    <w:lvl w:ilvl="0" w:tentative="0">
      <w:start w:val="7"/>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64587B"/>
    <w:rsid w:val="255E033E"/>
    <w:rsid w:val="746766E2"/>
    <w:rsid w:val="7818640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5">
    <w:name w:val="Default Paragraph Font"/>
    <w:semiHidden/>
    <w:uiPriority w:val="0"/>
  </w:style>
  <w:style w:type="table" w:default="1" w:styleId="7">
    <w:name w:val="Normal Table"/>
    <w:semiHidden/>
    <w:uiPriority w:val="0"/>
    <w:tblPr>
      <w:tblLayout w:type="fixed"/>
      <w:tblCellMar>
        <w:top w:w="0" w:type="dxa"/>
        <w:left w:w="108" w:type="dxa"/>
        <w:bottom w:w="0" w:type="dxa"/>
        <w:right w:w="108" w:type="dxa"/>
      </w:tblCellMar>
    </w:tblPr>
  </w:style>
  <w:style w:type="paragraph" w:styleId="3">
    <w:name w:val="Plain Text"/>
    <w:basedOn w:val="1"/>
    <w:uiPriority w:val="0"/>
    <w:rPr>
      <w:rFonts w:ascii="宋体" w:hAnsi="Courier New" w:cs="Courier New"/>
      <w:szCs w:val="21"/>
    </w:r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paragraph" w:customStyle="1" w:styleId="8">
    <w:name w:val="正文缩进 + 首行缩进:  2 字符"/>
    <w:basedOn w:val="1"/>
    <w:uiPriority w:val="0"/>
    <w:pPr>
      <w:spacing w:line="560" w:lineRule="exact"/>
      <w:ind w:firstLine="640"/>
    </w:pPr>
    <w:rPr>
      <w:rFonts w:ascii="仿宋" w:hAnsi="仿宋" w:cs="宋体"/>
      <w:sz w:val="32"/>
      <w:szCs w:val="32"/>
    </w:rPr>
  </w:style>
  <w:style w:type="character" w:customStyle="1" w:styleId="9">
    <w:name w:val="ca-2"/>
    <w:basedOn w:val="5"/>
    <w:uiPriority w:val="0"/>
  </w:style>
  <w:style w:type="paragraph" w:customStyle="1" w:styleId="10">
    <w:name w:val="Normal (Web)"/>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侒靜啲喧嘩</cp:lastModifiedBy>
  <dcterms:modified xsi:type="dcterms:W3CDTF">2019-02-27T08:44:53Z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