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r>
        <w:rPr>
          <w:rFonts w:ascii="微软雅黑" w:hAnsi="微软雅黑" w:eastAsia="微软雅黑" w:cs="微软雅黑"/>
          <w:color w:val="BC1010"/>
          <w:sz w:val="40"/>
          <w:szCs w:val="40"/>
          <w:shd w:val="clear" w:color="auto" w:fill="FFFFFF"/>
        </w:rPr>
        <w:t>黄石港区建设管理（农林水利）局2018年决算公开</w:t>
      </w:r>
    </w:p>
    <w:p>
      <w:pPr>
        <w:pStyle w:val="7"/>
        <w:widowControl/>
        <w:spacing w:before="76" w:beforeAutospacing="0" w:after="76" w:afterAutospacing="0" w:line="450" w:lineRule="atLeast"/>
        <w:ind w:firstLine="420"/>
        <w:jc w:val="center"/>
        <w:rPr>
          <w:color w:val="333333"/>
        </w:rPr>
      </w:pPr>
      <w:r>
        <w:rPr>
          <w:rStyle w:val="10"/>
          <w:rFonts w:hint="eastAsia" w:ascii="微软雅黑" w:hAnsi="微软雅黑" w:eastAsia="微软雅黑" w:cs="微软雅黑"/>
          <w:color w:val="333333"/>
          <w:shd w:val="clear" w:color="auto" w:fill="FFFFFF"/>
        </w:rPr>
        <w:t>黄石港区建设管理（农林水利）局2018年决算公开</w:t>
      </w:r>
    </w:p>
    <w:p>
      <w:pPr>
        <w:pStyle w:val="7"/>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第一部分:部门基本情况</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一、部门主要职责</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二、部门决算单位构成</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第二部分: 部门2018年部门决算表</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一、收入支出决算总表（表1）</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二、收入决算表（表2）</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三、支出决算表（表3）</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四、财政拨款收入支出决算总表（表4）</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五、一般公共预算财政拨款支出决算表（表5）</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六、一般公共预算财政拨款基本支出决算表（表6）</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七、一般公共预算财政拨款“三公”经费支出决算表（表7）</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八、政府性基金预算财政拨款收入支出决算表（8）</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第三部分：部门2018年部门决算情况说明</w:t>
      </w:r>
    </w:p>
    <w:p>
      <w:pPr>
        <w:pStyle w:val="13"/>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一、预算执行情况分析</w:t>
      </w:r>
    </w:p>
    <w:p>
      <w:pPr>
        <w:pStyle w:val="13"/>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二、关于“三公”经费支出说明</w:t>
      </w:r>
    </w:p>
    <w:p>
      <w:pPr>
        <w:pStyle w:val="13"/>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三、关于机关运行经费支出说明</w:t>
      </w:r>
    </w:p>
    <w:p>
      <w:pPr>
        <w:pStyle w:val="13"/>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四、关于政府采购支出说明</w:t>
      </w:r>
    </w:p>
    <w:p>
      <w:pPr>
        <w:pStyle w:val="13"/>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五、关于国有资产占用情况说明</w:t>
      </w:r>
    </w:p>
    <w:p>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第四部分：名词解释 </w:t>
      </w:r>
    </w:p>
    <w:p>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pPr>
        <w:pStyle w:val="7"/>
        <w:widowControl/>
        <w:spacing w:before="76" w:beforeAutospacing="0" w:after="76" w:afterAutospacing="0" w:line="450" w:lineRule="atLeast"/>
        <w:ind w:firstLine="420"/>
        <w:jc w:val="center"/>
        <w:rPr>
          <w:color w:val="333333"/>
        </w:rPr>
      </w:pPr>
      <w:r>
        <w:rPr>
          <w:rStyle w:val="10"/>
          <w:rFonts w:hint="eastAsia" w:ascii="微软雅黑" w:hAnsi="微软雅黑" w:eastAsia="微软雅黑" w:cs="微软雅黑"/>
          <w:color w:val="333333"/>
          <w:shd w:val="clear" w:color="auto" w:fill="FFFFFF"/>
        </w:rPr>
        <w:t>2018年部门决算</w:t>
      </w:r>
    </w:p>
    <w:p>
      <w:pPr>
        <w:pStyle w:val="7"/>
        <w:widowControl/>
        <w:spacing w:before="76" w:beforeAutospacing="0" w:after="76" w:afterAutospacing="0" w:line="450" w:lineRule="atLeast"/>
        <w:ind w:firstLine="420"/>
        <w:rPr>
          <w:color w:val="333333"/>
        </w:rPr>
      </w:pPr>
      <w:r>
        <w:rPr>
          <w:rStyle w:val="10"/>
          <w:rFonts w:hint="eastAsia" w:ascii="微软雅黑" w:hAnsi="微软雅黑" w:eastAsia="微软雅黑" w:cs="微软雅黑"/>
          <w:color w:val="333333"/>
          <w:shd w:val="clear" w:color="auto" w:fill="FFFFFF"/>
        </w:rPr>
        <w:t>第一部分部门概况</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8" w:firstLineChars="200"/>
        <w:textAlignment w:val="auto"/>
        <w:rPr>
          <w:color w:val="000000"/>
          <w:spacing w:val="2"/>
          <w:sz w:val="28"/>
          <w:szCs w:val="28"/>
        </w:rPr>
      </w:pPr>
      <w:r>
        <w:rPr>
          <w:rFonts w:hint="eastAsia" w:hAnsi="宋体"/>
          <w:color w:val="000000"/>
          <w:spacing w:val="2"/>
          <w:sz w:val="28"/>
          <w:szCs w:val="28"/>
          <w:lang w:eastAsia="zh-CN"/>
        </w:rPr>
        <w:t>主要职能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bCs/>
          <w:sz w:val="28"/>
          <w:szCs w:val="28"/>
        </w:rPr>
        <w:t>主要承担辖区内市政设施、园林绿化的建设、管维工作以及市、区两级重点建设项目组织工作；负责区管道路及背街小巷占、破道的审批工作；负责组织实施全区爱国卫生运动；负责协助上级人防部门对辖区人民防空工程建设、使用和维护管理以及辖区内市民的人民防空知识宣传教育工作；负责协调上级交通部门对辖区交通建设管理工作；负责全区农机购置、农药、种子质量监管和防汛抗旱、水资源管理以及大众山森林公园建设和管理、林政执法、森林防火、农资管理以及配合完成创卫、创文、创模、码头整治和两湖治理等工作。</w:t>
      </w:r>
    </w:p>
    <w:p>
      <w:pPr>
        <w:spacing w:line="520" w:lineRule="exact"/>
        <w:ind w:firstLine="568" w:firstLineChars="200"/>
        <w:rPr>
          <w:rFonts w:hint="eastAsia" w:hAnsi="宋体"/>
          <w:color w:val="000000"/>
          <w:spacing w:val="2"/>
          <w:sz w:val="28"/>
          <w:szCs w:val="28"/>
          <w:lang w:eastAsia="zh-CN"/>
        </w:rPr>
      </w:pPr>
      <w:r>
        <w:rPr>
          <w:rFonts w:hint="eastAsia" w:hAnsi="宋体"/>
          <w:color w:val="000000"/>
          <w:spacing w:val="2"/>
          <w:sz w:val="28"/>
          <w:szCs w:val="28"/>
          <w:lang w:eastAsia="zh-CN"/>
        </w:rPr>
        <w:t>（二）机构情况</w:t>
      </w:r>
    </w:p>
    <w:p>
      <w:pPr>
        <w:spacing w:line="52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黄石港区建设管理（农林水利）局为区政府工作部门，挂区爱卫办、区人防办牌子。</w:t>
      </w:r>
      <w:r>
        <w:rPr>
          <w:rFonts w:hint="eastAsia" w:asciiTheme="minorEastAsia" w:hAnsiTheme="minorEastAsia" w:eastAsiaTheme="minorEastAsia" w:cstheme="minorEastAsia"/>
          <w:bCs/>
          <w:sz w:val="28"/>
          <w:szCs w:val="28"/>
        </w:rPr>
        <w:t>内设两办四科（党政办公室、规划建设科、城市管理科、城市绿化科、水利水保科、农资管理办）。</w:t>
      </w:r>
    </w:p>
    <w:p>
      <w:pPr>
        <w:spacing w:line="520" w:lineRule="exact"/>
        <w:ind w:firstLine="568" w:firstLineChars="200"/>
        <w:rPr>
          <w:rFonts w:hint="eastAsia" w:hAnsi="宋体"/>
          <w:color w:val="000000"/>
          <w:spacing w:val="2"/>
          <w:sz w:val="28"/>
          <w:szCs w:val="28"/>
          <w:lang w:eastAsia="zh-CN"/>
        </w:rPr>
      </w:pPr>
      <w:r>
        <w:rPr>
          <w:rFonts w:hint="eastAsia" w:hAnsi="宋体"/>
          <w:color w:val="000000"/>
          <w:spacing w:val="2"/>
          <w:sz w:val="28"/>
          <w:szCs w:val="28"/>
          <w:lang w:eastAsia="zh-CN"/>
        </w:rPr>
        <w:t>（三）人员情况</w:t>
      </w:r>
    </w:p>
    <w:p>
      <w:pPr>
        <w:spacing w:line="520" w:lineRule="exact"/>
        <w:ind w:firstLine="568" w:firstLineChars="200"/>
        <w:rPr>
          <w:rFonts w:hint="eastAsia" w:hAnsi="宋体"/>
          <w:color w:val="000000"/>
          <w:spacing w:val="2"/>
          <w:sz w:val="28"/>
          <w:szCs w:val="28"/>
          <w:lang w:eastAsia="zh-CN"/>
        </w:rPr>
      </w:pPr>
      <w:r>
        <w:rPr>
          <w:rFonts w:hint="eastAsia" w:hAnsi="宋体"/>
          <w:color w:val="000000"/>
          <w:spacing w:val="2"/>
          <w:sz w:val="28"/>
          <w:szCs w:val="28"/>
          <w:lang w:eastAsia="zh-CN"/>
        </w:rPr>
        <w:t>单位编制27名，其中行政编制9名，事业编制18名。实有人数25</w:t>
      </w:r>
      <w:r>
        <w:rPr>
          <w:rFonts w:hint="eastAsia" w:hAnsi="宋体"/>
          <w:color w:val="000000"/>
          <w:spacing w:val="2"/>
          <w:sz w:val="28"/>
          <w:szCs w:val="28"/>
          <w:lang w:val="en-US" w:eastAsia="zh-CN"/>
        </w:rPr>
        <w:t>人</w:t>
      </w:r>
      <w:r>
        <w:rPr>
          <w:rFonts w:hint="eastAsia" w:hAnsi="宋体"/>
          <w:color w:val="000000"/>
          <w:spacing w:val="2"/>
          <w:sz w:val="28"/>
          <w:szCs w:val="28"/>
          <w:lang w:eastAsia="zh-CN"/>
        </w:rPr>
        <w:t>，行政编制1</w:t>
      </w:r>
      <w:r>
        <w:rPr>
          <w:rFonts w:hint="eastAsia" w:hAnsi="宋体"/>
          <w:color w:val="000000"/>
          <w:spacing w:val="2"/>
          <w:sz w:val="28"/>
          <w:szCs w:val="28"/>
          <w:lang w:val="en-US" w:eastAsia="zh-CN"/>
        </w:rPr>
        <w:t>人</w:t>
      </w:r>
      <w:r>
        <w:rPr>
          <w:rFonts w:hint="eastAsia" w:hAnsi="宋体"/>
          <w:color w:val="000000"/>
          <w:spacing w:val="2"/>
          <w:sz w:val="28"/>
          <w:szCs w:val="28"/>
          <w:lang w:eastAsia="zh-CN"/>
        </w:rPr>
        <w:t>，参公事业编制1人，事业编制15</w:t>
      </w:r>
      <w:r>
        <w:rPr>
          <w:rFonts w:hint="eastAsia" w:hAnsi="宋体"/>
          <w:color w:val="000000"/>
          <w:spacing w:val="2"/>
          <w:sz w:val="28"/>
          <w:szCs w:val="28"/>
          <w:lang w:val="en-US" w:eastAsia="zh-CN"/>
        </w:rPr>
        <w:t>人</w:t>
      </w:r>
      <w:r>
        <w:rPr>
          <w:rFonts w:hint="eastAsia" w:hAnsi="宋体"/>
          <w:color w:val="000000"/>
          <w:spacing w:val="2"/>
          <w:sz w:val="28"/>
          <w:szCs w:val="28"/>
          <w:lang w:eastAsia="zh-CN"/>
        </w:rPr>
        <w:t>，区内编制2人，政府雇员4人，三支一扶2人；退休人员</w:t>
      </w:r>
      <w:r>
        <w:rPr>
          <w:rFonts w:hint="eastAsia" w:hAnsi="宋体"/>
          <w:color w:val="000000"/>
          <w:spacing w:val="2"/>
          <w:sz w:val="28"/>
          <w:szCs w:val="28"/>
          <w:lang w:val="en-US" w:eastAsia="zh-CN"/>
        </w:rPr>
        <w:t>8人</w:t>
      </w:r>
      <w:r>
        <w:rPr>
          <w:rFonts w:hint="eastAsia" w:hAnsi="宋体"/>
          <w:color w:val="000000"/>
          <w:spacing w:val="2"/>
          <w:sz w:val="28"/>
          <w:szCs w:val="28"/>
          <w:lang w:eastAsia="zh-CN"/>
        </w:rPr>
        <w:t>，</w:t>
      </w:r>
      <w:r>
        <w:rPr>
          <w:rFonts w:hint="eastAsia" w:hAnsi="宋体"/>
          <w:color w:val="000000"/>
          <w:spacing w:val="2"/>
          <w:sz w:val="28"/>
          <w:szCs w:val="28"/>
          <w:lang w:val="en-US" w:eastAsia="zh-CN"/>
        </w:rPr>
        <w:t>聘用人员1人</w:t>
      </w:r>
      <w:r>
        <w:rPr>
          <w:rFonts w:hint="eastAsia" w:hAnsi="宋体"/>
          <w:color w:val="000000"/>
          <w:spacing w:val="2"/>
          <w:sz w:val="28"/>
          <w:szCs w:val="28"/>
          <w:lang w:eastAsia="zh-CN"/>
        </w:rPr>
        <w:t>。</w:t>
      </w:r>
    </w:p>
    <w:p>
      <w:pPr>
        <w:pStyle w:val="7"/>
        <w:widowControl/>
        <w:spacing w:before="76" w:beforeAutospacing="0" w:after="76" w:afterAutospacing="0" w:line="450" w:lineRule="atLeast"/>
        <w:ind w:firstLine="420"/>
      </w:pPr>
      <w:r>
        <w:rPr>
          <w:rFonts w:hint="eastAsia" w:ascii="微软雅黑" w:hAnsi="微软雅黑" w:eastAsia="微软雅黑" w:cs="微软雅黑"/>
          <w:b/>
          <w:bCs/>
        </w:rPr>
        <w:t>第二部分：部门2018年部门</w:t>
      </w:r>
      <w:r>
        <w:rPr>
          <w:rFonts w:hint="eastAsia" w:ascii="微软雅黑" w:hAnsi="微软雅黑" w:eastAsia="微软雅黑" w:cs="微软雅黑"/>
          <w:b/>
          <w:bCs/>
          <w:lang w:eastAsia="zh-CN"/>
        </w:rPr>
        <w:t>决算表</w:t>
      </w:r>
      <w:r>
        <w:rPr>
          <w:rFonts w:ascii="宋体" w:hAnsi="宋体" w:eastAsia="宋体" w:cs="宋体"/>
        </w:rPr>
        <w:drawing>
          <wp:inline distT="0" distB="0" distL="114300" distR="114300">
            <wp:extent cx="8902700" cy="4692015"/>
            <wp:effectExtent l="0" t="0" r="12700" b="133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8902700" cy="4692015"/>
                    </a:xfrm>
                    <a:prstGeom prst="rect">
                      <a:avLst/>
                    </a:prstGeom>
                    <a:noFill/>
                    <a:ln w="9525">
                      <a:noFill/>
                    </a:ln>
                  </pic:spPr>
                </pic:pic>
              </a:graphicData>
            </a:graphic>
          </wp:inline>
        </w:drawing>
      </w:r>
    </w:p>
    <w:p>
      <w:pPr>
        <w:widowControl/>
        <w:jc w:val="left"/>
      </w:pPr>
      <w:r>
        <w:rPr>
          <w:rFonts w:ascii="宋体" w:hAnsi="宋体" w:eastAsia="宋体" w:cs="宋体"/>
          <w:kern w:val="0"/>
          <w:sz w:val="24"/>
        </w:rPr>
        <w:drawing>
          <wp:inline distT="0" distB="0" distL="114300" distR="114300">
            <wp:extent cx="8923020" cy="4104640"/>
            <wp:effectExtent l="0" t="0" r="11430" b="10160"/>
            <wp:docPr id="10"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IMG_256"/>
                    <pic:cNvPicPr>
                      <a:picLocks noChangeAspect="1"/>
                    </pic:cNvPicPr>
                  </pic:nvPicPr>
                  <pic:blipFill>
                    <a:blip r:embed="rId5"/>
                    <a:stretch>
                      <a:fillRect/>
                    </a:stretch>
                  </pic:blipFill>
                  <pic:spPr>
                    <a:xfrm>
                      <a:off x="0" y="0"/>
                      <a:ext cx="8923020" cy="4104640"/>
                    </a:xfrm>
                    <a:prstGeom prst="rect">
                      <a:avLst/>
                    </a:prstGeom>
                    <a:noFill/>
                    <a:ln w="9525">
                      <a:noFill/>
                    </a:ln>
                  </pic:spPr>
                </pic:pic>
              </a:graphicData>
            </a:graphic>
          </wp:inline>
        </w:drawing>
      </w:r>
    </w:p>
    <w:p>
      <w:pPr>
        <w:widowControl/>
        <w:jc w:val="left"/>
      </w:pPr>
      <w:r>
        <w:rPr>
          <w:rFonts w:ascii="宋体" w:hAnsi="宋体" w:eastAsia="宋体" w:cs="宋体"/>
          <w:kern w:val="0"/>
          <w:sz w:val="24"/>
        </w:rPr>
        <w:drawing>
          <wp:inline distT="0" distB="0" distL="114300" distR="114300">
            <wp:extent cx="9047480" cy="4210050"/>
            <wp:effectExtent l="0" t="0" r="1270" b="0"/>
            <wp:docPr id="1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IMG_256"/>
                    <pic:cNvPicPr>
                      <a:picLocks noChangeAspect="1"/>
                    </pic:cNvPicPr>
                  </pic:nvPicPr>
                  <pic:blipFill>
                    <a:blip r:embed="rId6"/>
                    <a:stretch>
                      <a:fillRect/>
                    </a:stretch>
                  </pic:blipFill>
                  <pic:spPr>
                    <a:xfrm>
                      <a:off x="0" y="0"/>
                      <a:ext cx="9047480" cy="4210050"/>
                    </a:xfrm>
                    <a:prstGeom prst="rect">
                      <a:avLst/>
                    </a:prstGeom>
                    <a:noFill/>
                    <a:ln w="9525">
                      <a:noFill/>
                    </a:ln>
                  </pic:spPr>
                </pic:pic>
              </a:graphicData>
            </a:graphic>
          </wp:inline>
        </w:drawing>
      </w:r>
    </w:p>
    <w:p>
      <w:pPr>
        <w:widowControl/>
        <w:jc w:val="left"/>
      </w:pPr>
      <w:r>
        <w:rPr>
          <w:rFonts w:ascii="宋体" w:hAnsi="宋体" w:eastAsia="宋体" w:cs="宋体"/>
          <w:kern w:val="0"/>
          <w:sz w:val="24"/>
        </w:rPr>
        <w:drawing>
          <wp:inline distT="0" distB="0" distL="114300" distR="114300">
            <wp:extent cx="8827135" cy="5516880"/>
            <wp:effectExtent l="0" t="0" r="12065" b="7620"/>
            <wp:docPr id="12"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IMG_256"/>
                    <pic:cNvPicPr>
                      <a:picLocks noChangeAspect="1"/>
                    </pic:cNvPicPr>
                  </pic:nvPicPr>
                  <pic:blipFill>
                    <a:blip r:embed="rId7"/>
                    <a:stretch>
                      <a:fillRect/>
                    </a:stretch>
                  </pic:blipFill>
                  <pic:spPr>
                    <a:xfrm>
                      <a:off x="0" y="0"/>
                      <a:ext cx="8827135" cy="5516880"/>
                    </a:xfrm>
                    <a:prstGeom prst="rect">
                      <a:avLst/>
                    </a:prstGeom>
                    <a:noFill/>
                    <a:ln w="9525">
                      <a:noFill/>
                    </a:ln>
                  </pic:spPr>
                </pic:pic>
              </a:graphicData>
            </a:graphic>
          </wp:inline>
        </w:drawing>
      </w:r>
    </w:p>
    <w:p>
      <w:pPr>
        <w:widowControl/>
        <w:jc w:val="left"/>
      </w:pPr>
      <w:r>
        <w:rPr>
          <w:rFonts w:ascii="宋体" w:hAnsi="宋体" w:eastAsia="宋体" w:cs="宋体"/>
          <w:kern w:val="0"/>
          <w:sz w:val="24"/>
        </w:rPr>
        <w:drawing>
          <wp:inline distT="0" distB="0" distL="114300" distR="114300">
            <wp:extent cx="8763000" cy="5047615"/>
            <wp:effectExtent l="0" t="0" r="0" b="635"/>
            <wp:docPr id="14"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descr="IMG_256"/>
                    <pic:cNvPicPr>
                      <a:picLocks noChangeAspect="1"/>
                    </pic:cNvPicPr>
                  </pic:nvPicPr>
                  <pic:blipFill>
                    <a:blip r:embed="rId8"/>
                    <a:stretch>
                      <a:fillRect/>
                    </a:stretch>
                  </pic:blipFill>
                  <pic:spPr>
                    <a:xfrm>
                      <a:off x="0" y="0"/>
                      <a:ext cx="8763000" cy="5047615"/>
                    </a:xfrm>
                    <a:prstGeom prst="rect">
                      <a:avLst/>
                    </a:prstGeom>
                    <a:noFill/>
                    <a:ln w="9525">
                      <a:noFill/>
                    </a:ln>
                  </pic:spPr>
                </pic:pic>
              </a:graphicData>
            </a:graphic>
          </wp:inline>
        </w:drawing>
      </w:r>
    </w:p>
    <w:p>
      <w:pPr>
        <w:widowControl/>
        <w:jc w:val="left"/>
      </w:pPr>
      <w:r>
        <w:rPr>
          <w:rFonts w:ascii="宋体" w:hAnsi="宋体" w:eastAsia="宋体" w:cs="宋体"/>
          <w:kern w:val="0"/>
          <w:sz w:val="24"/>
        </w:rPr>
        <w:drawing>
          <wp:inline distT="0" distB="0" distL="114300" distR="114300">
            <wp:extent cx="8829675" cy="5173345"/>
            <wp:effectExtent l="0" t="0" r="9525" b="8255"/>
            <wp:docPr id="15"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descr="IMG_256"/>
                    <pic:cNvPicPr>
                      <a:picLocks noChangeAspect="1"/>
                    </pic:cNvPicPr>
                  </pic:nvPicPr>
                  <pic:blipFill>
                    <a:blip r:embed="rId9"/>
                    <a:stretch>
                      <a:fillRect/>
                    </a:stretch>
                  </pic:blipFill>
                  <pic:spPr>
                    <a:xfrm>
                      <a:off x="0" y="0"/>
                      <a:ext cx="8829675" cy="5173345"/>
                    </a:xfrm>
                    <a:prstGeom prst="rect">
                      <a:avLst/>
                    </a:prstGeom>
                    <a:noFill/>
                    <a:ln w="9525">
                      <a:noFill/>
                    </a:ln>
                  </pic:spPr>
                </pic:pic>
              </a:graphicData>
            </a:graphic>
          </wp:inline>
        </w:drawing>
      </w:r>
    </w:p>
    <w:p>
      <w:pPr>
        <w:widowControl/>
        <w:jc w:val="both"/>
      </w:pPr>
      <w:r>
        <w:rPr>
          <w:rFonts w:ascii="宋体" w:hAnsi="宋体" w:eastAsia="宋体" w:cs="宋体"/>
          <w:kern w:val="0"/>
          <w:sz w:val="24"/>
        </w:rPr>
        <w:drawing>
          <wp:inline distT="0" distB="0" distL="114300" distR="114300">
            <wp:extent cx="8745855" cy="1880235"/>
            <wp:effectExtent l="0" t="0" r="17145" b="5715"/>
            <wp:docPr id="16"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descr="IMG_256"/>
                    <pic:cNvPicPr>
                      <a:picLocks noChangeAspect="1"/>
                    </pic:cNvPicPr>
                  </pic:nvPicPr>
                  <pic:blipFill>
                    <a:blip r:embed="rId10"/>
                    <a:srcRect l="1084" t="4959" r="1279" b="4959"/>
                    <a:stretch>
                      <a:fillRect/>
                    </a:stretch>
                  </pic:blipFill>
                  <pic:spPr>
                    <a:xfrm>
                      <a:off x="0" y="0"/>
                      <a:ext cx="8745855" cy="1880235"/>
                    </a:xfrm>
                    <a:prstGeom prst="rect">
                      <a:avLst/>
                    </a:prstGeom>
                    <a:noFill/>
                    <a:ln w="9525">
                      <a:noFill/>
                    </a:ln>
                  </pic:spPr>
                </pic:pic>
              </a:graphicData>
            </a:graphic>
          </wp:inline>
        </w:drawing>
      </w:r>
    </w:p>
    <w:p>
      <w:pPr>
        <w:widowControl/>
        <w:jc w:val="both"/>
        <w:rPr>
          <w:rFonts w:ascii="宋体" w:hAnsi="宋体" w:eastAsia="宋体" w:cs="宋体"/>
          <w:kern w:val="0"/>
          <w:sz w:val="24"/>
        </w:rPr>
      </w:pPr>
    </w:p>
    <w:p>
      <w:pPr>
        <w:widowControl/>
        <w:jc w:val="both"/>
      </w:pPr>
      <w:r>
        <w:rPr>
          <w:rFonts w:ascii="宋体" w:hAnsi="宋体" w:eastAsia="宋体" w:cs="宋体"/>
          <w:kern w:val="0"/>
          <w:sz w:val="24"/>
        </w:rPr>
        <w:drawing>
          <wp:inline distT="0" distB="0" distL="114300" distR="114300">
            <wp:extent cx="8717280" cy="2303780"/>
            <wp:effectExtent l="0" t="0" r="7620" b="1270"/>
            <wp:docPr id="17"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IMG_256"/>
                    <pic:cNvPicPr>
                      <a:picLocks noChangeAspect="1"/>
                    </pic:cNvPicPr>
                  </pic:nvPicPr>
                  <pic:blipFill>
                    <a:blip r:embed="rId11"/>
                    <a:srcRect l="1388" t="3220" r="792" b="1806"/>
                    <a:stretch>
                      <a:fillRect/>
                    </a:stretch>
                  </pic:blipFill>
                  <pic:spPr>
                    <a:xfrm>
                      <a:off x="0" y="0"/>
                      <a:ext cx="8717280" cy="2303780"/>
                    </a:xfrm>
                    <a:prstGeom prst="rect">
                      <a:avLst/>
                    </a:prstGeom>
                    <a:noFill/>
                    <a:ln w="9525">
                      <a:noFill/>
                    </a:ln>
                  </pic:spPr>
                </pic:pic>
              </a:graphicData>
            </a:graphic>
          </wp:inline>
        </w:drawing>
      </w:r>
    </w:p>
    <w:p>
      <w:pPr>
        <w:pStyle w:val="7"/>
        <w:widowControl/>
        <w:spacing w:before="76" w:beforeAutospacing="0" w:after="76" w:afterAutospacing="0" w:line="450" w:lineRule="atLeast"/>
        <w:jc w:val="both"/>
        <w:sectPr>
          <w:pgSz w:w="16838" w:h="11906" w:orient="landscape"/>
          <w:pgMar w:top="1800" w:right="1440" w:bottom="1800" w:left="1440" w:header="851" w:footer="992" w:gutter="0"/>
          <w:cols w:space="425" w:num="1"/>
          <w:docGrid w:type="lines" w:linePitch="312" w:charSpace="0"/>
        </w:sectPr>
      </w:pPr>
    </w:p>
    <w:p>
      <w:pPr>
        <w:pStyle w:val="7"/>
        <w:widowControl/>
        <w:spacing w:before="76" w:beforeAutospacing="0" w:after="76" w:afterAutospacing="0" w:line="450" w:lineRule="atLeast"/>
        <w:ind w:firstLine="480" w:firstLineChars="200"/>
        <w:rPr>
          <w:color w:val="333333"/>
        </w:rPr>
      </w:pPr>
      <w:r>
        <w:rPr>
          <w:rStyle w:val="10"/>
          <w:rFonts w:hint="eastAsia" w:ascii="微软雅黑" w:hAnsi="微软雅黑" w:eastAsia="微软雅黑" w:cs="微软雅黑"/>
          <w:color w:val="333333"/>
          <w:shd w:val="clear" w:color="auto" w:fill="FFFFFF"/>
        </w:rPr>
        <w:t>第三部分2018年部门决算情况说明</w:t>
      </w:r>
    </w:p>
    <w:p>
      <w:pPr>
        <w:widowControl/>
        <w:ind w:firstLine="562" w:firstLineChars="200"/>
        <w:rPr>
          <w:rFonts w:hAnsi="宋体"/>
          <w:b/>
          <w:bCs/>
          <w:color w:val="000000"/>
          <w:spacing w:val="2"/>
          <w:sz w:val="28"/>
          <w:szCs w:val="28"/>
        </w:rPr>
      </w:pPr>
      <w:r>
        <w:rPr>
          <w:rFonts w:hint="eastAsia" w:ascii="宋体" w:hAnsi="宋体" w:cs="宋体"/>
          <w:b/>
          <w:bCs/>
          <w:sz w:val="28"/>
          <w:szCs w:val="28"/>
        </w:rPr>
        <w:t>（一）预算执行情况分析</w:t>
      </w:r>
    </w:p>
    <w:p>
      <w:pPr>
        <w:widowControl/>
        <w:ind w:firstLine="556" w:firstLineChars="196"/>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rPr>
        <w:t>2018年财政收入预算数2463921元，其中人员经费1804986元，公用经费658935元, 2018年财政支出预算数2463921元，其中人员经费1804986元，公用经费658935元；2017年财政收入预算数2067315.64元，其中人员经费1710357元，公用经费356958.64元, 2017年财政支出预算数2067315.64元，其中人员经费171035元，公用经356958.64费元；2018年收入预算数安排比上年增加396605.36元</w:t>
      </w:r>
      <w:r>
        <w:rPr>
          <w:rFonts w:hint="eastAsia" w:asciiTheme="minorEastAsia" w:hAnsiTheme="minorEastAsia" w:eastAsiaTheme="minorEastAsia" w:cstheme="minorEastAsia"/>
          <w:color w:val="000000"/>
          <w:spacing w:val="2"/>
          <w:sz w:val="28"/>
          <w:szCs w:val="28"/>
          <w:lang w:eastAsia="zh-CN"/>
        </w:rPr>
        <w:t>。</w:t>
      </w:r>
    </w:p>
    <w:p>
      <w:pPr>
        <w:widowControl/>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1、收入支出与预算对比分析</w:t>
      </w:r>
    </w:p>
    <w:p>
      <w:pPr>
        <w:widowControl/>
        <w:ind w:firstLine="556" w:firstLineChars="196"/>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2018年全年总收入74760165.63元,其中财拨款决算收入45259577.85元(基本支出行政运行27818487.12元,其他退耕还林支出5250元，其他污染防治支出17415840.73元,森林培育支出20000元),其它收入29500587.78元。2018年财政预算数2463921元，财拔决算比预算多42795656.85元,幅度为1737%,原因为业务增加。</w:t>
      </w:r>
    </w:p>
    <w:p>
      <w:pPr>
        <w:widowControl/>
        <w:ind w:firstLine="556" w:firstLineChars="196"/>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2、收入支出结构分析</w:t>
      </w:r>
    </w:p>
    <w:p>
      <w:pPr>
        <w:widowControl/>
        <w:ind w:firstLine="556" w:firstLineChars="196"/>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rPr>
        <w:t>2018年全年总收入74760165.63元,其中财拨款决算收入45259577.85元(基本行政运行27818487.12元,其他退耕还林5250元，其他污染防治17415840.73元,森林培育20000元),其它收入29500587.78元</w:t>
      </w:r>
      <w:r>
        <w:rPr>
          <w:rFonts w:hint="eastAsia" w:asciiTheme="minorEastAsia" w:hAnsiTheme="minorEastAsia" w:eastAsiaTheme="minorEastAsia" w:cstheme="minorEastAsia"/>
          <w:color w:val="000000"/>
          <w:spacing w:val="2"/>
          <w:sz w:val="28"/>
          <w:szCs w:val="28"/>
          <w:lang w:eastAsia="zh-CN"/>
        </w:rPr>
        <w:t>；</w:t>
      </w:r>
      <w:r>
        <w:rPr>
          <w:rFonts w:hint="eastAsia" w:asciiTheme="minorEastAsia" w:hAnsiTheme="minorEastAsia" w:eastAsiaTheme="minorEastAsia" w:cstheme="minorEastAsia"/>
          <w:color w:val="000000"/>
          <w:spacing w:val="2"/>
          <w:sz w:val="28"/>
          <w:szCs w:val="28"/>
        </w:rPr>
        <w:t>2018年全年总支出74760165.63元,其中财拨款决算支出45259577.85元(基本支出行政运行27818487.12元,其他退耕还林支出5250元，其他污染防治支出17415840.73元,森林培育支出20000元),其它收入29500587.75元</w:t>
      </w:r>
      <w:r>
        <w:rPr>
          <w:rFonts w:hint="eastAsia" w:asciiTheme="minorEastAsia" w:hAnsiTheme="minorEastAsia" w:eastAsiaTheme="minorEastAsia" w:cstheme="minorEastAsia"/>
          <w:color w:val="000000"/>
          <w:spacing w:val="2"/>
          <w:sz w:val="28"/>
          <w:szCs w:val="28"/>
          <w:lang w:eastAsia="zh-CN"/>
        </w:rPr>
        <w:t>。</w:t>
      </w:r>
    </w:p>
    <w:p>
      <w:pPr>
        <w:widowControl/>
        <w:ind w:firstLine="559" w:firstLineChars="196"/>
        <w:rPr>
          <w:rFonts w:hint="eastAsia" w:asciiTheme="minorEastAsia" w:hAnsiTheme="minorEastAsia" w:eastAsiaTheme="minorEastAsia" w:cstheme="minorEastAsia"/>
          <w:b/>
          <w:bCs/>
          <w:color w:val="000000"/>
          <w:spacing w:val="2"/>
          <w:sz w:val="28"/>
          <w:szCs w:val="28"/>
        </w:rPr>
      </w:pPr>
      <w:r>
        <w:rPr>
          <w:rFonts w:hint="eastAsia" w:asciiTheme="minorEastAsia" w:hAnsiTheme="minorEastAsia" w:eastAsiaTheme="minorEastAsia" w:cstheme="minorEastAsia"/>
          <w:b/>
          <w:bCs/>
          <w:color w:val="000000"/>
          <w:spacing w:val="2"/>
          <w:sz w:val="28"/>
          <w:szCs w:val="28"/>
        </w:rPr>
        <w:t>（二）关于“三公”经费支出说明</w:t>
      </w:r>
    </w:p>
    <w:p>
      <w:pPr>
        <w:widowControl/>
        <w:ind w:firstLine="556" w:firstLineChars="196"/>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2018年“三公”经费决算总支出14524.17元，其中：区建设局机关公务车运行维护费0元，区园林绿化处公务车运行维护费14524.17元</w:t>
      </w:r>
      <w:r>
        <w:rPr>
          <w:rFonts w:hint="eastAsia" w:asciiTheme="minorEastAsia" w:hAnsiTheme="minorEastAsia" w:cstheme="minorEastAsia"/>
          <w:color w:val="000000"/>
          <w:spacing w:val="2"/>
          <w:sz w:val="28"/>
          <w:szCs w:val="28"/>
          <w:lang w:val="en-US" w:eastAsia="zh-CN"/>
        </w:rPr>
        <w:t>,保有车辆1辆</w:t>
      </w:r>
      <w:bookmarkStart w:id="0" w:name="_GoBack"/>
      <w:bookmarkEnd w:id="0"/>
      <w:r>
        <w:rPr>
          <w:rFonts w:hint="eastAsia" w:asciiTheme="minorEastAsia" w:hAnsiTheme="minorEastAsia" w:eastAsiaTheme="minorEastAsia" w:cstheme="minorEastAsia"/>
          <w:color w:val="000000"/>
          <w:spacing w:val="2"/>
          <w:sz w:val="28"/>
          <w:szCs w:val="28"/>
        </w:rPr>
        <w:t>；公务接待费0元，年初预算数0元，决算数比预算数增加0元，增长幅度为0；因公出国（境）费0元，预算数0元，决算数比预算数增加0元，增长幅度为0%；</w:t>
      </w:r>
    </w:p>
    <w:p>
      <w:pPr>
        <w:widowControl/>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2017年“三公”经费决算总支出8076.99元，其中：公务车运行维护费8076.99元，年初预算数0元，决算数比预算数减少0元，减少幅度为0；公务接待费0元，年初预算数0元，决算数比预算数增加0元，增长幅度为0；因公出国（境）费0元，预算数0元，决算数比预算数增加0元，增长幅度为0%；</w:t>
      </w:r>
    </w:p>
    <w:p>
      <w:pPr>
        <w:widowControl/>
        <w:ind w:firstLine="559" w:firstLineChars="196"/>
        <w:rPr>
          <w:rFonts w:hint="eastAsia" w:asciiTheme="minorEastAsia" w:hAnsiTheme="minorEastAsia" w:eastAsiaTheme="minorEastAsia" w:cstheme="minorEastAsia"/>
          <w:b/>
          <w:bCs/>
          <w:color w:val="000000"/>
          <w:spacing w:val="2"/>
          <w:sz w:val="28"/>
          <w:szCs w:val="28"/>
        </w:rPr>
      </w:pPr>
      <w:r>
        <w:rPr>
          <w:rFonts w:hint="eastAsia" w:asciiTheme="minorEastAsia" w:hAnsiTheme="minorEastAsia" w:eastAsiaTheme="minorEastAsia" w:cstheme="minorEastAsia"/>
          <w:b/>
          <w:bCs/>
          <w:color w:val="000000"/>
          <w:spacing w:val="2"/>
          <w:sz w:val="28"/>
          <w:szCs w:val="28"/>
        </w:rPr>
        <w:t>（三）关于机关运行经费支出说明</w:t>
      </w:r>
    </w:p>
    <w:p>
      <w:pPr>
        <w:widowControl/>
        <w:ind w:firstLine="556" w:firstLineChars="196"/>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2018年机关运行经费支出41400490.68元, 2017年机关运行经费支出7,357,895.36元,同比上年增加34042595.32元，同比上年增加462.67%，原因是黄石港区建设管理（农林水利）局委托业务量增加以及区园林绿化处账户并入。</w:t>
      </w:r>
    </w:p>
    <w:p>
      <w:pPr>
        <w:widowControl/>
        <w:ind w:firstLine="559" w:firstLineChars="196"/>
        <w:rPr>
          <w:rFonts w:hint="eastAsia" w:asciiTheme="minorEastAsia" w:hAnsiTheme="minorEastAsia" w:eastAsiaTheme="minorEastAsia" w:cstheme="minorEastAsia"/>
          <w:b/>
          <w:bCs/>
          <w:color w:val="000000"/>
          <w:spacing w:val="2"/>
          <w:sz w:val="28"/>
          <w:szCs w:val="28"/>
        </w:rPr>
      </w:pPr>
      <w:r>
        <w:rPr>
          <w:rFonts w:hint="eastAsia" w:asciiTheme="minorEastAsia" w:hAnsiTheme="minorEastAsia" w:eastAsiaTheme="minorEastAsia" w:cstheme="minorEastAsia"/>
          <w:b/>
          <w:bCs/>
          <w:color w:val="000000"/>
          <w:spacing w:val="2"/>
          <w:sz w:val="28"/>
          <w:szCs w:val="28"/>
        </w:rPr>
        <w:t>（四）关于政府采购支出说明</w:t>
      </w:r>
    </w:p>
    <w:p>
      <w:pPr>
        <w:widowControl/>
        <w:ind w:firstLine="556" w:firstLineChars="196"/>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2018年政府采购总支出</w:t>
      </w:r>
      <w:r>
        <w:rPr>
          <w:rFonts w:hint="eastAsia" w:asciiTheme="minorEastAsia" w:hAnsiTheme="minorEastAsia" w:eastAsiaTheme="minorEastAsia" w:cstheme="minorEastAsia"/>
          <w:color w:val="000000"/>
          <w:spacing w:val="2"/>
          <w:sz w:val="28"/>
          <w:szCs w:val="28"/>
          <w:lang w:val="en-US" w:eastAsia="zh-CN"/>
        </w:rPr>
        <w:t>58134458</w:t>
      </w:r>
      <w:r>
        <w:rPr>
          <w:rFonts w:hint="eastAsia" w:asciiTheme="minorEastAsia" w:hAnsiTheme="minorEastAsia" w:eastAsiaTheme="minorEastAsia" w:cstheme="minorEastAsia"/>
          <w:color w:val="000000"/>
          <w:spacing w:val="2"/>
          <w:sz w:val="28"/>
          <w:szCs w:val="28"/>
        </w:rPr>
        <w:t>元，其中政府采购货物支出81718元，政府采购工程支出</w:t>
      </w:r>
      <w:r>
        <w:rPr>
          <w:rFonts w:hint="eastAsia" w:asciiTheme="minorEastAsia" w:hAnsiTheme="minorEastAsia" w:eastAsiaTheme="minorEastAsia" w:cstheme="minorEastAsia"/>
          <w:color w:val="000000"/>
          <w:spacing w:val="2"/>
          <w:sz w:val="28"/>
          <w:szCs w:val="28"/>
          <w:lang w:val="en-US" w:eastAsia="zh-CN"/>
        </w:rPr>
        <w:t>58000000</w:t>
      </w:r>
      <w:r>
        <w:rPr>
          <w:rFonts w:hint="eastAsia" w:asciiTheme="minorEastAsia" w:hAnsiTheme="minorEastAsia" w:eastAsiaTheme="minorEastAsia" w:cstheme="minorEastAsia"/>
          <w:color w:val="000000"/>
          <w:spacing w:val="2"/>
          <w:sz w:val="28"/>
          <w:szCs w:val="28"/>
        </w:rPr>
        <w:t>元，政府采购服务支出52740元。</w:t>
      </w:r>
    </w:p>
    <w:p>
      <w:pPr>
        <w:widowControl/>
        <w:ind w:firstLine="559" w:firstLineChars="196"/>
        <w:rPr>
          <w:rFonts w:hint="eastAsia" w:asciiTheme="minorEastAsia" w:hAnsiTheme="minorEastAsia" w:eastAsiaTheme="minorEastAsia" w:cstheme="minorEastAsia"/>
          <w:b/>
          <w:bCs/>
          <w:color w:val="000000"/>
          <w:spacing w:val="2"/>
          <w:sz w:val="28"/>
          <w:szCs w:val="28"/>
        </w:rPr>
      </w:pPr>
      <w:r>
        <w:rPr>
          <w:rFonts w:hint="eastAsia" w:asciiTheme="minorEastAsia" w:hAnsiTheme="minorEastAsia" w:eastAsiaTheme="minorEastAsia" w:cstheme="minorEastAsia"/>
          <w:b/>
          <w:bCs/>
          <w:color w:val="000000"/>
          <w:spacing w:val="2"/>
          <w:sz w:val="28"/>
          <w:szCs w:val="28"/>
        </w:rPr>
        <w:t>（五）关于国有资产占用情况说明</w:t>
      </w:r>
    </w:p>
    <w:p>
      <w:pPr>
        <w:widowControl/>
        <w:ind w:firstLine="556" w:firstLineChars="196"/>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截至2018年12月31日，本单位共有车辆1辆，为市政设施应急抢险皮卡车，其中领导干部用车0辆，一般执法执勤用车0辆，特种专业技术用车0辆，其它用车0辆（不含区园林绿化处皮卡车1辆，洒水车2辆，四门六座车辆1辆）。</w:t>
      </w:r>
    </w:p>
    <w:p>
      <w:pPr>
        <w:widowControl/>
        <w:ind w:firstLine="556" w:firstLineChars="196"/>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截至2017年12月31日，本单位共有车辆1辆，为市政设施应急抢险皮卡车，其中领导干部用车0辆，一般执法执勤用车0辆，特种专业技术用车0辆，其它用车0辆。</w:t>
      </w:r>
    </w:p>
    <w:p>
      <w:pPr>
        <w:widowControl/>
        <w:ind w:firstLine="556" w:firstLineChars="196"/>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2018年与2017年对比没有变化（不含区园林绿化处皮卡车1辆，洒水车2辆，四门六座车辆1辆）。</w:t>
      </w:r>
    </w:p>
    <w:p>
      <w:pPr>
        <w:widowControl/>
        <w:ind w:firstLine="556" w:firstLineChars="196"/>
        <w:rPr>
          <w:rFonts w:hint="eastAsia" w:asciiTheme="minorEastAsia" w:hAnsiTheme="minorEastAsia" w:eastAsiaTheme="minorEastAsia" w:cstheme="minorEastAsia"/>
          <w:color w:val="000000"/>
          <w:spacing w:val="2"/>
          <w:sz w:val="28"/>
          <w:szCs w:val="28"/>
        </w:rPr>
      </w:pPr>
    </w:p>
    <w:p>
      <w:pPr>
        <w:widowControl/>
        <w:ind w:firstLine="556" w:firstLineChars="196"/>
        <w:rPr>
          <w:rFonts w:hint="eastAsia" w:asciiTheme="minorEastAsia" w:hAnsiTheme="minorEastAsia" w:eastAsiaTheme="minorEastAsia" w:cstheme="minorEastAsia"/>
          <w:color w:val="000000"/>
          <w:spacing w:val="2"/>
          <w:sz w:val="28"/>
          <w:szCs w:val="28"/>
        </w:rPr>
      </w:pPr>
    </w:p>
    <w:p>
      <w:pPr>
        <w:widowControl/>
        <w:ind w:firstLine="556" w:firstLineChars="196"/>
        <w:rPr>
          <w:rFonts w:hint="eastAsia" w:asciiTheme="minorEastAsia" w:hAnsiTheme="minorEastAsia" w:eastAsiaTheme="minorEastAsia" w:cstheme="minorEastAsia"/>
          <w:color w:val="000000"/>
          <w:spacing w:val="2"/>
          <w:sz w:val="28"/>
          <w:szCs w:val="28"/>
        </w:rPr>
      </w:pPr>
    </w:p>
    <w:p>
      <w:pPr>
        <w:widowControl/>
        <w:numPr>
          <w:ilvl w:val="0"/>
          <w:numId w:val="2"/>
        </w:numPr>
        <w:rPr>
          <w:rFonts w:hint="eastAsia" w:ascii="微软雅黑" w:hAnsi="微软雅黑" w:eastAsia="微软雅黑" w:cs="微软雅黑"/>
          <w:b/>
          <w:bCs/>
          <w:color w:val="000000"/>
          <w:spacing w:val="2"/>
          <w:sz w:val="24"/>
          <w:szCs w:val="24"/>
        </w:rPr>
      </w:pPr>
      <w:r>
        <w:rPr>
          <w:rFonts w:hint="eastAsia" w:ascii="微软雅黑" w:hAnsi="微软雅黑" w:eastAsia="微软雅黑" w:cs="微软雅黑"/>
          <w:b/>
          <w:bCs/>
          <w:color w:val="000000"/>
          <w:spacing w:val="2"/>
          <w:sz w:val="24"/>
          <w:szCs w:val="24"/>
        </w:rPr>
        <w:t>名词解释</w:t>
      </w:r>
    </w:p>
    <w:p>
      <w:pPr>
        <w:keepNext w:val="0"/>
        <w:keepLines w:val="0"/>
        <w:pageBreakBefore w:val="0"/>
        <w:widowControl/>
        <w:numPr>
          <w:ilvl w:val="0"/>
          <w:numId w:val="0"/>
        </w:numPr>
        <w:kinsoku/>
        <w:wordWrap/>
        <w:overflowPunct/>
        <w:topLinePunct w:val="0"/>
        <w:autoSpaceDE/>
        <w:autoSpaceDN/>
        <w:bidi w:val="0"/>
        <w:adjustRightInd/>
        <w:snapToGrid/>
        <w:ind w:firstLine="568"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（一）财政拨款（补助）：指区级财政当年拨付的资金。</w:t>
      </w:r>
    </w:p>
    <w:p>
      <w:pPr>
        <w:keepNext w:val="0"/>
        <w:keepLines w:val="0"/>
        <w:pageBreakBefore w:val="0"/>
        <w:widowControl/>
        <w:kinsoku/>
        <w:wordWrap/>
        <w:overflowPunct/>
        <w:topLinePunct w:val="0"/>
        <w:autoSpaceDE/>
        <w:autoSpaceDN/>
        <w:bidi w:val="0"/>
        <w:adjustRightInd/>
        <w:snapToGrid/>
        <w:ind w:left="559" w:leftChars="266" w:firstLine="0" w:firstLineChars="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（二）事业收入：指事业单位开展专业业务活动及其辅助活动取得的收入。</w:t>
      </w:r>
      <w:r>
        <w:rPr>
          <w:rFonts w:hint="eastAsia" w:asciiTheme="minorEastAsia" w:hAnsiTheme="minorEastAsia" w:eastAsiaTheme="minorEastAsia" w:cstheme="minorEastAsia"/>
          <w:color w:val="000000"/>
          <w:spacing w:val="2"/>
          <w:sz w:val="28"/>
          <w:szCs w:val="28"/>
        </w:rPr>
        <w:br w:type="textWrapping"/>
      </w:r>
      <w:r>
        <w:rPr>
          <w:rFonts w:hint="eastAsia" w:asciiTheme="minorEastAsia" w:hAnsiTheme="minorEastAsia" w:eastAsiaTheme="minorEastAsia" w:cstheme="minorEastAsia"/>
          <w:color w:val="000000"/>
          <w:spacing w:val="2"/>
          <w:sz w:val="28"/>
          <w:szCs w:val="28"/>
        </w:rPr>
        <w:t>（三）其他收入：指预算单位在“财政拨款补助收入”、“事业收入”、“经营收入”以外取得的收入。</w:t>
      </w:r>
      <w:r>
        <w:rPr>
          <w:rFonts w:hint="eastAsia" w:asciiTheme="minorEastAsia" w:hAnsiTheme="minorEastAsia" w:eastAsiaTheme="minorEastAsia" w:cstheme="minorEastAsia"/>
          <w:color w:val="000000"/>
          <w:spacing w:val="2"/>
          <w:sz w:val="28"/>
          <w:szCs w:val="28"/>
        </w:rPr>
        <w:br w:type="textWrapping"/>
      </w:r>
      <w:r>
        <w:rPr>
          <w:rFonts w:hint="eastAsia" w:asciiTheme="minorEastAsia" w:hAnsiTheme="minorEastAsia" w:eastAsiaTheme="minorEastAsia" w:cstheme="minorEastAsia"/>
          <w:color w:val="000000"/>
          <w:spacing w:val="2"/>
          <w:sz w:val="28"/>
          <w:szCs w:val="28"/>
        </w:rPr>
        <w:t>（四）上年结转：指以前年度尚未完成、结转到本年仍按原规定用途继续使用的资金。</w:t>
      </w:r>
      <w:r>
        <w:rPr>
          <w:rFonts w:hint="eastAsia" w:asciiTheme="minorEastAsia" w:hAnsiTheme="minorEastAsia" w:eastAsiaTheme="minorEastAsia" w:cstheme="minorEastAsia"/>
          <w:color w:val="000000"/>
          <w:spacing w:val="2"/>
          <w:sz w:val="28"/>
          <w:szCs w:val="28"/>
        </w:rPr>
        <w:br w:type="textWrapping"/>
      </w:r>
      <w:r>
        <w:rPr>
          <w:rFonts w:hint="eastAsia" w:asciiTheme="minorEastAsia" w:hAnsiTheme="minorEastAsia" w:eastAsiaTheme="minorEastAsia" w:cstheme="minorEastAsia"/>
          <w:color w:val="000000"/>
          <w:spacing w:val="2"/>
          <w:sz w:val="28"/>
          <w:szCs w:val="28"/>
        </w:rPr>
        <w:t>（五）基本支出：指为保障机构正常运转、完成日常工作任务而发生的人员支出和公用支出。</w:t>
      </w:r>
      <w:r>
        <w:rPr>
          <w:rFonts w:hint="eastAsia" w:asciiTheme="minorEastAsia" w:hAnsiTheme="minorEastAsia" w:eastAsiaTheme="minorEastAsia" w:cstheme="minorEastAsia"/>
          <w:color w:val="000000"/>
          <w:spacing w:val="2"/>
          <w:sz w:val="28"/>
          <w:szCs w:val="28"/>
        </w:rPr>
        <w:br w:type="textWrapping"/>
      </w:r>
      <w:r>
        <w:rPr>
          <w:rFonts w:hint="eastAsia" w:asciiTheme="minorEastAsia" w:hAnsiTheme="minorEastAsia" w:eastAsiaTheme="minorEastAsia" w:cstheme="minorEastAsia"/>
          <w:color w:val="000000"/>
          <w:spacing w:val="2"/>
          <w:sz w:val="28"/>
          <w:szCs w:val="28"/>
        </w:rPr>
        <w:t>（六）项目支出：指为完成特定的行政工作任务或事业发展目标，在基本支出之外发生的各项支出。</w:t>
      </w:r>
    </w:p>
    <w:p>
      <w:pPr>
        <w:keepNext w:val="0"/>
        <w:keepLines w:val="0"/>
        <w:pageBreakBefore w:val="0"/>
        <w:widowControl/>
        <w:kinsoku/>
        <w:wordWrap/>
        <w:overflowPunct/>
        <w:topLinePunct w:val="0"/>
        <w:autoSpaceDE/>
        <w:autoSpaceDN/>
        <w:bidi w:val="0"/>
        <w:adjustRightInd/>
        <w:snapToGrid/>
        <w:ind w:firstLine="568"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keepNext w:val="0"/>
        <w:keepLines w:val="0"/>
        <w:pageBreakBefore w:val="0"/>
        <w:widowControl/>
        <w:kinsoku/>
        <w:wordWrap/>
        <w:overflowPunct/>
        <w:topLinePunct w:val="0"/>
        <w:autoSpaceDE/>
        <w:autoSpaceDN/>
        <w:bidi w:val="0"/>
        <w:adjustRightInd/>
        <w:snapToGrid/>
        <w:ind w:firstLine="568"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（八）行政运行（项）：指机关和实行公务员法管理事业单位用于保障机构正常运转的基本支出。</w:t>
      </w:r>
    </w:p>
    <w:p>
      <w:pPr>
        <w:widowControl/>
        <w:ind w:firstLine="556" w:firstLineChars="196"/>
        <w:rPr>
          <w:rFonts w:hint="eastAsia" w:asciiTheme="minorEastAsia" w:hAnsiTheme="minorEastAsia" w:eastAsiaTheme="minorEastAsia" w:cstheme="minorEastAsia"/>
          <w:color w:val="000000"/>
          <w:spacing w:val="2"/>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15CDBA"/>
    <w:multiLevelType w:val="singleLevel"/>
    <w:tmpl w:val="8A15CDBA"/>
    <w:lvl w:ilvl="0" w:tentative="0">
      <w:start w:val="1"/>
      <w:numFmt w:val="chineseCounting"/>
      <w:suff w:val="nothing"/>
      <w:lvlText w:val="（%1）"/>
      <w:lvlJc w:val="left"/>
      <w:rPr>
        <w:rFonts w:hint="eastAsia"/>
      </w:rPr>
    </w:lvl>
  </w:abstractNum>
  <w:abstractNum w:abstractNumId="1">
    <w:nsid w:val="95EF768B"/>
    <w:multiLevelType w:val="singleLevel"/>
    <w:tmpl w:val="95EF768B"/>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A58"/>
    <w:rsid w:val="0056348D"/>
    <w:rsid w:val="00583E30"/>
    <w:rsid w:val="00845A58"/>
    <w:rsid w:val="008D5163"/>
    <w:rsid w:val="009B541F"/>
    <w:rsid w:val="009F05D1"/>
    <w:rsid w:val="00A745B5"/>
    <w:rsid w:val="00B64A6D"/>
    <w:rsid w:val="00C319E4"/>
    <w:rsid w:val="00D3719C"/>
    <w:rsid w:val="00D83DBC"/>
    <w:rsid w:val="00FC39BD"/>
    <w:rsid w:val="0664587B"/>
    <w:rsid w:val="073A1613"/>
    <w:rsid w:val="0E836A5F"/>
    <w:rsid w:val="191A225F"/>
    <w:rsid w:val="228A65CA"/>
    <w:rsid w:val="24555A5F"/>
    <w:rsid w:val="255E033E"/>
    <w:rsid w:val="289C3E82"/>
    <w:rsid w:val="2C203A0A"/>
    <w:rsid w:val="32BD01BE"/>
    <w:rsid w:val="38203263"/>
    <w:rsid w:val="385A29BC"/>
    <w:rsid w:val="3C2D5DD2"/>
    <w:rsid w:val="4D8444A4"/>
    <w:rsid w:val="62025AF4"/>
    <w:rsid w:val="67F603AA"/>
    <w:rsid w:val="692B2102"/>
    <w:rsid w:val="70A32328"/>
    <w:rsid w:val="746766E2"/>
    <w:rsid w:val="78186405"/>
    <w:rsid w:val="7ED07D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Balloon Text"/>
    <w:basedOn w:val="1"/>
    <w:link w:val="16"/>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paragraph" w:customStyle="1" w:styleId="11">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2">
    <w:name w:val="ca-2"/>
    <w:basedOn w:val="9"/>
    <w:qFormat/>
    <w:uiPriority w:val="0"/>
  </w:style>
  <w:style w:type="paragraph" w:customStyle="1" w:styleId="13">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
    <w:name w:val="页眉 Char"/>
    <w:basedOn w:val="9"/>
    <w:link w:val="6"/>
    <w:qFormat/>
    <w:uiPriority w:val="0"/>
    <w:rPr>
      <w:rFonts w:asciiTheme="minorHAnsi" w:hAnsiTheme="minorHAnsi" w:eastAsiaTheme="minorEastAsia" w:cstheme="minorBidi"/>
      <w:kern w:val="2"/>
      <w:sz w:val="18"/>
      <w:szCs w:val="18"/>
    </w:rPr>
  </w:style>
  <w:style w:type="character" w:customStyle="1" w:styleId="15">
    <w:name w:val="页脚 Char"/>
    <w:basedOn w:val="9"/>
    <w:link w:val="5"/>
    <w:qFormat/>
    <w:uiPriority w:val="0"/>
    <w:rPr>
      <w:rFonts w:asciiTheme="minorHAnsi" w:hAnsiTheme="minorHAnsi" w:eastAsiaTheme="minorEastAsia" w:cstheme="minorBidi"/>
      <w:kern w:val="2"/>
      <w:sz w:val="18"/>
      <w:szCs w:val="18"/>
    </w:rPr>
  </w:style>
  <w:style w:type="character" w:customStyle="1" w:styleId="16">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838</Words>
  <Characters>4777</Characters>
  <Lines>39</Lines>
  <Paragraphs>11</Paragraphs>
  <TotalTime>0</TotalTime>
  <ScaleCrop>false</ScaleCrop>
  <LinksUpToDate>false</LinksUpToDate>
  <CharactersWithSpaces>5604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asd</cp:lastModifiedBy>
  <dcterms:modified xsi:type="dcterms:W3CDTF">2020-08-11T08:34:13Z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