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黄石港区建设局20</w:t>
      </w:r>
      <w:r>
        <w:rPr>
          <w:rFonts w:hint="eastAsia" w:ascii="微软雅黑" w:hAnsi="微软雅黑" w:eastAsia="微软雅黑" w:cs="微软雅黑"/>
          <w:color w:val="BC1010"/>
          <w:sz w:val="40"/>
          <w:szCs w:val="40"/>
          <w:shd w:val="clear" w:color="auto" w:fill="FFFFFF"/>
          <w:lang w:val="en-US" w:eastAsia="zh-CN"/>
        </w:rPr>
        <w:t>20</w:t>
      </w:r>
      <w:r>
        <w:rPr>
          <w:rFonts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黄石港区建设局20</w:t>
      </w:r>
      <w:r>
        <w:rPr>
          <w:rStyle w:val="9"/>
          <w:rFonts w:hint="eastAsia" w:ascii="微软雅黑" w:hAnsi="微软雅黑" w:eastAsia="微软雅黑" w:cs="微软雅黑"/>
          <w:color w:val="333333"/>
          <w:shd w:val="clear" w:color="auto" w:fill="FFFFFF"/>
          <w:lang w:val="en-US" w:eastAsia="zh-CN"/>
        </w:rPr>
        <w:t>20</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第一部分:部门基本情况</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一、部门主要职责</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二、部门决算单位构成</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第二部分: 部门</w:t>
      </w:r>
      <w:r>
        <w:rPr>
          <w:rFonts w:hint="eastAsia" w:ascii="微软雅黑" w:hAnsi="微软雅黑" w:eastAsia="微软雅黑" w:cs="微软雅黑"/>
          <w:color w:val="333333"/>
          <w:shd w:val="clear" w:color="090000" w:fill="FFFFFF"/>
          <w:lang w:eastAsia="zh-CN"/>
        </w:rPr>
        <w:t>2020</w:t>
      </w:r>
      <w:r>
        <w:rPr>
          <w:rFonts w:hint="eastAsia" w:ascii="微软雅黑" w:hAnsi="微软雅黑" w:eastAsia="微软雅黑" w:cs="微软雅黑"/>
          <w:color w:val="333333"/>
          <w:shd w:val="clear" w:color="090000" w:fill="FFFFFF"/>
        </w:rPr>
        <w:t>年部门决算表</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一、收入支出决算总表（表1）</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二、收入决算表（表2）</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三、支出决算表（表3）</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四、财政拨款收入支出决算总表（表4）</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五、一般公共预算财政拨款支出决算表（表5）</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六、一般公共预算财政拨款基本支出决算表（表6）</w:t>
      </w:r>
    </w:p>
    <w:p>
      <w:pPr>
        <w:pStyle w:val="13"/>
        <w:spacing w:before="76" w:beforeAutospacing="0" w:after="76" w:afterAutospacing="0" w:line="450" w:lineRule="atLeast"/>
        <w:ind w:firstLine="420"/>
        <w:rPr>
          <w:rFonts w:hint="eastAsia" w:ascii="微软雅黑" w:hAnsi="微软雅黑" w:eastAsia="微软雅黑" w:cs="微软雅黑"/>
          <w:color w:val="333333"/>
          <w:shd w:val="clear" w:color="090000" w:fill="FFFFFF"/>
        </w:rPr>
      </w:pPr>
      <w:r>
        <w:rPr>
          <w:rFonts w:hint="eastAsia" w:ascii="微软雅黑" w:hAnsi="微软雅黑" w:eastAsia="微软雅黑" w:cs="微软雅黑"/>
          <w:color w:val="333333"/>
          <w:shd w:val="clear" w:color="090000" w:fill="FFFFFF"/>
        </w:rPr>
        <w:t>七、一般公共预算财政拨款“三公”经费支出决算表（表7）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color w:val="333333"/>
          <w:shd w:val="clear" w:color="09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第三部分：部门</w:t>
      </w:r>
      <w:r>
        <w:rPr>
          <w:rFonts w:hint="eastAsia" w:ascii="微软雅黑" w:hAnsi="微软雅黑" w:eastAsia="微软雅黑" w:cs="微软雅黑"/>
          <w:color w:val="333333"/>
          <w:shd w:val="clear" w:color="090000" w:fill="FFFFFF"/>
          <w:lang w:eastAsia="zh-CN"/>
        </w:rPr>
        <w:t>2020</w:t>
      </w:r>
      <w:r>
        <w:rPr>
          <w:rFonts w:hint="eastAsia" w:ascii="微软雅黑" w:hAnsi="微软雅黑" w:eastAsia="微软雅黑" w:cs="微软雅黑"/>
          <w:color w:val="333333"/>
          <w:shd w:val="clear" w:color="090000" w:fill="FFFFFF"/>
        </w:rPr>
        <w:t>年部门决算情况说明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一、预算执行情况分析</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二、关于“三公”经费支出说明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三、关于机关运行经费支出说明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四、关于政府采购支出说明</w:t>
      </w:r>
    </w:p>
    <w:p>
      <w:pPr>
        <w:pStyle w:val="13"/>
        <w:spacing w:before="76" w:beforeAutospacing="0" w:after="76" w:afterAutospacing="0" w:line="450" w:lineRule="atLeast"/>
        <w:ind w:firstLine="420"/>
        <w:rPr>
          <w:rFonts w:hint="eastAsia"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13"/>
        <w:spacing w:before="76" w:beforeAutospacing="0" w:after="76" w:afterAutospacing="0" w:line="450" w:lineRule="atLeast"/>
        <w:ind w:firstLine="420"/>
        <w:rPr>
          <w:rFonts w:hint="eastAsia" w:ascii="微软雅黑" w:hAnsi="微软雅黑" w:eastAsia="微软雅黑" w:cs="微软雅黑"/>
          <w:color w:val="333333"/>
          <w:shd w:val="clear" w:color="080000" w:fill="FFFFFF"/>
        </w:rPr>
      </w:pP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第四部分：名词解释 </w:t>
      </w: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lang w:eastAsia="zh-CN"/>
        </w:rPr>
        <w:t>2020</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第一部分部门概况</w:t>
      </w:r>
    </w:p>
    <w:p>
      <w:pPr>
        <w:numPr>
          <w:ilvl w:val="0"/>
          <w:numId w:val="1"/>
        </w:numPr>
        <w:spacing w:line="560" w:lineRule="exact"/>
        <w:ind w:firstLine="488" w:firstLineChars="200"/>
        <w:rPr>
          <w:color w:val="000000"/>
          <w:spacing w:val="2"/>
          <w:sz w:val="24"/>
        </w:rPr>
      </w:pPr>
      <w:r>
        <w:rPr>
          <w:rFonts w:hint="eastAsia" w:hAnsi="宋体"/>
          <w:color w:val="000000"/>
          <w:spacing w:val="2"/>
          <w:sz w:val="24"/>
        </w:rPr>
        <w:t>主要职能</w:t>
      </w:r>
    </w:p>
    <w:p>
      <w:pPr>
        <w:spacing w:line="520" w:lineRule="exact"/>
        <w:ind w:firstLine="480" w:firstLineChars="200"/>
        <w:rPr>
          <w:rFonts w:ascii="宋体" w:hAnsi="宋体" w:eastAsia="宋体" w:cs="宋体"/>
          <w:sz w:val="24"/>
          <w:szCs w:val="24"/>
        </w:rPr>
      </w:pPr>
      <w:r>
        <w:rPr>
          <w:rFonts w:ascii="宋体" w:hAnsi="宋体" w:eastAsia="宋体" w:cs="宋体"/>
          <w:sz w:val="24"/>
          <w:szCs w:val="24"/>
        </w:rPr>
        <w:t>贯彻执行国家、省、市以及区政府的城市建设工作方针、政策、路线、发展战略和改革方案；负责制订全区城市建设事业发展战略、中长期规划、城区建设总体规划、分片规划、专业规划、年度计划和行业、产业政策、改革方案，并组织实施。协助市住建局局对本辖区建筑行业进行管理；负责区管道路、排水管网的疏浚维护，防涝排渍管理、临时占用或挖掘城市道路的审批等市政设施维护管理以及城市绿化维护工作；负责区政府的重点建设工程建设；负责辖区城市基础设施项目建设；负责辖区人民防空工作各项规划及有关规定，负责人防专项经费的管理，负责辖区内市民的人民防空知识的普及和宣传教育工作。</w:t>
      </w:r>
    </w:p>
    <w:p>
      <w:pPr>
        <w:spacing w:line="520" w:lineRule="exact"/>
        <w:ind w:firstLine="488" w:firstLineChars="200"/>
        <w:rPr>
          <w:rFonts w:hAnsi="宋体"/>
          <w:color w:val="000000"/>
          <w:spacing w:val="2"/>
          <w:sz w:val="24"/>
        </w:rPr>
      </w:pPr>
      <w:r>
        <w:rPr>
          <w:rFonts w:hint="eastAsia" w:hAnsi="宋体"/>
          <w:color w:val="000000"/>
          <w:spacing w:val="2"/>
          <w:sz w:val="24"/>
        </w:rPr>
        <w:t>（二）机构情况</w:t>
      </w:r>
    </w:p>
    <w:p>
      <w:pPr>
        <w:spacing w:line="520" w:lineRule="exact"/>
        <w:ind w:firstLine="488" w:firstLineChars="200"/>
        <w:rPr>
          <w:rFonts w:asciiTheme="minorEastAsia" w:hAnsiTheme="minorEastAsia" w:cstheme="minorEastAsia"/>
          <w:color w:val="000000"/>
          <w:spacing w:val="2"/>
          <w:sz w:val="24"/>
        </w:rPr>
      </w:pPr>
      <w:r>
        <w:rPr>
          <w:rFonts w:hint="eastAsia" w:asciiTheme="minorEastAsia" w:hAnsiTheme="minorEastAsia" w:cstheme="minorEastAsia"/>
          <w:color w:val="000000"/>
          <w:spacing w:val="2"/>
          <w:sz w:val="24"/>
        </w:rPr>
        <w:t>黄石港区建设局为区政府工作部门，挂区人防办牌子。</w:t>
      </w:r>
      <w:r>
        <w:rPr>
          <w:rFonts w:hint="eastAsia" w:asciiTheme="minorEastAsia" w:hAnsiTheme="minorEastAsia" w:cstheme="minorEastAsia"/>
          <w:bCs/>
          <w:sz w:val="24"/>
        </w:rPr>
        <w:t>内设三办三科（办公室、老城提质办、黑臭水体办、基础设施科、城市绿化科、交通管理科）。</w:t>
      </w:r>
    </w:p>
    <w:p>
      <w:pPr>
        <w:spacing w:line="520" w:lineRule="exact"/>
        <w:ind w:firstLine="488" w:firstLineChars="200"/>
        <w:rPr>
          <w:rFonts w:hAnsi="宋体"/>
          <w:color w:val="000000"/>
          <w:spacing w:val="2"/>
          <w:sz w:val="24"/>
        </w:rPr>
      </w:pPr>
      <w:r>
        <w:rPr>
          <w:rFonts w:hint="eastAsia" w:hAnsi="宋体"/>
          <w:color w:val="000000"/>
          <w:spacing w:val="2"/>
          <w:sz w:val="24"/>
        </w:rPr>
        <w:t>（三）人员情况</w:t>
      </w:r>
    </w:p>
    <w:p>
      <w:pPr>
        <w:spacing w:line="520" w:lineRule="exact"/>
        <w:ind w:firstLine="488" w:firstLineChars="200"/>
        <w:rPr>
          <w:rFonts w:hAnsi="宋体"/>
          <w:color w:val="000000"/>
          <w:spacing w:val="2"/>
          <w:sz w:val="24"/>
        </w:rPr>
      </w:pPr>
      <w:r>
        <w:rPr>
          <w:rFonts w:hint="eastAsia" w:hAnsi="宋体"/>
          <w:color w:val="000000"/>
          <w:spacing w:val="2"/>
          <w:sz w:val="24"/>
        </w:rPr>
        <w:t>单位编制10名，其中行政编制3名，事业编制7名。实有人数</w:t>
      </w:r>
      <w:r>
        <w:rPr>
          <w:rFonts w:hint="eastAsia" w:hAnsi="宋体"/>
          <w:color w:val="000000"/>
          <w:spacing w:val="2"/>
          <w:sz w:val="24"/>
          <w:lang w:val="en-US" w:eastAsia="zh-CN"/>
        </w:rPr>
        <w:t>18</w:t>
      </w:r>
      <w:r>
        <w:rPr>
          <w:rFonts w:hint="eastAsia" w:hAnsi="宋体"/>
          <w:color w:val="000000"/>
          <w:spacing w:val="2"/>
          <w:sz w:val="24"/>
        </w:rPr>
        <w:t>人，其中参公事业编制1人,事业编制</w:t>
      </w:r>
      <w:r>
        <w:rPr>
          <w:rFonts w:hint="eastAsia" w:hAnsi="宋体"/>
          <w:color w:val="000000"/>
          <w:spacing w:val="2"/>
          <w:sz w:val="24"/>
          <w:lang w:val="en-US" w:eastAsia="zh-CN"/>
        </w:rPr>
        <w:t>8</w:t>
      </w:r>
      <w:r>
        <w:rPr>
          <w:rFonts w:hint="eastAsia" w:hAnsi="宋体"/>
          <w:color w:val="000000"/>
          <w:spacing w:val="2"/>
          <w:sz w:val="24"/>
        </w:rPr>
        <w:t>人，区内编制1人，政府雇员4人，三支一扶1人，借用人员</w:t>
      </w:r>
      <w:r>
        <w:rPr>
          <w:rFonts w:hint="eastAsia" w:hAnsi="宋体"/>
          <w:color w:val="000000"/>
          <w:spacing w:val="2"/>
          <w:sz w:val="24"/>
          <w:lang w:val="en-US" w:eastAsia="zh-CN"/>
        </w:rPr>
        <w:t>3</w:t>
      </w:r>
      <w:r>
        <w:rPr>
          <w:rFonts w:hint="eastAsia" w:hAnsi="宋体"/>
          <w:color w:val="000000"/>
          <w:spacing w:val="2"/>
          <w:sz w:val="24"/>
        </w:rPr>
        <w:t>人。</w:t>
      </w:r>
    </w:p>
    <w:p>
      <w:pPr>
        <w:keepNext w:val="0"/>
        <w:keepLines w:val="0"/>
        <w:widowControl/>
        <w:suppressLineNumbers w:val="0"/>
        <w:jc w:val="left"/>
      </w:pPr>
      <w:r>
        <w:rPr>
          <w:rFonts w:hint="eastAsia" w:ascii="微软雅黑" w:hAnsi="微软雅黑" w:eastAsia="微软雅黑" w:cs="微软雅黑"/>
          <w:b/>
          <w:bCs/>
        </w:rPr>
        <w:t>第二部分：部门</w:t>
      </w:r>
      <w:r>
        <w:rPr>
          <w:rFonts w:hint="eastAsia" w:ascii="微软雅黑" w:hAnsi="微软雅黑" w:eastAsia="微软雅黑" w:cs="微软雅黑"/>
          <w:b/>
          <w:bCs/>
          <w:lang w:eastAsia="zh-CN"/>
        </w:rPr>
        <w:t>2020</w:t>
      </w:r>
      <w:r>
        <w:rPr>
          <w:rFonts w:hint="eastAsia" w:ascii="微软雅黑" w:hAnsi="微软雅黑" w:eastAsia="微软雅黑" w:cs="微软雅黑"/>
          <w:b/>
          <w:bCs/>
        </w:rPr>
        <w:t>年部门决算表</w:t>
      </w:r>
      <w:r>
        <w:rPr>
          <w:rFonts w:ascii="宋体" w:hAnsi="宋体" w:eastAsia="宋体" w:cs="宋体"/>
          <w:kern w:val="0"/>
          <w:sz w:val="24"/>
          <w:szCs w:val="24"/>
          <w:lang w:val="en-US" w:eastAsia="zh-CN" w:bidi="ar"/>
        </w:rPr>
        <w:drawing>
          <wp:inline distT="0" distB="0" distL="114300" distR="114300">
            <wp:extent cx="8976995" cy="4735195"/>
            <wp:effectExtent l="0" t="0" r="14605"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976995" cy="4735195"/>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8944610" cy="3885565"/>
            <wp:effectExtent l="0" t="0" r="8890" b="63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8944610" cy="3885565"/>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9076690" cy="4105275"/>
            <wp:effectExtent l="0" t="0" r="1016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9076690" cy="4105275"/>
                    </a:xfrm>
                    <a:prstGeom prst="rect">
                      <a:avLst/>
                    </a:prstGeom>
                    <a:noFill/>
                    <a:ln w="9525">
                      <a:noFill/>
                    </a:ln>
                  </pic:spPr>
                </pic:pic>
              </a:graphicData>
            </a:graphic>
          </wp:inline>
        </w:drawing>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widowControl/>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896350" cy="5398135"/>
            <wp:effectExtent l="0" t="0" r="0" b="12065"/>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7"/>
                    <a:stretch>
                      <a:fillRect/>
                    </a:stretch>
                  </pic:blipFill>
                  <pic:spPr>
                    <a:xfrm>
                      <a:off x="0" y="0"/>
                      <a:ext cx="8896350" cy="539813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144000" cy="4610100"/>
            <wp:effectExtent l="0" t="0" r="0" b="0"/>
            <wp:docPr id="14"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IMG_256"/>
                    <pic:cNvPicPr>
                      <a:picLocks noChangeAspect="1"/>
                    </pic:cNvPicPr>
                  </pic:nvPicPr>
                  <pic:blipFill>
                    <a:blip r:embed="rId8"/>
                    <a:stretch>
                      <a:fillRect/>
                    </a:stretch>
                  </pic:blipFill>
                  <pic:spPr>
                    <a:xfrm>
                      <a:off x="0" y="0"/>
                      <a:ext cx="9144000" cy="46101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192895" cy="5288280"/>
            <wp:effectExtent l="0" t="0" r="8255" b="7620"/>
            <wp:docPr id="15"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IMG_256"/>
                    <pic:cNvPicPr>
                      <a:picLocks noChangeAspect="1"/>
                    </pic:cNvPicPr>
                  </pic:nvPicPr>
                  <pic:blipFill>
                    <a:blip r:embed="rId9"/>
                    <a:stretch>
                      <a:fillRect/>
                    </a:stretch>
                  </pic:blipFill>
                  <pic:spPr>
                    <a:xfrm>
                      <a:off x="0" y="0"/>
                      <a:ext cx="9192895" cy="5288280"/>
                    </a:xfrm>
                    <a:prstGeom prst="rect">
                      <a:avLst/>
                    </a:prstGeom>
                    <a:noFill/>
                    <a:ln w="9525">
                      <a:noFill/>
                    </a:ln>
                  </pic:spPr>
                </pic:pic>
              </a:graphicData>
            </a:graphic>
          </wp:inline>
        </w:drawing>
      </w:r>
    </w:p>
    <w:p>
      <w:pPr>
        <w:widowControl/>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137015" cy="2837180"/>
            <wp:effectExtent l="0" t="0" r="6985" b="1270"/>
            <wp:docPr id="16"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IMG_256"/>
                    <pic:cNvPicPr>
                      <a:picLocks noChangeAspect="1"/>
                    </pic:cNvPicPr>
                  </pic:nvPicPr>
                  <pic:blipFill>
                    <a:blip r:embed="rId10"/>
                    <a:stretch>
                      <a:fillRect/>
                    </a:stretch>
                  </pic:blipFill>
                  <pic:spPr>
                    <a:xfrm>
                      <a:off x="0" y="0"/>
                      <a:ext cx="9137015" cy="2837180"/>
                    </a:xfrm>
                    <a:prstGeom prst="rect">
                      <a:avLst/>
                    </a:prstGeom>
                    <a:noFill/>
                    <a:ln w="9525">
                      <a:noFill/>
                    </a:ln>
                  </pic:spPr>
                </pic:pic>
              </a:graphicData>
            </a:graphic>
          </wp:inline>
        </w:drawing>
      </w:r>
    </w:p>
    <w:p>
      <w:pPr>
        <w:widowControl/>
        <w:jc w:val="left"/>
      </w:pPr>
    </w:p>
    <w:p>
      <w:pPr>
        <w:widowControl/>
        <w:jc w:val="left"/>
      </w:pPr>
    </w:p>
    <w:p>
      <w:pPr>
        <w:widowControl/>
        <w:jc w:val="left"/>
      </w:pPr>
    </w:p>
    <w:p>
      <w:pPr>
        <w:widowControl/>
        <w:jc w:val="left"/>
      </w:pPr>
    </w:p>
    <w:p>
      <w:pPr>
        <w:widowControl/>
        <w:jc w:val="left"/>
      </w:pPr>
    </w:p>
    <w:tbl>
      <w:tblPr>
        <w:tblStyle w:val="10"/>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Layout w:type="fixed"/>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仿宋_GB2312" w:hAnsi="仿宋_GB2312" w:eastAsia="仿宋_GB2312" w:cs="仿宋_GB2312"/>
                <w:b/>
                <w:bCs/>
                <w:i w:val="0"/>
                <w:color w:val="000000"/>
                <w:kern w:val="0"/>
                <w:sz w:val="44"/>
                <w:szCs w:val="44"/>
                <w:u w:val="none"/>
                <w:lang w:val="en-US" w:eastAsia="zh-CN" w:bidi="ar"/>
              </w:rPr>
              <w:t>政府性基金预算财政拨款收入支出决算表</w:t>
            </w:r>
          </w:p>
        </w:tc>
      </w:tr>
      <w:tr>
        <w:tblPrEx>
          <w:shd w:val="clear" w:color="auto" w:fill="auto"/>
          <w:tblLayout w:type="fixed"/>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Layout w:type="fixed"/>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黄石市黄石港区建设局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Layout w:type="fixed"/>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shd w:val="clear" w:color="auto" w:fill="auto"/>
          <w:tblLayout w:type="fixed"/>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pPr>
    </w:p>
    <w:p>
      <w:pPr>
        <w:pStyle w:val="7"/>
        <w:widowControl/>
        <w:spacing w:before="76" w:beforeAutospacing="0" w:after="76" w:afterAutospacing="0" w:line="450" w:lineRule="atLeast"/>
        <w:jc w:val="both"/>
        <w:rPr>
          <w:rFonts w:hint="default" w:eastAsiaTheme="minorEastAsia"/>
          <w:lang w:val="en-US" w:eastAsia="zh-CN"/>
        </w:rPr>
        <w:sectPr>
          <w:pgSz w:w="16838" w:h="11906" w:orient="landscape"/>
          <w:pgMar w:top="1800" w:right="1440" w:bottom="1800" w:left="1440" w:header="851" w:footer="992" w:gutter="0"/>
          <w:cols w:space="425" w:num="1"/>
          <w:docGrid w:type="lines" w:linePitch="312" w:charSpace="0"/>
        </w:sectPr>
      </w:pPr>
    </w:p>
    <w:p>
      <w:pPr>
        <w:pStyle w:val="7"/>
        <w:widowControl/>
        <w:spacing w:before="76" w:beforeAutospacing="0" w:after="76" w:afterAutospacing="0" w:line="450" w:lineRule="atLeast"/>
        <w:rPr>
          <w:color w:val="333333"/>
        </w:rPr>
      </w:pPr>
      <w:r>
        <w:rPr>
          <w:rStyle w:val="9"/>
          <w:rFonts w:hint="eastAsia" w:ascii="微软雅黑" w:hAnsi="微软雅黑" w:eastAsia="微软雅黑" w:cs="微软雅黑"/>
          <w:color w:val="333333"/>
          <w:shd w:val="clear" w:color="auto" w:fill="FFFFFF"/>
        </w:rPr>
        <w:t>第三部分</w:t>
      </w:r>
      <w:r>
        <w:rPr>
          <w:rStyle w:val="9"/>
          <w:rFonts w:hint="eastAsia" w:ascii="微软雅黑" w:hAnsi="微软雅黑" w:eastAsia="微软雅黑" w:cs="微软雅黑"/>
          <w:color w:val="333333"/>
          <w:shd w:val="clear" w:color="auto" w:fill="FFFFFF"/>
          <w:lang w:eastAsia="zh-CN"/>
        </w:rPr>
        <w:t>2020</w:t>
      </w:r>
      <w:r>
        <w:rPr>
          <w:rStyle w:val="9"/>
          <w:rFonts w:hint="eastAsia" w:ascii="微软雅黑" w:hAnsi="微软雅黑" w:eastAsia="微软雅黑" w:cs="微软雅黑"/>
          <w:color w:val="333333"/>
          <w:shd w:val="clear" w:color="auto" w:fill="FFFFFF"/>
        </w:rPr>
        <w:t>年部门决算情况说明</w:t>
      </w:r>
    </w:p>
    <w:p>
      <w:pPr>
        <w:keepNext w:val="0"/>
        <w:keepLines w:val="0"/>
        <w:pageBreakBefore w:val="0"/>
        <w:widowControl/>
        <w:kinsoku/>
        <w:wordWrap/>
        <w:overflowPunct/>
        <w:topLinePunct w:val="0"/>
        <w:autoSpaceDE/>
        <w:autoSpaceDN/>
        <w:bidi w:val="0"/>
        <w:adjustRightInd/>
        <w:snapToGrid/>
        <w:spacing w:line="520" w:lineRule="exact"/>
        <w:ind w:firstLine="562" w:firstLineChars="200"/>
        <w:textAlignment w:val="auto"/>
        <w:rPr>
          <w:rFonts w:hAnsi="宋体"/>
          <w:b/>
          <w:bCs/>
          <w:color w:val="000000"/>
          <w:spacing w:val="2"/>
          <w:sz w:val="28"/>
          <w:szCs w:val="28"/>
        </w:rPr>
      </w:pPr>
      <w:r>
        <w:rPr>
          <w:rFonts w:hint="eastAsia" w:ascii="宋体" w:hAnsi="宋体" w:cs="宋体"/>
          <w:b/>
          <w:bCs/>
          <w:sz w:val="28"/>
          <w:szCs w:val="28"/>
        </w:rPr>
        <w:t>（一）预算执行情况分析</w:t>
      </w:r>
    </w:p>
    <w:p>
      <w:pPr>
        <w:keepNext w:val="0"/>
        <w:keepLines w:val="0"/>
        <w:pageBreakBefore w:val="0"/>
        <w:widowControl/>
        <w:kinsoku/>
        <w:wordWrap/>
        <w:overflowPunct/>
        <w:topLinePunct w:val="0"/>
        <w:autoSpaceDE/>
        <w:autoSpaceDN/>
        <w:bidi w:val="0"/>
        <w:adjustRightInd/>
        <w:snapToGrid/>
        <w:spacing w:line="520" w:lineRule="exact"/>
        <w:ind w:firstLine="548" w:firstLineChars="196"/>
        <w:textAlignment w:val="auto"/>
        <w:rPr>
          <w:rFonts w:hint="eastAsia" w:ascii="宋体" w:hAnsi="宋体"/>
          <w:kern w:val="0"/>
          <w:sz w:val="28"/>
          <w:szCs w:val="28"/>
        </w:rPr>
      </w:pPr>
      <w:r>
        <w:rPr>
          <w:rFonts w:hint="eastAsia" w:ascii="宋体" w:hAnsi="宋体"/>
          <w:kern w:val="0"/>
          <w:sz w:val="28"/>
          <w:szCs w:val="28"/>
        </w:rPr>
        <w:t>2019年财政收入预算数2206250元，其中人员经费1872182元，公用经费334068元, 2019年财政支出预算数2206250元，其中人员经费1872182元，公用经费334068元；2020年财政收入预算数1257845元，其中人员经费1035568元，公用经费222277元, 2020年财政支出预算数1257845元，其中人员经费1035568元，公用经费222277元；2020年收入预算数安排比上年减少948405元.</w:t>
      </w:r>
    </w:p>
    <w:p>
      <w:pPr>
        <w:keepNext w:val="0"/>
        <w:keepLines w:val="0"/>
        <w:pageBreakBefore w:val="0"/>
        <w:widowControl/>
        <w:kinsoku/>
        <w:wordWrap/>
        <w:overflowPunct/>
        <w:topLinePunct w:val="0"/>
        <w:autoSpaceDE/>
        <w:autoSpaceDN/>
        <w:bidi w:val="0"/>
        <w:adjustRightInd/>
        <w:snapToGrid/>
        <w:spacing w:line="520" w:lineRule="exact"/>
        <w:ind w:firstLine="568" w:firstLineChars="200"/>
        <w:textAlignment w:val="auto"/>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pacing w:val="2"/>
          <w:sz w:val="28"/>
          <w:szCs w:val="28"/>
        </w:rPr>
        <w:t>1</w:t>
      </w:r>
      <w:r>
        <w:rPr>
          <w:rFonts w:hint="eastAsia" w:asciiTheme="majorEastAsia" w:hAnsiTheme="majorEastAsia" w:eastAsiaTheme="majorEastAsia" w:cstheme="majorEastAsia"/>
          <w:color w:val="000000"/>
          <w:spacing w:val="2"/>
          <w:sz w:val="28"/>
          <w:szCs w:val="28"/>
          <w:lang w:val="en-US" w:eastAsia="zh-CN"/>
        </w:rPr>
        <w:t>.</w:t>
      </w:r>
      <w:r>
        <w:rPr>
          <w:rFonts w:hint="eastAsia" w:asciiTheme="majorEastAsia" w:hAnsiTheme="majorEastAsia" w:eastAsiaTheme="majorEastAsia" w:cstheme="majorEastAsia"/>
          <w:color w:val="000000"/>
          <w:spacing w:val="2"/>
          <w:sz w:val="28"/>
          <w:szCs w:val="28"/>
        </w:rPr>
        <w:t>收入支出与预算对比分析</w:t>
      </w:r>
    </w:p>
    <w:p>
      <w:pPr>
        <w:keepNext w:val="0"/>
        <w:keepLines w:val="0"/>
        <w:pageBreakBefore w:val="0"/>
        <w:widowControl/>
        <w:kinsoku/>
        <w:wordWrap/>
        <w:overflowPunct/>
        <w:topLinePunct w:val="0"/>
        <w:autoSpaceDE/>
        <w:autoSpaceDN/>
        <w:bidi w:val="0"/>
        <w:adjustRightInd/>
        <w:snapToGrid/>
        <w:spacing w:line="520" w:lineRule="exact"/>
        <w:ind w:firstLine="548" w:firstLineChars="196"/>
        <w:textAlignment w:val="auto"/>
        <w:rPr>
          <w:rFonts w:hint="eastAsia" w:ascii="宋体" w:hAnsi="宋体"/>
          <w:kern w:val="0"/>
          <w:sz w:val="28"/>
          <w:szCs w:val="28"/>
        </w:rPr>
      </w:pPr>
      <w:r>
        <w:rPr>
          <w:rFonts w:hint="eastAsia" w:ascii="宋体" w:hAnsi="宋体"/>
          <w:kern w:val="0"/>
          <w:sz w:val="28"/>
          <w:szCs w:val="28"/>
        </w:rPr>
        <w:t>2019年财政收入预算执行数2206250元，其中人员经费1872182元，公用经费334068元, 2019年财政支出预算执行数2206250元，其中人员经费1872182元，公用经费334068元；2020年财政收入预算数1257845元，其中人员经费1035568元，公用经费222277元, 2020年财政支出预算数1257845元，其中人员经费1035568元，公用经费222277元；2020年收入预算数执行比上年减少948405元</w:t>
      </w:r>
      <w:r>
        <w:rPr>
          <w:rFonts w:hint="eastAsia" w:ascii="宋体" w:hAnsi="宋体"/>
          <w:kern w:val="0"/>
          <w:sz w:val="28"/>
          <w:szCs w:val="28"/>
          <w:lang w:eastAsia="zh-CN"/>
        </w:rPr>
        <w:t>。</w:t>
      </w:r>
      <w:r>
        <w:rPr>
          <w:rFonts w:hint="eastAsia" w:ascii="宋体" w:hAnsi="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56" w:firstLineChars="196"/>
        <w:textAlignment w:val="auto"/>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pacing w:val="2"/>
          <w:sz w:val="28"/>
          <w:szCs w:val="28"/>
          <w:lang w:val="en-US" w:eastAsia="zh-CN"/>
        </w:rPr>
        <w:t>2.</w:t>
      </w:r>
      <w:r>
        <w:rPr>
          <w:rFonts w:hint="eastAsia" w:asciiTheme="majorEastAsia" w:hAnsiTheme="majorEastAsia" w:eastAsiaTheme="majorEastAsia" w:cstheme="majorEastAsia"/>
          <w:color w:val="000000"/>
          <w:spacing w:val="2"/>
          <w:sz w:val="28"/>
          <w:szCs w:val="28"/>
        </w:rPr>
        <w:t>收入支出结构分析</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宋体" w:hAnsi="宋体"/>
          <w:kern w:val="0"/>
          <w:sz w:val="28"/>
          <w:szCs w:val="28"/>
        </w:rPr>
      </w:pPr>
      <w:r>
        <w:rPr>
          <w:rFonts w:hint="eastAsia" w:ascii="宋体" w:hAnsi="宋体"/>
          <w:kern w:val="0"/>
          <w:sz w:val="28"/>
          <w:szCs w:val="28"/>
        </w:rPr>
        <w:t>2020年全年总收入60405723.06元,其中财拨款决算收入40971227.55元,其它收入19434495.51元</w:t>
      </w:r>
      <w:r>
        <w:rPr>
          <w:rFonts w:hint="eastAsia" w:ascii="宋体" w:hAnsi="宋体"/>
          <w:kern w:val="0"/>
          <w:sz w:val="28"/>
          <w:szCs w:val="28"/>
          <w:lang w:eastAsia="zh-CN"/>
        </w:rPr>
        <w:t>；</w:t>
      </w:r>
      <w:r>
        <w:rPr>
          <w:rFonts w:hint="eastAsia" w:ascii="宋体" w:hAnsi="宋体"/>
          <w:kern w:val="0"/>
          <w:sz w:val="28"/>
          <w:szCs w:val="28"/>
        </w:rPr>
        <w:t>2020年全年总支出60405723.06元,其中财拨款决算支出40971227.55元,其它收入19434495.51元，支出按以下分类说明：</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宋体" w:hAnsi="宋体"/>
          <w:kern w:val="0"/>
          <w:sz w:val="28"/>
          <w:szCs w:val="28"/>
        </w:rPr>
      </w:pPr>
      <w:r>
        <w:rPr>
          <w:rFonts w:hint="eastAsia" w:ascii="宋体" w:hAnsi="宋体"/>
          <w:kern w:val="0"/>
          <w:sz w:val="28"/>
          <w:szCs w:val="28"/>
        </w:rPr>
        <w:t>（1）支出功能分类：总支出60405723.06元;其中：节能环保支出157650元，城乡社区管理事务支出46806583.06元，城乡社区公共设施支出7140000元，森林资源培育支出386170.00元，森林草原防灾减灾支出115320.00元。</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宋体" w:hAnsi="宋体"/>
          <w:kern w:val="0"/>
          <w:sz w:val="28"/>
          <w:szCs w:val="28"/>
        </w:rPr>
      </w:pPr>
      <w:r>
        <w:rPr>
          <w:rFonts w:hint="eastAsia" w:ascii="宋体" w:hAnsi="宋体"/>
          <w:kern w:val="0"/>
          <w:sz w:val="28"/>
          <w:szCs w:val="28"/>
        </w:rPr>
        <w:t xml:space="preserve">（2）支出性质分类：总支出60405723.06元，其中：人员经费4544758.93元，公用经费55860964.13元; </w:t>
      </w:r>
    </w:p>
    <w:p>
      <w:pPr>
        <w:keepNext w:val="0"/>
        <w:keepLines w:val="0"/>
        <w:pageBreakBefore w:val="0"/>
        <w:kinsoku/>
        <w:wordWrap/>
        <w:overflowPunct/>
        <w:topLinePunct w:val="0"/>
        <w:autoSpaceDE/>
        <w:autoSpaceDN/>
        <w:bidi w:val="0"/>
        <w:adjustRightInd/>
        <w:snapToGrid/>
        <w:spacing w:line="520" w:lineRule="exact"/>
        <w:ind w:firstLine="700" w:firstLineChars="250"/>
        <w:textAlignment w:val="auto"/>
        <w:rPr>
          <w:rFonts w:hint="eastAsia" w:ascii="宋体" w:hAnsi="宋体"/>
          <w:kern w:val="0"/>
          <w:sz w:val="28"/>
          <w:szCs w:val="28"/>
        </w:rPr>
      </w:pPr>
      <w:r>
        <w:rPr>
          <w:rFonts w:hint="eastAsia" w:ascii="宋体" w:hAnsi="宋体"/>
          <w:kern w:val="0"/>
          <w:sz w:val="28"/>
          <w:szCs w:val="28"/>
        </w:rPr>
        <w:t>(3)支出经济分类：总支出60405723.06元，其中：工资福利支出4345020.73元，商品服务支出55756047.13元，对个人和家庭的补助支出199738.2元，资本性支出104817.00元。</w:t>
      </w:r>
    </w:p>
    <w:p>
      <w:pPr>
        <w:keepNext w:val="0"/>
        <w:keepLines w:val="0"/>
        <w:pageBreakBefore w:val="0"/>
        <w:kinsoku/>
        <w:wordWrap/>
        <w:overflowPunct/>
        <w:topLinePunct w:val="0"/>
        <w:autoSpaceDE/>
        <w:autoSpaceDN/>
        <w:bidi w:val="0"/>
        <w:adjustRightInd/>
        <w:snapToGrid/>
        <w:spacing w:line="520" w:lineRule="exact"/>
        <w:ind w:firstLine="570" w:firstLineChars="200"/>
        <w:textAlignment w:val="auto"/>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（二）关于“三公”经费支出说明</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Theme="minorEastAsia"/>
          <w:kern w:val="0"/>
          <w:sz w:val="28"/>
          <w:szCs w:val="28"/>
          <w:lang w:eastAsia="zh-CN"/>
        </w:rPr>
      </w:pPr>
      <w:r>
        <w:rPr>
          <w:rFonts w:hint="eastAsia" w:ascii="宋体" w:hAnsi="宋体"/>
          <w:kern w:val="0"/>
          <w:sz w:val="28"/>
          <w:szCs w:val="28"/>
        </w:rPr>
        <w:t>2019年“三公”经费决算总支出0元，其中：公务车运行维护费0元，年初预算数0元，决算数比预算数减少0元，减少幅度为0；公务接待费0元，年初预算数0元，决算数比预算数增加0元，增长幅度为0；因公出国（境）费0元，预算数0元，决算数比预算数增加0元，增长幅度为0%；2020年“三公”经费决算总支出0元，其中：公务车运行维护费0元，年初预算数0元，决算数比预算数减少0元，减少幅度为0；公务接待费0元，年初预算数6250元，决算数比预算数增加-6250元，增长幅度为-100%；因公出国（境）费0元，预算数0元，决算数比预算数增加0元，增长幅度为0%</w:t>
      </w:r>
      <w:r>
        <w:rPr>
          <w:rFonts w:hint="eastAsia" w:ascii="宋体" w:hAnsi="宋体"/>
          <w:kern w:val="0"/>
          <w:sz w:val="28"/>
          <w:szCs w:val="28"/>
          <w:lang w:eastAsia="zh-CN"/>
        </w:rPr>
        <w:t>。</w:t>
      </w:r>
    </w:p>
    <w:p>
      <w:pPr>
        <w:keepNext w:val="0"/>
        <w:keepLines w:val="0"/>
        <w:pageBreakBefore w:val="0"/>
        <w:kinsoku/>
        <w:wordWrap/>
        <w:overflowPunct/>
        <w:topLinePunct w:val="0"/>
        <w:autoSpaceDE/>
        <w:autoSpaceDN/>
        <w:bidi w:val="0"/>
        <w:adjustRightInd/>
        <w:snapToGrid/>
        <w:spacing w:line="520" w:lineRule="exact"/>
        <w:ind w:firstLine="570" w:firstLineChars="200"/>
        <w:textAlignment w:val="auto"/>
        <w:rPr>
          <w:rFonts w:hint="eastAsia"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（三）关于机关运行经费支出说明</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宋体" w:hAnsi="宋体" w:eastAsiaTheme="minorEastAsia"/>
          <w:kern w:val="0"/>
          <w:sz w:val="28"/>
          <w:szCs w:val="28"/>
          <w:lang w:val="en-US" w:eastAsia="zh-CN"/>
        </w:rPr>
      </w:pPr>
      <w:r>
        <w:rPr>
          <w:rFonts w:hint="eastAsia" w:ascii="宋体" w:hAnsi="宋体"/>
          <w:kern w:val="0"/>
          <w:sz w:val="28"/>
          <w:szCs w:val="28"/>
        </w:rPr>
        <w:t>2019年机关运行经费支出30892867.66元, 2020年机关运行经费支出36876845.38元,同比上年增加5983977.72元，同比上年增加19.37%。</w:t>
      </w:r>
      <w:r>
        <w:rPr>
          <w:rFonts w:hint="eastAsia" w:ascii="宋体" w:hAnsi="宋体"/>
          <w:kern w:val="0"/>
          <w:sz w:val="28"/>
          <w:szCs w:val="28"/>
          <w:lang w:val="en-US" w:eastAsia="zh-CN"/>
        </w:rPr>
        <w:t>原因是业务量增加。</w:t>
      </w:r>
    </w:p>
    <w:p>
      <w:pPr>
        <w:keepNext w:val="0"/>
        <w:keepLines w:val="0"/>
        <w:pageBreakBefore w:val="0"/>
        <w:widowControl/>
        <w:kinsoku/>
        <w:wordWrap/>
        <w:overflowPunct/>
        <w:topLinePunct w:val="0"/>
        <w:autoSpaceDE/>
        <w:autoSpaceDN/>
        <w:bidi w:val="0"/>
        <w:adjustRightInd/>
        <w:snapToGrid/>
        <w:spacing w:line="520" w:lineRule="exact"/>
        <w:ind w:firstLine="559" w:firstLineChars="196"/>
        <w:textAlignment w:val="auto"/>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（四）关于政府采购支出说明</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宋体" w:hAnsi="宋体"/>
          <w:kern w:val="0"/>
          <w:sz w:val="28"/>
          <w:szCs w:val="28"/>
        </w:rPr>
      </w:pPr>
      <w:r>
        <w:rPr>
          <w:rFonts w:hint="eastAsia" w:ascii="宋体" w:hAnsi="宋体"/>
          <w:kern w:val="0"/>
          <w:sz w:val="28"/>
          <w:szCs w:val="28"/>
        </w:rPr>
        <w:t>2020年政府采购总支出</w:t>
      </w:r>
      <w:r>
        <w:rPr>
          <w:rFonts w:hint="eastAsia" w:ascii="宋体" w:hAnsi="宋体"/>
          <w:kern w:val="0"/>
          <w:sz w:val="28"/>
          <w:szCs w:val="28"/>
          <w:lang w:val="en-US" w:eastAsia="zh-CN"/>
        </w:rPr>
        <w:t>113361762</w:t>
      </w:r>
      <w:r>
        <w:rPr>
          <w:rFonts w:hint="eastAsia" w:ascii="宋体" w:hAnsi="宋体"/>
          <w:kern w:val="0"/>
          <w:sz w:val="28"/>
          <w:szCs w:val="28"/>
        </w:rPr>
        <w:t>元，其中政府采购货物支出</w:t>
      </w:r>
      <w:r>
        <w:rPr>
          <w:rFonts w:hint="eastAsia" w:ascii="宋体" w:hAnsi="宋体"/>
          <w:kern w:val="0"/>
          <w:sz w:val="28"/>
          <w:szCs w:val="28"/>
          <w:lang w:val="en-US" w:eastAsia="zh-CN"/>
        </w:rPr>
        <w:t>2653577</w:t>
      </w:r>
      <w:r>
        <w:rPr>
          <w:rFonts w:hint="eastAsia" w:ascii="宋体" w:hAnsi="宋体"/>
          <w:kern w:val="0"/>
          <w:sz w:val="28"/>
          <w:szCs w:val="28"/>
        </w:rPr>
        <w:t>元，政府采购工程支出</w:t>
      </w:r>
      <w:r>
        <w:rPr>
          <w:rFonts w:hint="eastAsia" w:ascii="宋体" w:hAnsi="宋体"/>
          <w:kern w:val="0"/>
          <w:sz w:val="28"/>
          <w:szCs w:val="28"/>
          <w:lang w:val="en-US" w:eastAsia="zh-CN"/>
        </w:rPr>
        <w:t>110708185</w:t>
      </w:r>
      <w:r>
        <w:rPr>
          <w:rFonts w:hint="eastAsia" w:ascii="宋体" w:hAnsi="宋体"/>
          <w:kern w:val="0"/>
          <w:sz w:val="28"/>
          <w:szCs w:val="28"/>
        </w:rPr>
        <w:t>元，政府采购服务支出</w:t>
      </w:r>
      <w:r>
        <w:rPr>
          <w:rFonts w:hint="eastAsia" w:ascii="宋体" w:hAnsi="宋体"/>
          <w:kern w:val="0"/>
          <w:sz w:val="28"/>
          <w:szCs w:val="28"/>
          <w:lang w:val="en-US" w:eastAsia="zh-CN"/>
        </w:rPr>
        <w:t>0</w:t>
      </w:r>
      <w:r>
        <w:rPr>
          <w:rFonts w:hint="eastAsia" w:ascii="宋体" w:hAnsi="宋体"/>
          <w:kern w:val="0"/>
          <w:sz w:val="28"/>
          <w:szCs w:val="28"/>
        </w:rPr>
        <w:t>元。</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559" w:firstLineChars="196"/>
        <w:textAlignment w:val="auto"/>
        <w:rPr>
          <w:rFonts w:hint="eastAsia"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关于国有资产占用情况说明</w:t>
      </w:r>
    </w:p>
    <w:p>
      <w:pPr>
        <w:pStyle w:val="11"/>
        <w:ind w:left="0" w:leftChars="0" w:firstLine="560" w:firstLineChars="200"/>
        <w:rPr>
          <w:rFonts w:hint="eastAsia" w:ascii="宋体" w:hAnsi="宋体" w:cs="Times New Roman"/>
          <w:kern w:val="0"/>
          <w:sz w:val="28"/>
          <w:szCs w:val="28"/>
        </w:rPr>
      </w:pPr>
      <w:r>
        <w:rPr>
          <w:rFonts w:hint="eastAsia" w:ascii="宋体" w:hAnsi="宋体" w:cs="Times New Roman"/>
          <w:kern w:val="0"/>
          <w:sz w:val="28"/>
          <w:szCs w:val="28"/>
        </w:rPr>
        <w:t>截至2019年12月31日，本单位共有车辆0辆，其中领导干部用车0辆，一般公务用车0辆，一般执法执勤用车0辆，特种专业技术用车0辆，其它用车0辆。截至2020年12月31日，本单位共有车辆0辆，其中领导干部用车0辆，一般公务用车0辆，一般执法执勤用车0辆，特种专业技术用车0辆，其它用车0辆。20120年与2019年对比没有变化。</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（六）重点绩效评价结果等预算绩效情况说明</w:t>
      </w:r>
    </w:p>
    <w:p>
      <w:pPr>
        <w:pStyle w:val="11"/>
        <w:spacing w:line="540" w:lineRule="exact"/>
        <w:ind w:firstLine="560" w:firstLineChars="200"/>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 根据预算绩效管理要求，我单位组织</w:t>
      </w: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年度一般公共预算项目支出全面开展绩效自评，共涉及项目</w:t>
      </w:r>
      <w:r>
        <w:rPr>
          <w:rFonts w:hint="eastAsia" w:asciiTheme="minorEastAsia" w:hAnsiTheme="minorEastAsia" w:cstheme="minorEastAsia"/>
          <w:kern w:val="0"/>
          <w:sz w:val="28"/>
          <w:szCs w:val="28"/>
          <w:highlight w:val="none"/>
          <w:lang w:val="en-US" w:eastAsia="zh-CN" w:bidi="ar"/>
        </w:rPr>
        <w:t>2</w:t>
      </w:r>
      <w:r>
        <w:rPr>
          <w:rFonts w:hint="eastAsia" w:asciiTheme="minorEastAsia" w:hAnsiTheme="minorEastAsia" w:eastAsiaTheme="minorEastAsia" w:cstheme="minorEastAsia"/>
          <w:kern w:val="0"/>
          <w:sz w:val="28"/>
          <w:szCs w:val="28"/>
          <w:highlight w:val="none"/>
          <w:lang w:val="en-US" w:eastAsia="zh-CN" w:bidi="ar"/>
        </w:rPr>
        <w:t>个，资金</w:t>
      </w:r>
      <w:r>
        <w:rPr>
          <w:rFonts w:hint="eastAsia" w:asciiTheme="minorEastAsia" w:hAnsiTheme="minorEastAsia" w:cstheme="minorEastAsia"/>
          <w:kern w:val="0"/>
          <w:sz w:val="28"/>
          <w:szCs w:val="28"/>
          <w:highlight w:val="none"/>
          <w:lang w:val="en-US" w:eastAsia="zh-CN" w:bidi="ar"/>
        </w:rPr>
        <w:t>1778.2</w:t>
      </w:r>
      <w:r>
        <w:rPr>
          <w:rFonts w:hint="eastAsia" w:asciiTheme="minorEastAsia" w:hAnsiTheme="minorEastAsia" w:eastAsiaTheme="minorEastAsia" w:cstheme="minorEastAsia"/>
          <w:kern w:val="0"/>
          <w:sz w:val="28"/>
          <w:szCs w:val="28"/>
          <w:highlight w:val="none"/>
          <w:lang w:val="en-US" w:eastAsia="zh-CN" w:bidi="ar"/>
        </w:rPr>
        <w:t>万元。</w:t>
      </w: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年项目资金投入</w:t>
      </w:r>
      <w:r>
        <w:rPr>
          <w:rFonts w:hint="eastAsia" w:asciiTheme="minorEastAsia" w:hAnsiTheme="minorEastAsia" w:cstheme="minorEastAsia"/>
          <w:kern w:val="0"/>
          <w:sz w:val="28"/>
          <w:szCs w:val="28"/>
          <w:highlight w:val="none"/>
          <w:lang w:val="en-US" w:eastAsia="zh-CN" w:bidi="ar"/>
        </w:rPr>
        <w:t>1778.2</w:t>
      </w:r>
      <w:r>
        <w:rPr>
          <w:rFonts w:hint="eastAsia" w:asciiTheme="minorEastAsia" w:hAnsiTheme="minorEastAsia" w:eastAsiaTheme="minorEastAsia" w:cstheme="minorEastAsia"/>
          <w:kern w:val="0"/>
          <w:sz w:val="28"/>
          <w:szCs w:val="28"/>
          <w:highlight w:val="none"/>
          <w:lang w:val="en-US" w:eastAsia="zh-CN" w:bidi="ar"/>
        </w:rPr>
        <w:t>万元，已使用</w:t>
      </w:r>
      <w:r>
        <w:rPr>
          <w:rFonts w:hint="eastAsia" w:asciiTheme="minorEastAsia" w:hAnsiTheme="minorEastAsia" w:cstheme="minorEastAsia"/>
          <w:kern w:val="0"/>
          <w:sz w:val="28"/>
          <w:szCs w:val="28"/>
          <w:highlight w:val="none"/>
          <w:lang w:val="en-US" w:eastAsia="zh-CN" w:bidi="ar"/>
        </w:rPr>
        <w:t>1778.2</w:t>
      </w:r>
      <w:r>
        <w:rPr>
          <w:rFonts w:hint="eastAsia" w:asciiTheme="minorEastAsia" w:hAnsiTheme="minorEastAsia" w:eastAsiaTheme="minorEastAsia" w:cstheme="minorEastAsia"/>
          <w:kern w:val="0"/>
          <w:sz w:val="28"/>
          <w:szCs w:val="28"/>
          <w:highlight w:val="none"/>
          <w:lang w:val="en-US" w:eastAsia="zh-CN" w:bidi="ar"/>
        </w:rPr>
        <w:t>万元</w:t>
      </w:r>
      <w:r>
        <w:rPr>
          <w:rFonts w:hint="eastAsia" w:asciiTheme="minorEastAsia" w:hAnsiTheme="minorEastAsia" w:cstheme="minorEastAsia"/>
          <w:kern w:val="0"/>
          <w:sz w:val="28"/>
          <w:szCs w:val="28"/>
          <w:highlight w:val="none"/>
          <w:lang w:val="en-US" w:eastAsia="zh-CN" w:bidi="ar"/>
        </w:rPr>
        <w:t>，使用率达100%。</w:t>
      </w:r>
      <w:r>
        <w:rPr>
          <w:rFonts w:hint="eastAsia" w:asciiTheme="minorEastAsia" w:hAnsiTheme="minorEastAsia" w:eastAsiaTheme="minorEastAsia" w:cstheme="minorEastAsia"/>
          <w:kern w:val="0"/>
          <w:sz w:val="28"/>
          <w:szCs w:val="28"/>
          <w:highlight w:val="none"/>
          <w:lang w:val="en-US" w:eastAsia="zh-CN" w:bidi="ar"/>
        </w:rPr>
        <w:t>使用从评价结果看，项目立项程序完整、规范，预算执行及时、有效，绩效目标得到较好实现，绩效管理水平不断提高，绩效指标体系建设逐渐丰富和完善。</w:t>
      </w:r>
    </w:p>
    <w:p>
      <w:pPr>
        <w:spacing w:line="440" w:lineRule="exact"/>
        <w:ind w:firstLine="570" w:firstLineChars="200"/>
        <w:rPr>
          <w:rFonts w:hint="eastAsia" w:ascii="宋体" w:hAnsi="宋体"/>
          <w:b/>
          <w:color w:val="FF6600"/>
          <w:spacing w:val="2"/>
          <w:sz w:val="28"/>
          <w:szCs w:val="28"/>
        </w:rPr>
      </w:pP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5578.52万</w:t>
      </w:r>
      <w:r>
        <w:rPr>
          <w:rFonts w:hint="eastAsia" w:ascii="宋体" w:hAnsi="宋体"/>
          <w:spacing w:val="2"/>
          <w:sz w:val="28"/>
          <w:szCs w:val="28"/>
        </w:rPr>
        <w:t>元,2020年全年总收入</w:t>
      </w:r>
      <w:r>
        <w:rPr>
          <w:rFonts w:hint="eastAsia" w:ascii="宋体" w:hAnsi="宋体"/>
          <w:spacing w:val="2"/>
          <w:sz w:val="28"/>
          <w:szCs w:val="28"/>
          <w:lang w:val="en-US" w:eastAsia="zh-CN"/>
        </w:rPr>
        <w:t>6040.57万</w:t>
      </w:r>
      <w:r>
        <w:rPr>
          <w:rFonts w:hint="eastAsia" w:ascii="宋体" w:hAnsi="宋体"/>
          <w:spacing w:val="2"/>
          <w:sz w:val="28"/>
          <w:szCs w:val="28"/>
        </w:rPr>
        <w:t>元，同比上年增加</w:t>
      </w:r>
      <w:r>
        <w:rPr>
          <w:rFonts w:hint="eastAsia" w:ascii="宋体" w:hAnsi="宋体"/>
          <w:spacing w:val="2"/>
          <w:sz w:val="28"/>
          <w:szCs w:val="28"/>
          <w:lang w:val="en-US" w:eastAsia="zh-CN"/>
        </w:rPr>
        <w:t>462.05万</w:t>
      </w:r>
      <w:r>
        <w:rPr>
          <w:rFonts w:hint="eastAsia" w:ascii="宋体" w:hAnsi="宋体"/>
          <w:spacing w:val="2"/>
          <w:sz w:val="28"/>
          <w:szCs w:val="28"/>
        </w:rPr>
        <w:t>元，原因是业务量增加。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Theme="minorEastAsia" w:hAnsiTheme="minorEastAsia" w:eastAsiaTheme="minorEastAsia" w:cstheme="minorEastAsia"/>
          <w:kern w:val="0"/>
          <w:sz w:val="28"/>
          <w:szCs w:val="28"/>
          <w:highlight w:val="none"/>
          <w:lang w:val="en-US" w:eastAsia="zh-CN" w:bidi="ar"/>
        </w:rPr>
      </w:pPr>
      <w:r>
        <w:rPr>
          <w:rFonts w:hint="eastAsia" w:ascii="宋体" w:hAnsi="宋体"/>
          <w:spacing w:val="2"/>
          <w:sz w:val="28"/>
          <w:szCs w:val="28"/>
        </w:rPr>
        <w:t>2019年全年总</w:t>
      </w:r>
      <w:r>
        <w:rPr>
          <w:rFonts w:hint="eastAsia" w:ascii="宋体" w:hAnsi="宋体"/>
          <w:spacing w:val="2"/>
          <w:sz w:val="28"/>
          <w:szCs w:val="28"/>
          <w:lang w:val="en-US" w:eastAsia="zh-CN"/>
        </w:rPr>
        <w:t>支出5578.52万</w:t>
      </w:r>
      <w:r>
        <w:rPr>
          <w:rFonts w:hint="eastAsia" w:ascii="宋体" w:hAnsi="宋体"/>
          <w:spacing w:val="2"/>
          <w:sz w:val="28"/>
          <w:szCs w:val="28"/>
        </w:rPr>
        <w:t>元,2020年全年总</w:t>
      </w:r>
      <w:r>
        <w:rPr>
          <w:rFonts w:hint="eastAsia" w:ascii="宋体" w:hAnsi="宋体"/>
          <w:spacing w:val="2"/>
          <w:sz w:val="28"/>
          <w:szCs w:val="28"/>
          <w:lang w:val="en-US" w:eastAsia="zh-CN"/>
        </w:rPr>
        <w:t>支出6040.57万</w:t>
      </w:r>
      <w:r>
        <w:rPr>
          <w:rFonts w:hint="eastAsia" w:ascii="宋体" w:hAnsi="宋体"/>
          <w:spacing w:val="2"/>
          <w:sz w:val="28"/>
          <w:szCs w:val="28"/>
        </w:rPr>
        <w:t>元，同比上年增加</w:t>
      </w:r>
      <w:r>
        <w:rPr>
          <w:rFonts w:hint="eastAsia" w:ascii="宋体" w:hAnsi="宋体"/>
          <w:spacing w:val="2"/>
          <w:sz w:val="28"/>
          <w:szCs w:val="28"/>
          <w:lang w:val="en-US" w:eastAsia="zh-CN"/>
        </w:rPr>
        <w:t>462.05万</w:t>
      </w:r>
      <w:r>
        <w:rPr>
          <w:rFonts w:hint="eastAsia" w:ascii="宋体" w:hAnsi="宋体"/>
          <w:spacing w:val="2"/>
          <w:sz w:val="28"/>
          <w:szCs w:val="28"/>
        </w:rPr>
        <w:t>元，原因是业务量增加。</w:t>
      </w:r>
      <w:bookmarkStart w:id="0" w:name="_GoBack"/>
      <w:bookmarkEnd w:id="0"/>
    </w:p>
    <w:p>
      <w:pPr>
        <w:pStyle w:val="11"/>
        <w:ind w:left="0" w:leftChars="0" w:firstLine="560" w:firstLineChars="200"/>
        <w:rPr>
          <w:rFonts w:hint="default" w:ascii="宋体" w:hAnsi="宋体" w:cs="Times New Roman"/>
          <w:kern w:val="0"/>
          <w:sz w:val="28"/>
          <w:szCs w:val="28"/>
          <w:lang w:val="en-US" w:eastAsia="zh-CN"/>
        </w:rPr>
      </w:pPr>
    </w:p>
    <w:p>
      <w:pPr>
        <w:keepNext w:val="0"/>
        <w:keepLines w:val="0"/>
        <w:pageBreakBefore w:val="0"/>
        <w:widowControl/>
        <w:numPr>
          <w:ilvl w:val="0"/>
          <w:numId w:val="3"/>
        </w:numPr>
        <w:kinsoku/>
        <w:wordWrap/>
        <w:overflowPunct/>
        <w:topLinePunct w:val="0"/>
        <w:autoSpaceDE/>
        <w:autoSpaceDN/>
        <w:bidi w:val="0"/>
        <w:adjustRightInd/>
        <w:snapToGrid/>
        <w:spacing w:line="520" w:lineRule="exact"/>
        <w:textAlignment w:val="auto"/>
        <w:rPr>
          <w:rFonts w:ascii="微软雅黑" w:hAnsi="微软雅黑" w:eastAsia="微软雅黑" w:cs="微软雅黑"/>
          <w:b/>
          <w:bCs/>
          <w:color w:val="000000"/>
          <w:spacing w:val="2"/>
          <w:sz w:val="24"/>
        </w:rPr>
      </w:pPr>
      <w:r>
        <w:rPr>
          <w:rFonts w:hint="eastAsia" w:ascii="微软雅黑" w:hAnsi="微软雅黑" w:eastAsia="微软雅黑" w:cs="微软雅黑"/>
          <w:b/>
          <w:bCs/>
          <w:color w:val="000000"/>
          <w:spacing w:val="2"/>
          <w:sz w:val="24"/>
        </w:rPr>
        <w:t>名词解释</w:t>
      </w:r>
    </w:p>
    <w:p>
      <w:pPr>
        <w:keepNext w:val="0"/>
        <w:keepLines w:val="0"/>
        <w:pageBreakBefore w:val="0"/>
        <w:widowControl/>
        <w:kinsoku/>
        <w:wordWrap/>
        <w:overflowPunct/>
        <w:topLinePunct w:val="0"/>
        <w:autoSpaceDE/>
        <w:autoSpaceDN/>
        <w:bidi w:val="0"/>
        <w:adjustRightInd/>
        <w:snapToGrid/>
        <w:spacing w:line="520" w:lineRule="exact"/>
        <w:ind w:firstLine="568" w:firstLineChars="200"/>
        <w:textAlignment w:val="auto"/>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（一）财政拨款（补助）：指区级财政当年拨付的资金。</w:t>
      </w:r>
    </w:p>
    <w:p>
      <w:pPr>
        <w:keepNext w:val="0"/>
        <w:keepLines w:val="0"/>
        <w:pageBreakBefore w:val="0"/>
        <w:widowControl/>
        <w:kinsoku/>
        <w:wordWrap/>
        <w:overflowPunct/>
        <w:topLinePunct w:val="0"/>
        <w:autoSpaceDE/>
        <w:autoSpaceDN/>
        <w:bidi w:val="0"/>
        <w:adjustRightInd/>
        <w:snapToGrid/>
        <w:spacing w:line="520" w:lineRule="exact"/>
        <w:ind w:left="559" w:leftChars="266"/>
        <w:textAlignment w:val="auto"/>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（二）事业收入：指事业单位开展专业业务活动及其辅助活动取得的收入。</w:t>
      </w:r>
      <w:r>
        <w:rPr>
          <w:rFonts w:hint="eastAsia" w:asciiTheme="minorEastAsia" w:hAnsiTheme="minorEastAsia" w:cstheme="minorEastAsia"/>
          <w:color w:val="000000"/>
          <w:spacing w:val="2"/>
          <w:sz w:val="28"/>
          <w:szCs w:val="28"/>
        </w:rPr>
        <w:br w:type="textWrapping"/>
      </w:r>
      <w:r>
        <w:rPr>
          <w:rFonts w:hint="eastAsia" w:asciiTheme="minorEastAsia" w:hAnsiTheme="minorEastAsia" w:cstheme="minorEastAsia"/>
          <w:color w:val="000000"/>
          <w:spacing w:val="2"/>
          <w:sz w:val="28"/>
          <w:szCs w:val="28"/>
        </w:rPr>
        <w:t>（三）其他收入：指预算单位在“财政拨款补助收入”、“事业收入”、“经营收入”以外取得的收入。</w:t>
      </w:r>
      <w:r>
        <w:rPr>
          <w:rFonts w:hint="eastAsia" w:asciiTheme="minorEastAsia" w:hAnsiTheme="minorEastAsia" w:cstheme="minorEastAsia"/>
          <w:color w:val="000000"/>
          <w:spacing w:val="2"/>
          <w:sz w:val="28"/>
          <w:szCs w:val="28"/>
        </w:rPr>
        <w:br w:type="textWrapping"/>
      </w:r>
      <w:r>
        <w:rPr>
          <w:rFonts w:hint="eastAsia" w:asciiTheme="minorEastAsia" w:hAnsiTheme="minorEastAsia" w:cstheme="minorEastAsia"/>
          <w:color w:val="000000"/>
          <w:spacing w:val="2"/>
          <w:sz w:val="28"/>
          <w:szCs w:val="28"/>
        </w:rPr>
        <w:t>（四）上年结转：指以前年度尚未完成、结转到本年仍按原规定用途继续使用的资金。</w:t>
      </w:r>
      <w:r>
        <w:rPr>
          <w:rFonts w:hint="eastAsia" w:asciiTheme="minorEastAsia" w:hAnsiTheme="minorEastAsia" w:cstheme="minorEastAsia"/>
          <w:color w:val="000000"/>
          <w:spacing w:val="2"/>
          <w:sz w:val="28"/>
          <w:szCs w:val="28"/>
        </w:rPr>
        <w:br w:type="textWrapping"/>
      </w:r>
      <w:r>
        <w:rPr>
          <w:rFonts w:hint="eastAsia" w:asciiTheme="minorEastAsia" w:hAnsiTheme="minorEastAsia" w:cstheme="minorEastAsia"/>
          <w:color w:val="000000"/>
          <w:spacing w:val="2"/>
          <w:sz w:val="28"/>
          <w:szCs w:val="28"/>
        </w:rPr>
        <w:t>（五）基本支出：指为保障机构正常运转、完成日常工作任务而发生的人员支出和公用支出。</w:t>
      </w:r>
      <w:r>
        <w:rPr>
          <w:rFonts w:hint="eastAsia" w:asciiTheme="minorEastAsia" w:hAnsiTheme="minorEastAsia" w:cstheme="minorEastAsia"/>
          <w:color w:val="000000"/>
          <w:spacing w:val="2"/>
          <w:sz w:val="28"/>
          <w:szCs w:val="28"/>
        </w:rPr>
        <w:br w:type="textWrapping"/>
      </w:r>
      <w:r>
        <w:rPr>
          <w:rFonts w:hint="eastAsia" w:asciiTheme="minorEastAsia" w:hAnsiTheme="minorEastAsia" w:cstheme="minorEastAsia"/>
          <w:color w:val="000000"/>
          <w:spacing w:val="2"/>
          <w:sz w:val="28"/>
          <w:szCs w:val="28"/>
        </w:rPr>
        <w:t>（六）项目支出：指为完成特定的行政工作任务或事业发展目标，在基本支出之外发生的各项支出。</w:t>
      </w:r>
    </w:p>
    <w:p>
      <w:pPr>
        <w:keepNext w:val="0"/>
        <w:keepLines w:val="0"/>
        <w:pageBreakBefore w:val="0"/>
        <w:widowControl/>
        <w:kinsoku/>
        <w:wordWrap/>
        <w:overflowPunct/>
        <w:topLinePunct w:val="0"/>
        <w:autoSpaceDE/>
        <w:autoSpaceDN/>
        <w:bidi w:val="0"/>
        <w:adjustRightInd/>
        <w:snapToGrid/>
        <w:spacing w:line="520" w:lineRule="exact"/>
        <w:ind w:firstLine="568" w:firstLineChars="200"/>
        <w:textAlignment w:val="auto"/>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kinsoku/>
        <w:wordWrap/>
        <w:overflowPunct/>
        <w:topLinePunct w:val="0"/>
        <w:autoSpaceDE/>
        <w:autoSpaceDN/>
        <w:bidi w:val="0"/>
        <w:adjustRightInd/>
        <w:snapToGrid/>
        <w:spacing w:line="520" w:lineRule="exact"/>
        <w:ind w:firstLine="568" w:firstLineChars="200"/>
        <w:textAlignment w:val="auto"/>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（八）行政运行（项）：指机关和实行公务员法管理事业单位用于保障机构正常运转的基本支出。</w:t>
      </w:r>
    </w:p>
    <w:p>
      <w:pPr>
        <w:keepNext w:val="0"/>
        <w:keepLines w:val="0"/>
        <w:pageBreakBefore w:val="0"/>
        <w:widowControl/>
        <w:kinsoku/>
        <w:wordWrap/>
        <w:overflowPunct/>
        <w:topLinePunct w:val="0"/>
        <w:autoSpaceDE/>
        <w:autoSpaceDN/>
        <w:bidi w:val="0"/>
        <w:adjustRightInd/>
        <w:snapToGrid/>
        <w:spacing w:line="520" w:lineRule="exact"/>
        <w:ind w:firstLine="556" w:firstLineChars="196"/>
        <w:textAlignment w:val="auto"/>
        <w:rPr>
          <w:rFonts w:asciiTheme="minorEastAsia" w:hAnsiTheme="minorEastAsia" w:cstheme="minorEastAsia"/>
          <w:color w:val="000000"/>
          <w:spacing w:val="2"/>
          <w:sz w:val="28"/>
          <w:szCs w:val="28"/>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5CDBA"/>
    <w:multiLevelType w:val="singleLevel"/>
    <w:tmpl w:val="8A15CDBA"/>
    <w:lvl w:ilvl="0" w:tentative="0">
      <w:start w:val="1"/>
      <w:numFmt w:val="chineseCounting"/>
      <w:suff w:val="nothing"/>
      <w:lvlText w:val="（%1）"/>
      <w:lvlJc w:val="left"/>
      <w:rPr>
        <w:rFonts w:hint="eastAsia"/>
      </w:rPr>
    </w:lvl>
  </w:abstractNum>
  <w:abstractNum w:abstractNumId="1">
    <w:nsid w:val="95EF768B"/>
    <w:multiLevelType w:val="singleLevel"/>
    <w:tmpl w:val="95EF768B"/>
    <w:lvl w:ilvl="0" w:tentative="0">
      <w:start w:val="4"/>
      <w:numFmt w:val="chineseCounting"/>
      <w:suff w:val="space"/>
      <w:lvlText w:val="第%1部分"/>
      <w:lvlJc w:val="left"/>
      <w:rPr>
        <w:rFonts w:hint="eastAsia"/>
      </w:rPr>
    </w:lvl>
  </w:abstractNum>
  <w:abstractNum w:abstractNumId="2">
    <w:nsid w:val="1031998F"/>
    <w:multiLevelType w:val="singleLevel"/>
    <w:tmpl w:val="1031998F"/>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58"/>
    <w:rsid w:val="000D6E1D"/>
    <w:rsid w:val="001B3B62"/>
    <w:rsid w:val="0056348D"/>
    <w:rsid w:val="00583E30"/>
    <w:rsid w:val="005E6E68"/>
    <w:rsid w:val="00845A58"/>
    <w:rsid w:val="008D5163"/>
    <w:rsid w:val="00971E29"/>
    <w:rsid w:val="009B541F"/>
    <w:rsid w:val="009F05D1"/>
    <w:rsid w:val="00A1294C"/>
    <w:rsid w:val="00A6025A"/>
    <w:rsid w:val="00A745B5"/>
    <w:rsid w:val="00B64A6D"/>
    <w:rsid w:val="00B654CD"/>
    <w:rsid w:val="00C319E4"/>
    <w:rsid w:val="00D3719C"/>
    <w:rsid w:val="00D83DBC"/>
    <w:rsid w:val="00F41D15"/>
    <w:rsid w:val="00FC39BD"/>
    <w:rsid w:val="0664587B"/>
    <w:rsid w:val="073A1613"/>
    <w:rsid w:val="0E836A5F"/>
    <w:rsid w:val="191A225F"/>
    <w:rsid w:val="228A65CA"/>
    <w:rsid w:val="23182AEE"/>
    <w:rsid w:val="24555A5F"/>
    <w:rsid w:val="255E033E"/>
    <w:rsid w:val="289C3E82"/>
    <w:rsid w:val="2C203A0A"/>
    <w:rsid w:val="32BD01BE"/>
    <w:rsid w:val="38203263"/>
    <w:rsid w:val="385A29BC"/>
    <w:rsid w:val="3C2D5DD2"/>
    <w:rsid w:val="4A81157D"/>
    <w:rsid w:val="4D8444A4"/>
    <w:rsid w:val="4E156BD4"/>
    <w:rsid w:val="531D39B3"/>
    <w:rsid w:val="53363FF4"/>
    <w:rsid w:val="5B593347"/>
    <w:rsid w:val="62025AF4"/>
    <w:rsid w:val="67F603AA"/>
    <w:rsid w:val="692B2102"/>
    <w:rsid w:val="70A32328"/>
    <w:rsid w:val="746766E2"/>
    <w:rsid w:val="75AF3E40"/>
    <w:rsid w:val="78186405"/>
    <w:rsid w:val="7ED07D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8"/>
    <w:qFormat/>
    <w:uiPriority w:val="0"/>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8"/>
    <w:link w:val="6"/>
    <w:qFormat/>
    <w:uiPriority w:val="0"/>
    <w:rPr>
      <w:rFonts w:asciiTheme="minorHAnsi" w:hAnsiTheme="minorHAnsi" w:eastAsiaTheme="minorEastAsia" w:cstheme="minorBidi"/>
      <w:kern w:val="2"/>
      <w:sz w:val="18"/>
      <w:szCs w:val="18"/>
    </w:rPr>
  </w:style>
  <w:style w:type="character" w:customStyle="1" w:styleId="15">
    <w:name w:val="页脚 Char"/>
    <w:basedOn w:val="8"/>
    <w:link w:val="5"/>
    <w:qFormat/>
    <w:uiPriority w:val="0"/>
    <w:rPr>
      <w:rFonts w:asciiTheme="minorHAnsi" w:hAnsiTheme="minorHAnsi" w:eastAsiaTheme="minorEastAsia" w:cstheme="minorBidi"/>
      <w:kern w:val="2"/>
      <w:sz w:val="18"/>
      <w:szCs w:val="18"/>
    </w:rPr>
  </w:style>
  <w:style w:type="character" w:customStyle="1" w:styleId="16">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384</Words>
  <Characters>2189</Characters>
  <Lines>18</Lines>
  <Paragraphs>5</Paragraphs>
  <TotalTime>0</TotalTime>
  <ScaleCrop>false</ScaleCrop>
  <LinksUpToDate>false</LinksUpToDate>
  <CharactersWithSpaces>2568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cp:lastPrinted>2021-09-14T02:36:00Z</cp:lastPrinted>
  <dcterms:modified xsi:type="dcterms:W3CDTF">2021-09-15T00:48:22Z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