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0" w:lineRule="atLeast"/>
        <w:ind w:left="0" w:right="0" w:firstLine="0"/>
        <w:jc w:val="center"/>
        <w:rPr>
          <w:rFonts w:ascii="微软雅黑" w:hAnsi="微软雅黑" w:eastAsia="微软雅黑" w:cs="微软雅黑"/>
          <w:b/>
          <w:i w:val="0"/>
          <w:caps w:val="0"/>
          <w:color w:val="BC1010"/>
          <w:spacing w:val="0"/>
          <w:sz w:val="40"/>
          <w:szCs w:val="40"/>
        </w:rPr>
      </w:pPr>
      <w:r>
        <w:rPr>
          <w:rFonts w:hint="eastAsia" w:ascii="微软雅黑" w:hAnsi="微软雅黑" w:eastAsia="微软雅黑" w:cs="微软雅黑"/>
          <w:b/>
          <w:i w:val="0"/>
          <w:caps w:val="0"/>
          <w:color w:val="BC1010"/>
          <w:spacing w:val="0"/>
          <w:sz w:val="40"/>
          <w:szCs w:val="40"/>
          <w:shd w:val="clear" w:fill="FFFFFF"/>
          <w:lang w:eastAsia="zh-CN"/>
        </w:rPr>
        <w:t>纪委</w:t>
      </w:r>
      <w:r>
        <w:rPr>
          <w:rFonts w:hint="eastAsia" w:ascii="微软雅黑" w:hAnsi="微软雅黑" w:eastAsia="微软雅黑" w:cs="微软雅黑"/>
          <w:b/>
          <w:i w:val="0"/>
          <w:caps w:val="0"/>
          <w:color w:val="BC1010"/>
          <w:spacing w:val="0"/>
          <w:sz w:val="40"/>
          <w:szCs w:val="40"/>
          <w:shd w:val="clear" w:fill="FFFFFF"/>
        </w:rPr>
        <w:t>2017年决算公开</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jc w:val="center"/>
        <w:rPr>
          <w:color w:val="333333"/>
          <w:sz w:val="24"/>
          <w:szCs w:val="24"/>
        </w:rPr>
      </w:pPr>
      <w:r>
        <w:rPr>
          <w:rStyle w:val="8"/>
          <w:rFonts w:hint="eastAsia" w:ascii="微软雅黑" w:hAnsi="微软雅黑" w:eastAsia="微软雅黑" w:cs="微软雅黑"/>
          <w:i w:val="0"/>
          <w:caps w:val="0"/>
          <w:color w:val="333333"/>
          <w:spacing w:val="0"/>
          <w:sz w:val="24"/>
          <w:szCs w:val="24"/>
          <w:shd w:val="clear" w:fill="FFFFFF"/>
          <w:lang w:eastAsia="zh-CN"/>
        </w:rPr>
        <w:t>黄石港区纪委</w:t>
      </w:r>
      <w:r>
        <w:rPr>
          <w:rStyle w:val="8"/>
          <w:rFonts w:hint="eastAsia" w:ascii="微软雅黑" w:hAnsi="微软雅黑" w:eastAsia="微软雅黑" w:cs="微软雅黑"/>
          <w:i w:val="0"/>
          <w:caps w:val="0"/>
          <w:color w:val="333333"/>
          <w:spacing w:val="0"/>
          <w:sz w:val="24"/>
          <w:szCs w:val="24"/>
          <w:shd w:val="clear" w:fill="FFFFFF"/>
        </w:rPr>
        <w:t>2017年决算公开</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jc w:val="center"/>
        <w:rPr>
          <w:color w:val="333333"/>
          <w:sz w:val="24"/>
          <w:szCs w:val="24"/>
        </w:rPr>
      </w:pPr>
      <w:r>
        <w:rPr>
          <w:rFonts w:hint="eastAsia" w:ascii="微软雅黑" w:hAnsi="微软雅黑" w:eastAsia="微软雅黑" w:cs="微软雅黑"/>
          <w:b w:val="0"/>
          <w:i w:val="0"/>
          <w:caps w:val="0"/>
          <w:color w:val="333333"/>
          <w:spacing w:val="0"/>
          <w:sz w:val="24"/>
          <w:szCs w:val="24"/>
          <w:shd w:val="clear" w:fill="FFFFFF"/>
        </w:rPr>
        <w:t>目  录</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color w:val="333333"/>
          <w:sz w:val="24"/>
          <w:szCs w:val="24"/>
        </w:rPr>
      </w:pPr>
      <w:r>
        <w:rPr>
          <w:rFonts w:hint="eastAsia" w:ascii="微软雅黑" w:hAnsi="微软雅黑" w:eastAsia="微软雅黑" w:cs="微软雅黑"/>
          <w:b w:val="0"/>
          <w:i w:val="0"/>
          <w:caps w:val="0"/>
          <w:color w:val="333333"/>
          <w:spacing w:val="0"/>
          <w:sz w:val="24"/>
          <w:szCs w:val="24"/>
          <w:shd w:val="clear" w:fill="FFFFFF"/>
        </w:rPr>
        <w:t>第一部分:部门基本情况</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color w:val="333333"/>
          <w:sz w:val="24"/>
          <w:szCs w:val="24"/>
        </w:rPr>
      </w:pPr>
      <w:r>
        <w:rPr>
          <w:rFonts w:hint="eastAsia" w:ascii="微软雅黑" w:hAnsi="微软雅黑" w:eastAsia="微软雅黑" w:cs="微软雅黑"/>
          <w:b w:val="0"/>
          <w:i w:val="0"/>
          <w:caps w:val="0"/>
          <w:color w:val="333333"/>
          <w:spacing w:val="0"/>
          <w:sz w:val="24"/>
          <w:szCs w:val="24"/>
          <w:shd w:val="clear" w:fill="FFFFFF"/>
        </w:rPr>
        <w:t>一、部门主要职责</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color w:val="333333"/>
          <w:sz w:val="24"/>
          <w:szCs w:val="24"/>
        </w:rPr>
      </w:pPr>
      <w:r>
        <w:rPr>
          <w:rFonts w:hint="eastAsia" w:ascii="微软雅黑" w:hAnsi="微软雅黑" w:eastAsia="微软雅黑" w:cs="微软雅黑"/>
          <w:b w:val="0"/>
          <w:i w:val="0"/>
          <w:caps w:val="0"/>
          <w:color w:val="333333"/>
          <w:spacing w:val="0"/>
          <w:sz w:val="24"/>
          <w:szCs w:val="24"/>
          <w:shd w:val="clear" w:fill="FFFFFF"/>
        </w:rPr>
        <w:t>二、部门决算单位构成</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color w:val="333333"/>
          <w:sz w:val="24"/>
          <w:szCs w:val="24"/>
        </w:rPr>
      </w:pPr>
      <w:r>
        <w:rPr>
          <w:rFonts w:hint="eastAsia" w:ascii="微软雅黑" w:hAnsi="微软雅黑" w:eastAsia="微软雅黑" w:cs="微软雅黑"/>
          <w:b w:val="0"/>
          <w:i w:val="0"/>
          <w:caps w:val="0"/>
          <w:color w:val="333333"/>
          <w:spacing w:val="0"/>
          <w:sz w:val="24"/>
          <w:szCs w:val="24"/>
          <w:shd w:val="clear" w:fill="FFFFFF"/>
        </w:rPr>
        <w:t>第二部分: 部门2017年部门决算表</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color w:val="333333"/>
          <w:sz w:val="24"/>
          <w:szCs w:val="24"/>
        </w:rPr>
      </w:pPr>
      <w:r>
        <w:rPr>
          <w:rFonts w:hint="eastAsia" w:ascii="微软雅黑" w:hAnsi="微软雅黑" w:eastAsia="微软雅黑" w:cs="微软雅黑"/>
          <w:b w:val="0"/>
          <w:i w:val="0"/>
          <w:caps w:val="0"/>
          <w:color w:val="333333"/>
          <w:spacing w:val="0"/>
          <w:sz w:val="24"/>
          <w:szCs w:val="24"/>
          <w:shd w:val="clear" w:fill="FFFFFF"/>
        </w:rPr>
        <w:t>一、收入支出决算总表（表1）</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color w:val="333333"/>
          <w:sz w:val="24"/>
          <w:szCs w:val="24"/>
        </w:rPr>
      </w:pPr>
      <w:r>
        <w:rPr>
          <w:rFonts w:hint="eastAsia" w:ascii="微软雅黑" w:hAnsi="微软雅黑" w:eastAsia="微软雅黑" w:cs="微软雅黑"/>
          <w:b w:val="0"/>
          <w:i w:val="0"/>
          <w:caps w:val="0"/>
          <w:color w:val="333333"/>
          <w:spacing w:val="0"/>
          <w:sz w:val="24"/>
          <w:szCs w:val="24"/>
          <w:shd w:val="clear" w:fill="FFFFFF"/>
        </w:rPr>
        <w:t>二、收入决算表（表2）</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color w:val="333333"/>
          <w:sz w:val="24"/>
          <w:szCs w:val="24"/>
        </w:rPr>
      </w:pPr>
      <w:r>
        <w:rPr>
          <w:rFonts w:hint="eastAsia" w:ascii="微软雅黑" w:hAnsi="微软雅黑" w:eastAsia="微软雅黑" w:cs="微软雅黑"/>
          <w:b w:val="0"/>
          <w:i w:val="0"/>
          <w:caps w:val="0"/>
          <w:color w:val="333333"/>
          <w:spacing w:val="0"/>
          <w:sz w:val="24"/>
          <w:szCs w:val="24"/>
          <w:shd w:val="clear" w:fill="FFFFFF"/>
        </w:rPr>
        <w:t>三、支出决算表（表3）</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color w:val="333333"/>
          <w:sz w:val="24"/>
          <w:szCs w:val="24"/>
        </w:rPr>
      </w:pPr>
      <w:r>
        <w:rPr>
          <w:rFonts w:hint="eastAsia" w:ascii="微软雅黑" w:hAnsi="微软雅黑" w:eastAsia="微软雅黑" w:cs="微软雅黑"/>
          <w:b w:val="0"/>
          <w:i w:val="0"/>
          <w:caps w:val="0"/>
          <w:color w:val="333333"/>
          <w:spacing w:val="0"/>
          <w:sz w:val="24"/>
          <w:szCs w:val="24"/>
          <w:shd w:val="clear" w:fill="FFFFFF"/>
        </w:rPr>
        <w:t>四、财政拨款收入支出决算总表（表4）</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color w:val="333333"/>
          <w:sz w:val="24"/>
          <w:szCs w:val="24"/>
        </w:rPr>
      </w:pPr>
      <w:r>
        <w:rPr>
          <w:rFonts w:hint="eastAsia" w:ascii="微软雅黑" w:hAnsi="微软雅黑" w:eastAsia="微软雅黑" w:cs="微软雅黑"/>
          <w:b w:val="0"/>
          <w:i w:val="0"/>
          <w:caps w:val="0"/>
          <w:color w:val="333333"/>
          <w:spacing w:val="0"/>
          <w:sz w:val="24"/>
          <w:szCs w:val="24"/>
          <w:shd w:val="clear" w:fill="FFFFFF"/>
        </w:rPr>
        <w:t>五、一般公共预算财政拨款支出决算表（表5）</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color w:val="333333"/>
          <w:sz w:val="24"/>
          <w:szCs w:val="24"/>
        </w:rPr>
      </w:pPr>
      <w:r>
        <w:rPr>
          <w:rFonts w:hint="eastAsia" w:ascii="微软雅黑" w:hAnsi="微软雅黑" w:eastAsia="微软雅黑" w:cs="微软雅黑"/>
          <w:b w:val="0"/>
          <w:i w:val="0"/>
          <w:caps w:val="0"/>
          <w:color w:val="333333"/>
          <w:spacing w:val="0"/>
          <w:sz w:val="24"/>
          <w:szCs w:val="24"/>
          <w:shd w:val="clear" w:fill="FFFFFF"/>
        </w:rPr>
        <w:t>六、一般公共预算财政拨款基本支出决算表（表6）</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color w:val="333333"/>
          <w:sz w:val="24"/>
          <w:szCs w:val="24"/>
        </w:rPr>
      </w:pPr>
      <w:r>
        <w:rPr>
          <w:rFonts w:hint="eastAsia" w:ascii="微软雅黑" w:hAnsi="微软雅黑" w:eastAsia="微软雅黑" w:cs="微软雅黑"/>
          <w:b w:val="0"/>
          <w:i w:val="0"/>
          <w:caps w:val="0"/>
          <w:color w:val="333333"/>
          <w:spacing w:val="0"/>
          <w:sz w:val="24"/>
          <w:szCs w:val="24"/>
          <w:shd w:val="clear" w:fill="FFFFFF"/>
        </w:rPr>
        <w:t>七、一般公共预算财政拨款“三公”经费支出决算表（表7）</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color w:val="333333"/>
          <w:sz w:val="24"/>
          <w:szCs w:val="24"/>
        </w:rPr>
      </w:pPr>
      <w:r>
        <w:rPr>
          <w:rFonts w:hint="eastAsia" w:ascii="微软雅黑" w:hAnsi="微软雅黑" w:eastAsia="微软雅黑" w:cs="微软雅黑"/>
          <w:b w:val="0"/>
          <w:i w:val="0"/>
          <w:caps w:val="0"/>
          <w:color w:val="333333"/>
          <w:spacing w:val="0"/>
          <w:sz w:val="24"/>
          <w:szCs w:val="24"/>
          <w:shd w:val="clear" w:fill="FFFFFF"/>
        </w:rPr>
        <w:t>八、政府性基金预算财政拨款收入支出决算表（8）</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color w:val="333333"/>
          <w:sz w:val="24"/>
          <w:szCs w:val="24"/>
        </w:rPr>
      </w:pPr>
      <w:r>
        <w:rPr>
          <w:rFonts w:hint="eastAsia" w:ascii="微软雅黑" w:hAnsi="微软雅黑" w:eastAsia="微软雅黑" w:cs="微软雅黑"/>
          <w:b w:val="0"/>
          <w:i w:val="0"/>
          <w:caps w:val="0"/>
          <w:color w:val="333333"/>
          <w:spacing w:val="0"/>
          <w:sz w:val="24"/>
          <w:szCs w:val="24"/>
          <w:shd w:val="clear" w:fill="FFFFFF"/>
        </w:rPr>
        <w:t>第三部分：部门2017年部门决算情况说明</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shd w:val="clear" w:fill="FFFFFF"/>
        </w:rPr>
      </w:pPr>
      <w:r>
        <w:rPr>
          <w:rFonts w:hint="eastAsia" w:ascii="微软雅黑" w:hAnsi="微软雅黑" w:eastAsia="微软雅黑" w:cs="微软雅黑"/>
          <w:b w:val="0"/>
          <w:i w:val="0"/>
          <w:caps w:val="0"/>
          <w:color w:val="333333"/>
          <w:spacing w:val="0"/>
          <w:sz w:val="24"/>
          <w:szCs w:val="24"/>
          <w:shd w:val="clear" w:fill="FFFFFF"/>
          <w:lang w:eastAsia="zh-CN"/>
        </w:rPr>
        <w:t>一、</w:t>
      </w:r>
      <w:r>
        <w:rPr>
          <w:rFonts w:hint="eastAsia" w:ascii="微软雅黑" w:hAnsi="微软雅黑" w:eastAsia="微软雅黑" w:cs="微软雅黑"/>
          <w:b w:val="0"/>
          <w:i w:val="0"/>
          <w:caps w:val="0"/>
          <w:color w:val="333333"/>
          <w:spacing w:val="0"/>
          <w:sz w:val="24"/>
          <w:szCs w:val="24"/>
          <w:shd w:val="clear" w:fill="FFFFFF"/>
        </w:rPr>
        <w:t>预算执行情况分析</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shd w:val="clear" w:fill="FFFFFF"/>
        </w:rPr>
      </w:pPr>
      <w:r>
        <w:rPr>
          <w:rFonts w:hint="eastAsia" w:ascii="微软雅黑" w:hAnsi="微软雅黑" w:eastAsia="微软雅黑" w:cs="微软雅黑"/>
          <w:b w:val="0"/>
          <w:i w:val="0"/>
          <w:caps w:val="0"/>
          <w:color w:val="333333"/>
          <w:spacing w:val="0"/>
          <w:sz w:val="24"/>
          <w:szCs w:val="24"/>
          <w:shd w:val="clear" w:fill="FFFFFF"/>
          <w:lang w:eastAsia="zh-CN"/>
        </w:rPr>
        <w:t>二、</w:t>
      </w:r>
      <w:r>
        <w:rPr>
          <w:rFonts w:hint="eastAsia" w:ascii="微软雅黑" w:hAnsi="微软雅黑" w:eastAsia="微软雅黑" w:cs="微软雅黑"/>
          <w:b w:val="0"/>
          <w:i w:val="0"/>
          <w:caps w:val="0"/>
          <w:color w:val="333333"/>
          <w:spacing w:val="0"/>
          <w:sz w:val="24"/>
          <w:szCs w:val="24"/>
          <w:shd w:val="clear" w:fill="FFFFFF"/>
        </w:rPr>
        <w:t>关于“三公”经费支出说明</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shd w:val="clear" w:fill="FFFFFF"/>
        </w:rPr>
      </w:pPr>
      <w:r>
        <w:rPr>
          <w:rFonts w:hint="eastAsia" w:ascii="微软雅黑" w:hAnsi="微软雅黑" w:eastAsia="微软雅黑" w:cs="微软雅黑"/>
          <w:b w:val="0"/>
          <w:i w:val="0"/>
          <w:caps w:val="0"/>
          <w:color w:val="333333"/>
          <w:spacing w:val="0"/>
          <w:sz w:val="24"/>
          <w:szCs w:val="24"/>
          <w:shd w:val="clear" w:fill="FFFFFF"/>
          <w:lang w:eastAsia="zh-CN"/>
        </w:rPr>
        <w:t>三、</w:t>
      </w:r>
      <w:r>
        <w:rPr>
          <w:rFonts w:hint="eastAsia" w:ascii="微软雅黑" w:hAnsi="微软雅黑" w:eastAsia="微软雅黑" w:cs="微软雅黑"/>
          <w:b w:val="0"/>
          <w:i w:val="0"/>
          <w:caps w:val="0"/>
          <w:color w:val="333333"/>
          <w:spacing w:val="0"/>
          <w:sz w:val="24"/>
          <w:szCs w:val="24"/>
          <w:shd w:val="clear" w:fill="FFFFFF"/>
        </w:rPr>
        <w:t>关于机关运行经费支出说明</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shd w:val="clear" w:fill="FFFFFF"/>
        </w:rPr>
      </w:pPr>
      <w:r>
        <w:rPr>
          <w:rFonts w:hint="eastAsia" w:ascii="微软雅黑" w:hAnsi="微软雅黑" w:eastAsia="微软雅黑" w:cs="微软雅黑"/>
          <w:b w:val="0"/>
          <w:i w:val="0"/>
          <w:caps w:val="0"/>
          <w:color w:val="333333"/>
          <w:spacing w:val="0"/>
          <w:sz w:val="24"/>
          <w:szCs w:val="24"/>
          <w:shd w:val="clear" w:fill="FFFFFF"/>
        </w:rPr>
        <w:t>四</w:t>
      </w:r>
      <w:r>
        <w:rPr>
          <w:rFonts w:hint="eastAsia" w:ascii="微软雅黑" w:hAnsi="微软雅黑" w:eastAsia="微软雅黑" w:cs="微软雅黑"/>
          <w:b w:val="0"/>
          <w:i w:val="0"/>
          <w:caps w:val="0"/>
          <w:color w:val="333333"/>
          <w:spacing w:val="0"/>
          <w:sz w:val="24"/>
          <w:szCs w:val="24"/>
          <w:shd w:val="clear" w:fill="FFFFFF"/>
          <w:lang w:eastAsia="zh-CN"/>
        </w:rPr>
        <w:t>、</w:t>
      </w:r>
      <w:r>
        <w:rPr>
          <w:rFonts w:hint="eastAsia" w:ascii="微软雅黑" w:hAnsi="微软雅黑" w:eastAsia="微软雅黑" w:cs="微软雅黑"/>
          <w:b w:val="0"/>
          <w:i w:val="0"/>
          <w:caps w:val="0"/>
          <w:color w:val="333333"/>
          <w:spacing w:val="0"/>
          <w:sz w:val="24"/>
          <w:szCs w:val="24"/>
          <w:shd w:val="clear" w:fill="FFFFFF"/>
        </w:rPr>
        <w:t>关于政府采购支出说明</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shd w:val="clear" w:fill="FFFFFF"/>
        </w:rPr>
      </w:pPr>
      <w:r>
        <w:rPr>
          <w:rFonts w:hint="eastAsia" w:ascii="微软雅黑" w:hAnsi="微软雅黑" w:eastAsia="微软雅黑" w:cs="微软雅黑"/>
          <w:b w:val="0"/>
          <w:i w:val="0"/>
          <w:caps w:val="0"/>
          <w:color w:val="333333"/>
          <w:spacing w:val="0"/>
          <w:sz w:val="24"/>
          <w:szCs w:val="24"/>
          <w:shd w:val="clear" w:fill="FFFFFF"/>
        </w:rPr>
        <w:t>五</w:t>
      </w:r>
      <w:r>
        <w:rPr>
          <w:rFonts w:hint="eastAsia" w:ascii="微软雅黑" w:hAnsi="微软雅黑" w:eastAsia="微软雅黑" w:cs="微软雅黑"/>
          <w:b w:val="0"/>
          <w:i w:val="0"/>
          <w:caps w:val="0"/>
          <w:color w:val="333333"/>
          <w:spacing w:val="0"/>
          <w:sz w:val="24"/>
          <w:szCs w:val="24"/>
          <w:shd w:val="clear" w:fill="FFFFFF"/>
          <w:lang w:eastAsia="zh-CN"/>
        </w:rPr>
        <w:t>、</w:t>
      </w:r>
      <w:r>
        <w:rPr>
          <w:rFonts w:hint="eastAsia" w:ascii="微软雅黑" w:hAnsi="微软雅黑" w:eastAsia="微软雅黑" w:cs="微软雅黑"/>
          <w:b w:val="0"/>
          <w:i w:val="0"/>
          <w:caps w:val="0"/>
          <w:color w:val="333333"/>
          <w:spacing w:val="0"/>
          <w:sz w:val="24"/>
          <w:szCs w:val="24"/>
          <w:shd w:val="clear" w:fill="FFFFFF"/>
        </w:rPr>
        <w:t>关于国有资产占用情况说明</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rFonts w:hint="eastAsia" w:ascii="微软雅黑" w:hAnsi="微软雅黑" w:eastAsia="微软雅黑" w:cs="微软雅黑"/>
          <w:b w:val="0"/>
          <w:i w:val="0"/>
          <w:caps w:val="0"/>
          <w:color w:val="333333"/>
          <w:spacing w:val="0"/>
          <w:sz w:val="24"/>
          <w:szCs w:val="24"/>
          <w:shd w:val="clear" w:fill="FFFFFF"/>
        </w:rPr>
      </w:pPr>
      <w:r>
        <w:rPr>
          <w:rFonts w:hint="eastAsia" w:ascii="微软雅黑" w:hAnsi="微软雅黑" w:eastAsia="微软雅黑" w:cs="微软雅黑"/>
          <w:b w:val="0"/>
          <w:i w:val="0"/>
          <w:caps w:val="0"/>
          <w:color w:val="333333"/>
          <w:spacing w:val="0"/>
          <w:sz w:val="24"/>
          <w:szCs w:val="24"/>
          <w:shd w:val="clear" w:fill="FFFFFF"/>
        </w:rPr>
        <w:t>第四部分：名词解释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rFonts w:hint="eastAsia" w:ascii="微软雅黑" w:hAnsi="微软雅黑" w:eastAsia="微软雅黑" w:cs="微软雅黑"/>
          <w:b w:val="0"/>
          <w:i w:val="0"/>
          <w:caps w:val="0"/>
          <w:color w:val="333333"/>
          <w:spacing w:val="0"/>
          <w:sz w:val="24"/>
          <w:szCs w:val="24"/>
          <w:shd w:val="clear" w:fill="FFFFFF"/>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jc w:val="center"/>
        <w:rPr>
          <w:color w:val="333333"/>
          <w:sz w:val="24"/>
          <w:szCs w:val="24"/>
        </w:rPr>
      </w:pPr>
      <w:r>
        <w:rPr>
          <w:rStyle w:val="8"/>
          <w:rFonts w:hint="eastAsia" w:ascii="微软雅黑" w:hAnsi="微软雅黑" w:eastAsia="微软雅黑" w:cs="微软雅黑"/>
          <w:i w:val="0"/>
          <w:caps w:val="0"/>
          <w:color w:val="333333"/>
          <w:spacing w:val="0"/>
          <w:sz w:val="24"/>
          <w:szCs w:val="24"/>
          <w:shd w:val="clear" w:fill="FFFFFF"/>
        </w:rPr>
        <w:t>2017年部门决算</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color w:val="333333"/>
          <w:sz w:val="24"/>
          <w:szCs w:val="24"/>
        </w:rPr>
      </w:pPr>
      <w:r>
        <w:rPr>
          <w:rStyle w:val="8"/>
          <w:rFonts w:hint="eastAsia" w:ascii="微软雅黑" w:hAnsi="微软雅黑" w:eastAsia="微软雅黑" w:cs="微软雅黑"/>
          <w:i w:val="0"/>
          <w:caps w:val="0"/>
          <w:color w:val="333333"/>
          <w:spacing w:val="0"/>
          <w:sz w:val="24"/>
          <w:szCs w:val="24"/>
          <w:shd w:val="clear" w:fill="FFFFFF"/>
          <w:lang w:eastAsia="zh-CN"/>
        </w:rPr>
        <w:t>第一部分</w:t>
      </w:r>
      <w:r>
        <w:rPr>
          <w:rStyle w:val="8"/>
          <w:rFonts w:hint="eastAsia" w:ascii="微软雅黑" w:hAnsi="微软雅黑" w:eastAsia="微软雅黑" w:cs="微软雅黑"/>
          <w:i w:val="0"/>
          <w:caps w:val="0"/>
          <w:color w:val="333333"/>
          <w:spacing w:val="0"/>
          <w:sz w:val="24"/>
          <w:szCs w:val="24"/>
          <w:shd w:val="clear" w:fill="FFFFFF"/>
          <w:lang w:val="en-US" w:eastAsia="zh-CN"/>
        </w:rPr>
        <w:t xml:space="preserve"> </w:t>
      </w:r>
      <w:r>
        <w:rPr>
          <w:rStyle w:val="8"/>
          <w:rFonts w:hint="eastAsia" w:ascii="微软雅黑" w:hAnsi="微软雅黑" w:eastAsia="微软雅黑" w:cs="微软雅黑"/>
          <w:i w:val="0"/>
          <w:caps w:val="0"/>
          <w:color w:val="333333"/>
          <w:spacing w:val="0"/>
          <w:sz w:val="24"/>
          <w:szCs w:val="24"/>
          <w:shd w:val="clear" w:fill="FFFFFF"/>
        </w:rPr>
        <w:t>部门概况</w:t>
      </w:r>
    </w:p>
    <w:p>
      <w:pPr>
        <w:widowControl/>
        <w:shd w:val="clear" w:color="auto" w:fill="FFFFFF"/>
        <w:spacing w:line="560" w:lineRule="exact"/>
        <w:ind w:firstLine="480"/>
        <w:jc w:val="left"/>
        <w:rPr>
          <w:rFonts w:hint="eastAsia" w:ascii="Arial" w:hAnsi="Arial" w:cs="Arial"/>
          <w:sz w:val="28"/>
          <w:szCs w:val="28"/>
        </w:rPr>
      </w:pPr>
      <w:r>
        <w:rPr>
          <w:rFonts w:hint="eastAsia" w:ascii="楷体" w:hAnsi="楷体" w:eastAsia="楷体" w:cs="楷体"/>
          <w:color w:val="333333"/>
          <w:kern w:val="0"/>
          <w:sz w:val="32"/>
          <w:szCs w:val="32"/>
        </w:rPr>
        <w:t>（</w:t>
      </w:r>
      <w:r>
        <w:rPr>
          <w:rFonts w:hint="eastAsia" w:ascii="楷体" w:hAnsi="楷体" w:eastAsia="楷体" w:cs="楷体"/>
          <w:sz w:val="32"/>
          <w:szCs w:val="32"/>
        </w:rPr>
        <w:t>一）主要职责</w:t>
      </w:r>
    </w:p>
    <w:p>
      <w:pPr>
        <w:pStyle w:val="5"/>
        <w:shd w:val="clear" w:color="auto" w:fill="FFFFFF"/>
        <w:spacing w:before="0" w:beforeAutospacing="0" w:after="180" w:afterAutospacing="0" w:line="288" w:lineRule="atLeast"/>
        <w:ind w:firstLine="480"/>
        <w:rPr>
          <w:rFonts w:ascii="Arial" w:hAnsi="Arial" w:cs="Arial"/>
          <w:sz w:val="28"/>
          <w:szCs w:val="28"/>
        </w:rPr>
      </w:pPr>
      <w:r>
        <w:rPr>
          <w:rFonts w:hint="eastAsia" w:ascii="Arial" w:hAnsi="Arial" w:cs="Arial"/>
          <w:sz w:val="28"/>
          <w:szCs w:val="28"/>
        </w:rPr>
        <w:t>1、</w:t>
      </w:r>
      <w:r>
        <w:rPr>
          <w:rFonts w:ascii="Arial" w:hAnsi="Arial" w:cs="Arial"/>
          <w:sz w:val="28"/>
          <w:szCs w:val="28"/>
        </w:rPr>
        <w:t>主管全市党的纪律检查工作。负责贯彻落实党中央和省、市委关于加强党风廉政建设的决定，维护党的章程和其它党内法规，协助市委加强党风廉政，检查党的路线、方针、政策和决议的贯彻执行情况。</w:t>
      </w:r>
    </w:p>
    <w:p>
      <w:pPr>
        <w:pStyle w:val="5"/>
        <w:shd w:val="clear" w:color="auto" w:fill="FFFFFF"/>
        <w:spacing w:before="0" w:beforeAutospacing="0" w:after="180" w:afterAutospacing="0" w:line="288" w:lineRule="atLeast"/>
        <w:ind w:firstLine="480"/>
        <w:rPr>
          <w:rFonts w:ascii="Arial" w:hAnsi="Arial" w:cs="Arial"/>
          <w:sz w:val="28"/>
          <w:szCs w:val="28"/>
        </w:rPr>
      </w:pPr>
      <w:r>
        <w:rPr>
          <w:rFonts w:ascii="Arial" w:hAnsi="Arial" w:cs="Arial"/>
          <w:sz w:val="28"/>
          <w:szCs w:val="28"/>
        </w:rPr>
        <w:t>2、 主管全市行政监察工作。负责贯彻落实党中央、国务院和省委、省政府、市委、市政府有关行政监察工作的决定，监督检查市政府各部门及其工作人员和县(市)、区人民政府及其主要负责人执行国家政策和法律、法规、国民经济和社会发展计划及市政府颁发的决议的情况。</w:t>
      </w:r>
    </w:p>
    <w:p>
      <w:pPr>
        <w:pStyle w:val="5"/>
        <w:shd w:val="clear" w:color="auto" w:fill="FFFFFF"/>
        <w:spacing w:before="0" w:beforeAutospacing="0" w:after="180" w:afterAutospacing="0" w:line="288" w:lineRule="atLeast"/>
        <w:ind w:firstLine="480"/>
        <w:rPr>
          <w:rFonts w:ascii="Arial" w:hAnsi="Arial" w:cs="Arial"/>
          <w:sz w:val="28"/>
          <w:szCs w:val="28"/>
        </w:rPr>
      </w:pPr>
      <w:r>
        <w:rPr>
          <w:rFonts w:ascii="Arial" w:hAnsi="Arial" w:cs="Arial"/>
          <w:sz w:val="28"/>
          <w:szCs w:val="28"/>
        </w:rPr>
        <w:t>3、 负责检查并处理市委机关和市政府部门、县(市)、区党的组织和市委管理的党员领导干部违反党的章程及其他党内法规的案件，决定或取消对这些案件中的党员的处分，受理党员的控告或申诉，必要时直接查处下级党的纪律检查机关管辖范围内的比较重要或复杂的案件。</w:t>
      </w:r>
    </w:p>
    <w:p>
      <w:pPr>
        <w:pStyle w:val="5"/>
        <w:shd w:val="clear" w:color="auto" w:fill="FFFFFF"/>
        <w:spacing w:before="0" w:beforeAutospacing="0" w:after="180" w:afterAutospacing="0" w:line="288" w:lineRule="atLeast"/>
        <w:ind w:firstLine="480"/>
        <w:rPr>
          <w:rFonts w:ascii="Arial" w:hAnsi="Arial" w:cs="Arial"/>
          <w:sz w:val="28"/>
          <w:szCs w:val="28"/>
        </w:rPr>
      </w:pPr>
      <w:r>
        <w:rPr>
          <w:rFonts w:ascii="Arial" w:hAnsi="Arial" w:cs="Arial"/>
          <w:sz w:val="28"/>
          <w:szCs w:val="28"/>
        </w:rPr>
        <w:t>4 、负责调查处理市政府各部门及其工作人员和市政府及政府部门任命的企事业单位负责人，县(市)、区政府及其主要负责人违反国家政策、法律法规以及违反政纪的行为，并根据责任人所犯错误的情节轻重，作出撤职及撤职以下的行政处分(对涉及选举产生的领导干部按法定程序办理);受理监察对象不服政纪处分的申诉，受理个人或单位对监察对象违纪行为的检举、控告。</w:t>
      </w:r>
    </w:p>
    <w:p>
      <w:pPr>
        <w:pStyle w:val="5"/>
        <w:shd w:val="clear" w:color="auto" w:fill="FFFFFF"/>
        <w:spacing w:before="0" w:beforeAutospacing="0" w:after="180" w:afterAutospacing="0" w:line="288" w:lineRule="atLeast"/>
        <w:ind w:firstLine="480"/>
        <w:rPr>
          <w:rFonts w:ascii="Arial" w:hAnsi="Arial" w:cs="Arial"/>
          <w:sz w:val="28"/>
          <w:szCs w:val="28"/>
        </w:rPr>
      </w:pPr>
      <w:r>
        <w:rPr>
          <w:rFonts w:ascii="Arial" w:hAnsi="Arial" w:cs="Arial"/>
          <w:sz w:val="28"/>
          <w:szCs w:val="28"/>
        </w:rPr>
        <w:t>5 、负责作出关于维护党纪的决定，制定全市党风党纪规划，做好党的纪检工作方针、政策的宣传工作和对党员遵守纪律的教育工作。</w:t>
      </w:r>
    </w:p>
    <w:p>
      <w:pPr>
        <w:pStyle w:val="5"/>
        <w:shd w:val="clear" w:color="auto" w:fill="FFFFFF"/>
        <w:spacing w:before="0" w:beforeAutospacing="0" w:after="180" w:afterAutospacing="0" w:line="288" w:lineRule="atLeast"/>
        <w:ind w:firstLine="480"/>
        <w:rPr>
          <w:rFonts w:ascii="Arial" w:hAnsi="Arial" w:cs="Arial"/>
          <w:sz w:val="28"/>
          <w:szCs w:val="28"/>
        </w:rPr>
      </w:pPr>
      <w:r>
        <w:rPr>
          <w:rFonts w:ascii="Arial" w:hAnsi="Arial" w:cs="Arial"/>
          <w:sz w:val="28"/>
          <w:szCs w:val="28"/>
        </w:rPr>
        <w:t>6 、会同有关部门做好行政监察工作的方针、政策和法律法规的宣传工作，教育国家行政工作人员遵纪守法，为政清廉。</w:t>
      </w:r>
    </w:p>
    <w:p>
      <w:pPr>
        <w:pStyle w:val="5"/>
        <w:shd w:val="clear" w:color="auto" w:fill="FFFFFF"/>
        <w:spacing w:before="0" w:beforeAutospacing="0" w:after="180" w:afterAutospacing="0" w:line="288" w:lineRule="atLeast"/>
        <w:ind w:firstLine="480"/>
        <w:rPr>
          <w:rFonts w:ascii="Arial" w:hAnsi="Arial" w:cs="Arial"/>
          <w:sz w:val="28"/>
          <w:szCs w:val="28"/>
        </w:rPr>
      </w:pPr>
      <w:r>
        <w:rPr>
          <w:rFonts w:ascii="Arial" w:hAnsi="Arial" w:cs="Arial"/>
          <w:sz w:val="28"/>
          <w:szCs w:val="28"/>
        </w:rPr>
        <w:t>7 、负责对党的纪律检查工作理论及有关问题进行调查研究。</w:t>
      </w:r>
    </w:p>
    <w:p>
      <w:pPr>
        <w:pStyle w:val="5"/>
        <w:shd w:val="clear" w:color="auto" w:fill="FFFFFF"/>
        <w:spacing w:before="0" w:beforeAutospacing="0" w:after="180" w:afterAutospacing="0" w:line="288" w:lineRule="atLeast"/>
        <w:ind w:firstLine="480"/>
        <w:rPr>
          <w:rFonts w:ascii="Arial" w:hAnsi="Arial" w:cs="Arial"/>
          <w:sz w:val="28"/>
          <w:szCs w:val="28"/>
        </w:rPr>
      </w:pPr>
      <w:r>
        <w:rPr>
          <w:rFonts w:ascii="Arial" w:hAnsi="Arial" w:cs="Arial"/>
          <w:sz w:val="28"/>
          <w:szCs w:val="28"/>
        </w:rPr>
        <w:t>8 、调查研究市政府各部门制定有关政策、法规的情况，对其违反国家法律和有损国家利益的条款提出修改、补充的建议;变更或撤销全市各级行政监察机关不适当的决定和规定。</w:t>
      </w:r>
    </w:p>
    <w:p>
      <w:pPr>
        <w:pStyle w:val="5"/>
        <w:shd w:val="clear" w:color="auto" w:fill="FFFFFF"/>
        <w:spacing w:before="0" w:beforeAutospacing="0" w:after="180" w:afterAutospacing="0" w:line="288" w:lineRule="atLeast"/>
        <w:ind w:firstLine="480"/>
        <w:rPr>
          <w:rFonts w:ascii="Arial" w:hAnsi="Arial" w:cs="Arial"/>
          <w:sz w:val="28"/>
          <w:szCs w:val="28"/>
        </w:rPr>
      </w:pPr>
      <w:r>
        <w:rPr>
          <w:rFonts w:ascii="Arial" w:hAnsi="Arial" w:cs="Arial"/>
          <w:sz w:val="28"/>
          <w:szCs w:val="28"/>
        </w:rPr>
        <w:t>9 、会同市委、市政府各部门以及县(市)、区党委和政府做好纪检监察干部的管理工作，审核县(市)、区纪委领导班子和监察局领导干部人选;负责市纪委监察局派驻各部门纪检监察机构领导成员的考察工作，并提出任免意见;组织指导全市纪检监察系统干部的培训工作。</w:t>
      </w:r>
    </w:p>
    <w:p>
      <w:pPr>
        <w:pStyle w:val="5"/>
        <w:shd w:val="clear" w:color="auto" w:fill="FFFFFF"/>
        <w:spacing w:before="0" w:beforeAutospacing="0" w:after="180" w:afterAutospacing="0" w:line="288" w:lineRule="atLeast"/>
        <w:ind w:firstLine="480"/>
        <w:rPr>
          <w:rFonts w:hint="eastAsia" w:ascii="Arial" w:hAnsi="Arial" w:cs="Arial"/>
          <w:sz w:val="28"/>
          <w:szCs w:val="28"/>
        </w:rPr>
      </w:pPr>
      <w:r>
        <w:rPr>
          <w:rFonts w:hint="eastAsia" w:ascii="Arial" w:hAnsi="Arial" w:cs="Arial"/>
          <w:sz w:val="28"/>
          <w:szCs w:val="28"/>
        </w:rPr>
        <w:t>10 、协助市政府纠正部门和行业的不正之风，负责纠风的综合、协调、检查、指导工作。总结推广纠风的先进经验，查办不正之风的典型案件。</w:t>
      </w:r>
    </w:p>
    <w:p>
      <w:pPr>
        <w:pStyle w:val="5"/>
        <w:shd w:val="clear" w:color="auto" w:fill="FFFFFF"/>
        <w:spacing w:before="0" w:beforeAutospacing="0" w:after="180" w:afterAutospacing="0" w:line="288" w:lineRule="atLeast"/>
        <w:ind w:firstLine="480"/>
        <w:rPr>
          <w:rFonts w:hint="eastAsia" w:ascii="Arial" w:hAnsi="Arial" w:cs="Arial"/>
          <w:sz w:val="28"/>
          <w:szCs w:val="28"/>
        </w:rPr>
      </w:pPr>
      <w:r>
        <w:rPr>
          <w:rFonts w:hint="eastAsia" w:ascii="Arial" w:hAnsi="Arial" w:cs="Arial"/>
          <w:sz w:val="28"/>
          <w:szCs w:val="28"/>
        </w:rPr>
        <w:t>11 、完成上级交办的其他事项</w:t>
      </w:r>
    </w:p>
    <w:p>
      <w:pPr>
        <w:widowControl/>
        <w:numPr>
          <w:ilvl w:val="0"/>
          <w:numId w:val="1"/>
        </w:numPr>
        <w:shd w:val="clear" w:color="auto" w:fill="FFFFFF"/>
        <w:spacing w:line="560" w:lineRule="exact"/>
        <w:ind w:firstLine="480"/>
        <w:jc w:val="left"/>
        <w:rPr>
          <w:rFonts w:hint="eastAsia" w:ascii="楷体" w:hAnsi="楷体" w:eastAsia="楷体" w:cs="楷体"/>
          <w:color w:val="333333"/>
          <w:kern w:val="0"/>
          <w:sz w:val="32"/>
          <w:szCs w:val="32"/>
        </w:rPr>
      </w:pPr>
      <w:r>
        <w:rPr>
          <w:rFonts w:hint="eastAsia" w:ascii="楷体" w:hAnsi="楷体" w:eastAsia="楷体" w:cs="楷体"/>
          <w:sz w:val="32"/>
          <w:szCs w:val="32"/>
        </w:rPr>
        <w:t>单位基本信息(机构设置等</w:t>
      </w:r>
      <w:r>
        <w:rPr>
          <w:rFonts w:hint="eastAsia" w:ascii="楷体" w:hAnsi="楷体" w:eastAsia="楷体" w:cs="楷体"/>
          <w:color w:val="333333"/>
          <w:kern w:val="0"/>
          <w:sz w:val="32"/>
          <w:szCs w:val="32"/>
        </w:rPr>
        <w:t>)</w:t>
      </w:r>
    </w:p>
    <w:p>
      <w:pPr>
        <w:pStyle w:val="14"/>
        <w:ind w:firstLine="560" w:firstLineChars="200"/>
        <w:rPr>
          <w:rFonts w:hint="eastAsia" w:ascii="Arial" w:hAnsi="Arial" w:cs="Arial"/>
          <w:sz w:val="28"/>
          <w:szCs w:val="28"/>
        </w:rPr>
      </w:pPr>
      <w:r>
        <w:rPr>
          <w:rFonts w:hint="eastAsia" w:ascii="Arial" w:hAnsi="Arial" w:cs="Arial"/>
          <w:sz w:val="28"/>
          <w:szCs w:val="28"/>
        </w:rPr>
        <w:t>目前，本单位共有人员9人，行政编6人，事业编3人。</w:t>
      </w:r>
    </w:p>
    <w:p>
      <w:pPr>
        <w:widowControl/>
        <w:shd w:val="clear" w:color="auto" w:fill="FFFFFF"/>
        <w:jc w:val="left"/>
        <w:rPr>
          <w:rFonts w:hint="eastAsia" w:ascii="宋体" w:hAnsi="宋体" w:cs="宋体"/>
          <w:color w:val="333333"/>
          <w:kern w:val="0"/>
          <w:sz w:val="30"/>
          <w:szCs w:val="30"/>
        </w:rPr>
      </w:pPr>
      <w:r>
        <w:rPr>
          <w:rFonts w:hint="eastAsia" w:ascii="宋体" w:hAnsi="宋体" w:cs="宋体"/>
          <w:color w:val="333333"/>
          <w:kern w:val="0"/>
          <w:sz w:val="30"/>
          <w:szCs w:val="30"/>
        </w:rPr>
        <w:t xml:space="preserve">　 </w:t>
      </w:r>
    </w:p>
    <w:p>
      <w:pPr>
        <w:widowControl/>
        <w:shd w:val="clear" w:color="auto" w:fill="FFFFFF"/>
        <w:jc w:val="left"/>
        <w:rPr>
          <w:rFonts w:hint="eastAsia" w:ascii="宋体" w:hAnsi="宋体" w:cs="宋体"/>
          <w:color w:val="333333"/>
          <w:kern w:val="0"/>
          <w:sz w:val="30"/>
          <w:szCs w:val="30"/>
        </w:rPr>
      </w:pPr>
    </w:p>
    <w:p>
      <w:pPr>
        <w:widowControl/>
        <w:shd w:val="clear" w:color="auto" w:fill="FFFFFF"/>
        <w:jc w:val="left"/>
        <w:rPr>
          <w:rFonts w:hint="eastAsia" w:ascii="宋体" w:hAnsi="宋体" w:cs="宋体"/>
          <w:color w:val="333333"/>
          <w:kern w:val="0"/>
          <w:sz w:val="30"/>
          <w:szCs w:val="30"/>
        </w:rPr>
      </w:pPr>
    </w:p>
    <w:p>
      <w:pPr>
        <w:widowControl/>
        <w:shd w:val="clear" w:color="auto" w:fill="FFFFFF"/>
        <w:jc w:val="left"/>
        <w:rPr>
          <w:rFonts w:hint="eastAsia" w:ascii="宋体" w:hAnsi="宋体" w:cs="宋体"/>
          <w:color w:val="333333"/>
          <w:kern w:val="0"/>
          <w:sz w:val="30"/>
          <w:szCs w:val="30"/>
        </w:rPr>
      </w:pPr>
    </w:p>
    <w:p>
      <w:pPr>
        <w:widowControl/>
        <w:shd w:val="clear" w:color="auto" w:fill="FFFFFF"/>
        <w:jc w:val="left"/>
        <w:rPr>
          <w:rFonts w:hint="eastAsia" w:ascii="宋体" w:hAnsi="宋体" w:cs="宋体"/>
          <w:color w:val="333333"/>
          <w:kern w:val="0"/>
          <w:sz w:val="30"/>
          <w:szCs w:val="30"/>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color w:val="333333"/>
          <w:sz w:val="24"/>
          <w:szCs w:val="24"/>
        </w:rPr>
        <w:sectPr>
          <w:pgSz w:w="16838" w:h="11906" w:orient="landscape"/>
          <w:pgMar w:top="1800" w:right="1440" w:bottom="1800" w:left="1440" w:header="851" w:footer="992" w:gutter="0"/>
          <w:cols w:space="425" w:num="1"/>
          <w:docGrid w:type="lines" w:linePitch="312" w:charSpace="0"/>
        </w:sectPr>
      </w:pPr>
      <w:r>
        <w:rPr>
          <w:rStyle w:val="8"/>
          <w:rFonts w:hint="eastAsia" w:ascii="微软雅黑" w:hAnsi="微软雅黑" w:eastAsia="微软雅黑" w:cs="微软雅黑"/>
          <w:i w:val="0"/>
          <w:caps w:val="0"/>
          <w:color w:val="333333"/>
          <w:spacing w:val="0"/>
          <w:sz w:val="24"/>
          <w:szCs w:val="24"/>
          <w:shd w:val="clear" w:fill="FFFFFF"/>
          <w:lang w:eastAsia="zh-CN"/>
        </w:rPr>
        <w:t>第二部分</w:t>
      </w:r>
      <w:r>
        <w:rPr>
          <w:rStyle w:val="8"/>
          <w:rFonts w:hint="eastAsia" w:ascii="微软雅黑" w:hAnsi="微软雅黑" w:eastAsia="微软雅黑" w:cs="微软雅黑"/>
          <w:i w:val="0"/>
          <w:caps w:val="0"/>
          <w:color w:val="333333"/>
          <w:spacing w:val="0"/>
          <w:sz w:val="24"/>
          <w:szCs w:val="24"/>
          <w:shd w:val="clear" w:fill="FFFFFF"/>
          <w:lang w:val="en-US" w:eastAsia="zh-CN"/>
        </w:rPr>
        <w:t xml:space="preserve"> </w:t>
      </w:r>
      <w:r>
        <w:rPr>
          <w:rStyle w:val="8"/>
          <w:rFonts w:hint="eastAsia" w:ascii="微软雅黑" w:hAnsi="微软雅黑" w:eastAsia="微软雅黑" w:cs="微软雅黑"/>
          <w:i w:val="0"/>
          <w:caps w:val="0"/>
          <w:color w:val="333333"/>
          <w:spacing w:val="0"/>
          <w:sz w:val="24"/>
          <w:szCs w:val="24"/>
          <w:shd w:val="clear" w:fill="FFFFFF"/>
        </w:rPr>
        <w:t>2017年部门决算表</w:t>
      </w:r>
      <w:bookmarkStart w:id="0" w:name="_GoBack"/>
      <w:r>
        <w:drawing>
          <wp:inline distT="0" distB="0" distL="114300" distR="114300">
            <wp:extent cx="7952740" cy="4544060"/>
            <wp:effectExtent l="0" t="0" r="10160" b="8890"/>
            <wp:docPr id="148" name="图片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 name="图片 148"/>
                    <pic:cNvPicPr>
                      <a:picLocks noChangeAspect="1"/>
                    </pic:cNvPicPr>
                  </pic:nvPicPr>
                  <pic:blipFill>
                    <a:blip r:embed="rId4"/>
                    <a:stretch>
                      <a:fillRect/>
                    </a:stretch>
                  </pic:blipFill>
                  <pic:spPr>
                    <a:xfrm>
                      <a:off x="0" y="0"/>
                      <a:ext cx="7952740" cy="4544060"/>
                    </a:xfrm>
                    <a:prstGeom prst="rect">
                      <a:avLst/>
                    </a:prstGeom>
                    <a:noFill/>
                    <a:ln w="9525">
                      <a:noFill/>
                    </a:ln>
                  </pic:spPr>
                </pic:pic>
              </a:graphicData>
            </a:graphic>
          </wp:inline>
        </w:drawing>
      </w:r>
      <w:bookmarkEnd w:id="0"/>
      <w:r>
        <w:drawing>
          <wp:inline distT="0" distB="0" distL="114300" distR="114300">
            <wp:extent cx="8863330" cy="2191385"/>
            <wp:effectExtent l="0" t="0" r="13970" b="18415"/>
            <wp:docPr id="149" name="图片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 name="图片 149"/>
                    <pic:cNvPicPr>
                      <a:picLocks noChangeAspect="1"/>
                    </pic:cNvPicPr>
                  </pic:nvPicPr>
                  <pic:blipFill>
                    <a:blip r:embed="rId5"/>
                    <a:stretch>
                      <a:fillRect/>
                    </a:stretch>
                  </pic:blipFill>
                  <pic:spPr>
                    <a:xfrm>
                      <a:off x="0" y="0"/>
                      <a:ext cx="8863330" cy="2191385"/>
                    </a:xfrm>
                    <a:prstGeom prst="rect">
                      <a:avLst/>
                    </a:prstGeom>
                    <a:noFill/>
                    <a:ln w="9525">
                      <a:noFill/>
                    </a:ln>
                  </pic:spPr>
                </pic:pic>
              </a:graphicData>
            </a:graphic>
          </wp:inline>
        </w:drawing>
      </w:r>
      <w:r>
        <w:drawing>
          <wp:inline distT="0" distB="0" distL="114300" distR="114300">
            <wp:extent cx="8862695" cy="2664460"/>
            <wp:effectExtent l="0" t="0" r="14605" b="2540"/>
            <wp:docPr id="150" name="图片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 name="图片 150"/>
                    <pic:cNvPicPr>
                      <a:picLocks noChangeAspect="1"/>
                    </pic:cNvPicPr>
                  </pic:nvPicPr>
                  <pic:blipFill>
                    <a:blip r:embed="rId6"/>
                    <a:stretch>
                      <a:fillRect/>
                    </a:stretch>
                  </pic:blipFill>
                  <pic:spPr>
                    <a:xfrm>
                      <a:off x="0" y="0"/>
                      <a:ext cx="8862695" cy="2664460"/>
                    </a:xfrm>
                    <a:prstGeom prst="rect">
                      <a:avLst/>
                    </a:prstGeom>
                    <a:noFill/>
                    <a:ln w="9525">
                      <a:noFill/>
                    </a:ln>
                  </pic:spPr>
                </pic:pic>
              </a:graphicData>
            </a:graphic>
          </wp:inline>
        </w:drawing>
      </w:r>
      <w:r>
        <w:drawing>
          <wp:inline distT="0" distB="0" distL="114300" distR="114300">
            <wp:extent cx="6534150" cy="5133975"/>
            <wp:effectExtent l="0" t="0" r="0" b="9525"/>
            <wp:docPr id="151" name="图片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 name="图片 151"/>
                    <pic:cNvPicPr>
                      <a:picLocks noChangeAspect="1"/>
                    </pic:cNvPicPr>
                  </pic:nvPicPr>
                  <pic:blipFill>
                    <a:blip r:embed="rId7"/>
                    <a:stretch>
                      <a:fillRect/>
                    </a:stretch>
                  </pic:blipFill>
                  <pic:spPr>
                    <a:xfrm>
                      <a:off x="0" y="0"/>
                      <a:ext cx="6534150" cy="5133975"/>
                    </a:xfrm>
                    <a:prstGeom prst="rect">
                      <a:avLst/>
                    </a:prstGeom>
                    <a:noFill/>
                    <a:ln w="9525">
                      <a:noFill/>
                    </a:ln>
                  </pic:spPr>
                </pic:pic>
              </a:graphicData>
            </a:graphic>
          </wp:inline>
        </w:drawing>
      </w:r>
      <w:r>
        <w:drawing>
          <wp:inline distT="0" distB="0" distL="114300" distR="114300">
            <wp:extent cx="6038850" cy="2943225"/>
            <wp:effectExtent l="0" t="0" r="0" b="9525"/>
            <wp:docPr id="152" name="图片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 name="图片 152"/>
                    <pic:cNvPicPr>
                      <a:picLocks noChangeAspect="1"/>
                    </pic:cNvPicPr>
                  </pic:nvPicPr>
                  <pic:blipFill>
                    <a:blip r:embed="rId8"/>
                    <a:stretch>
                      <a:fillRect/>
                    </a:stretch>
                  </pic:blipFill>
                  <pic:spPr>
                    <a:xfrm>
                      <a:off x="0" y="0"/>
                      <a:ext cx="6038850" cy="2943225"/>
                    </a:xfrm>
                    <a:prstGeom prst="rect">
                      <a:avLst/>
                    </a:prstGeom>
                    <a:noFill/>
                    <a:ln w="9525">
                      <a:noFill/>
                    </a:ln>
                  </pic:spPr>
                </pic:pic>
              </a:graphicData>
            </a:graphic>
          </wp:inline>
        </w:drawing>
      </w:r>
      <w:r>
        <w:drawing>
          <wp:inline distT="0" distB="0" distL="114300" distR="114300">
            <wp:extent cx="8854440" cy="5038725"/>
            <wp:effectExtent l="0" t="0" r="3810" b="9525"/>
            <wp:docPr id="153" name="图片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 name="图片 153"/>
                    <pic:cNvPicPr>
                      <a:picLocks noChangeAspect="1"/>
                    </pic:cNvPicPr>
                  </pic:nvPicPr>
                  <pic:blipFill>
                    <a:blip r:embed="rId9"/>
                    <a:stretch>
                      <a:fillRect/>
                    </a:stretch>
                  </pic:blipFill>
                  <pic:spPr>
                    <a:xfrm>
                      <a:off x="0" y="0"/>
                      <a:ext cx="8854440" cy="5038725"/>
                    </a:xfrm>
                    <a:prstGeom prst="rect">
                      <a:avLst/>
                    </a:prstGeom>
                    <a:noFill/>
                    <a:ln w="9525">
                      <a:noFill/>
                    </a:ln>
                  </pic:spPr>
                </pic:pic>
              </a:graphicData>
            </a:graphic>
          </wp:inline>
        </w:drawing>
      </w:r>
      <w:r>
        <w:drawing>
          <wp:inline distT="0" distB="0" distL="114300" distR="114300">
            <wp:extent cx="8858885" cy="1854200"/>
            <wp:effectExtent l="0" t="0" r="18415" b="12700"/>
            <wp:docPr id="154" name="图片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 name="图片 154"/>
                    <pic:cNvPicPr>
                      <a:picLocks noChangeAspect="1"/>
                    </pic:cNvPicPr>
                  </pic:nvPicPr>
                  <pic:blipFill>
                    <a:blip r:embed="rId10"/>
                    <a:stretch>
                      <a:fillRect/>
                    </a:stretch>
                  </pic:blipFill>
                  <pic:spPr>
                    <a:xfrm>
                      <a:off x="0" y="0"/>
                      <a:ext cx="8858885" cy="1854200"/>
                    </a:xfrm>
                    <a:prstGeom prst="rect">
                      <a:avLst/>
                    </a:prstGeom>
                    <a:noFill/>
                    <a:ln w="9525">
                      <a:noFill/>
                    </a:ln>
                  </pic:spPr>
                </pic:pic>
              </a:graphicData>
            </a:graphic>
          </wp:inline>
        </w:drawing>
      </w:r>
      <w:r>
        <w:drawing>
          <wp:inline distT="0" distB="0" distL="114300" distR="114300">
            <wp:extent cx="8856345" cy="2021840"/>
            <wp:effectExtent l="0" t="0" r="1905" b="16510"/>
            <wp:docPr id="155" name="图片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 name="图片 155"/>
                    <pic:cNvPicPr>
                      <a:picLocks noChangeAspect="1"/>
                    </pic:cNvPicPr>
                  </pic:nvPicPr>
                  <pic:blipFill>
                    <a:blip r:embed="rId11"/>
                    <a:stretch>
                      <a:fillRect/>
                    </a:stretch>
                  </pic:blipFill>
                  <pic:spPr>
                    <a:xfrm>
                      <a:off x="0" y="0"/>
                      <a:ext cx="8856345" cy="2021840"/>
                    </a:xfrm>
                    <a:prstGeom prst="rect">
                      <a:avLst/>
                    </a:prstGeom>
                    <a:noFill/>
                    <a:ln w="9525">
                      <a:noFill/>
                    </a:ln>
                  </pic:spPr>
                </pic:pic>
              </a:graphicData>
            </a:graphic>
          </wp:inline>
        </w:drawing>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right="0"/>
        <w:jc w:val="both"/>
        <w:rPr>
          <w:color w:val="333333"/>
          <w:sz w:val="24"/>
          <w:szCs w:val="24"/>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jc w:val="center"/>
        <w:rPr>
          <w:color w:val="333333"/>
          <w:sz w:val="24"/>
          <w:szCs w:val="24"/>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color w:val="333333"/>
          <w:sz w:val="24"/>
          <w:szCs w:val="24"/>
        </w:rPr>
      </w:pPr>
      <w:r>
        <w:rPr>
          <w:rStyle w:val="8"/>
          <w:rFonts w:hint="eastAsia" w:ascii="微软雅黑" w:hAnsi="微软雅黑" w:eastAsia="微软雅黑" w:cs="微软雅黑"/>
          <w:i w:val="0"/>
          <w:caps w:val="0"/>
          <w:color w:val="333333"/>
          <w:spacing w:val="0"/>
          <w:sz w:val="24"/>
          <w:szCs w:val="24"/>
          <w:shd w:val="clear" w:fill="FFFFFF"/>
          <w:lang w:eastAsia="zh-CN"/>
        </w:rPr>
        <w:t>第三部分</w:t>
      </w:r>
      <w:r>
        <w:rPr>
          <w:rStyle w:val="8"/>
          <w:rFonts w:hint="eastAsia" w:ascii="微软雅黑" w:hAnsi="微软雅黑" w:eastAsia="微软雅黑" w:cs="微软雅黑"/>
          <w:i w:val="0"/>
          <w:caps w:val="0"/>
          <w:color w:val="333333"/>
          <w:spacing w:val="0"/>
          <w:sz w:val="24"/>
          <w:szCs w:val="24"/>
          <w:shd w:val="clear" w:fill="FFFFFF"/>
          <w:lang w:val="en-US" w:eastAsia="zh-CN"/>
        </w:rPr>
        <w:t xml:space="preserve"> </w:t>
      </w:r>
      <w:r>
        <w:rPr>
          <w:rStyle w:val="8"/>
          <w:rFonts w:hint="eastAsia" w:ascii="微软雅黑" w:hAnsi="微软雅黑" w:eastAsia="微软雅黑" w:cs="微软雅黑"/>
          <w:i w:val="0"/>
          <w:caps w:val="0"/>
          <w:color w:val="333333"/>
          <w:spacing w:val="0"/>
          <w:sz w:val="24"/>
          <w:szCs w:val="24"/>
          <w:shd w:val="clear" w:fill="FFFFFF"/>
        </w:rPr>
        <w:t>2017年部门决算情况说明</w:t>
      </w:r>
    </w:p>
    <w:p>
      <w:pPr>
        <w:ind w:firstLine="560" w:firstLineChars="200"/>
        <w:rPr>
          <w:rFonts w:hint="eastAsia" w:ascii="仿宋_GB2312" w:hAnsi="仿宋" w:eastAsia="仿宋_GB2312" w:cs="仿宋"/>
          <w:sz w:val="28"/>
          <w:szCs w:val="28"/>
        </w:rPr>
      </w:pPr>
      <w:r>
        <w:rPr>
          <w:rFonts w:hint="eastAsia" w:ascii="仿宋_GB2312" w:hAnsi="仿宋" w:eastAsia="仿宋_GB2312" w:cs="仿宋"/>
          <w:sz w:val="28"/>
          <w:szCs w:val="28"/>
        </w:rPr>
        <w:t>1、收支增减情况说明：2017年度本单位总收入</w:t>
      </w:r>
      <w:r>
        <w:rPr>
          <w:rFonts w:hint="eastAsia" w:ascii="仿宋_GB2312" w:eastAsia="仿宋_GB2312" w:cs="Times New Roman"/>
          <w:sz w:val="28"/>
          <w:szCs w:val="28"/>
        </w:rPr>
        <w:t> 218.36</w:t>
      </w:r>
      <w:r>
        <w:rPr>
          <w:rFonts w:hint="eastAsia" w:ascii="仿宋_GB2312" w:hAnsi="仿宋" w:eastAsia="仿宋_GB2312" w:cs="仿宋"/>
          <w:sz w:val="28"/>
          <w:szCs w:val="28"/>
        </w:rPr>
        <w:t>万元，同比上年增长71.07%，全部为一般公共预算财政拨款；2017年度本单位支出224.89万元，同比上年增加49.83%，主要原因一是人员工资增长，二是办案、大数据等专项支出较大。</w:t>
      </w:r>
    </w:p>
    <w:p>
      <w:pPr>
        <w:widowControl/>
        <w:shd w:val="clear" w:color="auto" w:fill="FFFFFF"/>
        <w:snapToGrid w:val="0"/>
        <w:spacing w:line="560" w:lineRule="atLeast"/>
        <w:ind w:firstLine="560" w:firstLineChars="200"/>
        <w:jc w:val="left"/>
        <w:rPr>
          <w:rFonts w:hint="eastAsia" w:ascii="仿宋_GB2312" w:hAnsi="宋体" w:eastAsia="仿宋_GB2312" w:cs="宋体"/>
          <w:kern w:val="0"/>
          <w:sz w:val="28"/>
          <w:szCs w:val="28"/>
        </w:rPr>
      </w:pPr>
      <w:r>
        <w:rPr>
          <w:rFonts w:hint="eastAsia" w:ascii="仿宋_GB2312" w:hAnsi="仿宋" w:eastAsia="仿宋_GB2312" w:cs="仿宋"/>
          <w:sz w:val="28"/>
          <w:szCs w:val="28"/>
        </w:rPr>
        <w:t>2、</w:t>
      </w:r>
      <w:r>
        <w:rPr>
          <w:rFonts w:hint="eastAsia" w:ascii="仿宋_GB2312" w:hAnsi="宋体" w:eastAsia="仿宋_GB2312" w:cs="宋体"/>
          <w:kern w:val="0"/>
          <w:sz w:val="28"/>
          <w:szCs w:val="28"/>
        </w:rPr>
        <w:t>机关运行经费支出执行情况说明：</w:t>
      </w:r>
      <w:r>
        <w:rPr>
          <w:rFonts w:hint="eastAsia" w:ascii="仿宋_GB2312" w:hAnsi="仿宋" w:eastAsia="仿宋_GB2312" w:cs="仿宋"/>
          <w:bCs/>
          <w:sz w:val="28"/>
          <w:szCs w:val="28"/>
        </w:rPr>
        <w:t>2017年机关运行经费支出45.81万元，2016年支出</w:t>
      </w:r>
      <w:r>
        <w:rPr>
          <w:rFonts w:hint="eastAsia" w:eastAsia="仿宋_GB2312"/>
          <w:sz w:val="28"/>
          <w:szCs w:val="28"/>
        </w:rPr>
        <w:t>33.58</w:t>
      </w:r>
      <w:r>
        <w:rPr>
          <w:rFonts w:hint="eastAsia"/>
          <w:sz w:val="28"/>
          <w:szCs w:val="28"/>
        </w:rPr>
        <w:t>万元；</w:t>
      </w:r>
      <w:r>
        <w:rPr>
          <w:rFonts w:hint="eastAsia" w:ascii="仿宋_GB2312" w:hAnsi="仿宋" w:eastAsia="仿宋_GB2312" w:cs="仿宋"/>
          <w:bCs/>
          <w:sz w:val="28"/>
          <w:szCs w:val="28"/>
        </w:rPr>
        <w:t>对比增加12.23万元。增加原因主要为大数据费用、巡察费用及省下拔专案经费增加。</w:t>
      </w:r>
    </w:p>
    <w:p>
      <w:pPr>
        <w:widowControl/>
        <w:shd w:val="clear" w:color="auto" w:fill="FFFFFF"/>
        <w:spacing w:line="360" w:lineRule="auto"/>
        <w:ind w:firstLine="560"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3、三公经费支出情况：三公经费本年度及上年度均无支出。</w:t>
      </w:r>
    </w:p>
    <w:p>
      <w:pPr>
        <w:widowControl/>
        <w:shd w:val="clear" w:color="auto" w:fill="FFFFFF"/>
        <w:spacing w:line="360" w:lineRule="auto"/>
        <w:ind w:firstLine="560" w:firstLineChars="200"/>
        <w:jc w:val="left"/>
        <w:rPr>
          <w:rFonts w:hint="eastAsia" w:ascii="仿宋_GB2312" w:hAnsi="仿宋" w:eastAsia="仿宋_GB2312" w:cs="仿宋"/>
          <w:bCs/>
          <w:sz w:val="28"/>
          <w:szCs w:val="28"/>
        </w:rPr>
      </w:pPr>
      <w:r>
        <w:rPr>
          <w:rFonts w:hint="eastAsia" w:ascii="仿宋_GB2312" w:hAnsi="仿宋" w:eastAsia="仿宋_GB2312" w:cs="仿宋"/>
          <w:bCs/>
          <w:sz w:val="28"/>
          <w:szCs w:val="28"/>
        </w:rPr>
        <w:t>4、本单位2017年度无政府采购支出.</w:t>
      </w:r>
    </w:p>
    <w:p>
      <w:pPr>
        <w:widowControl/>
        <w:shd w:val="clear" w:color="auto" w:fill="FFFFFF"/>
        <w:spacing w:line="360" w:lineRule="auto"/>
        <w:ind w:firstLine="560" w:firstLineChars="200"/>
        <w:jc w:val="left"/>
        <w:rPr>
          <w:rFonts w:hint="eastAsia" w:ascii="仿宋_GB2312" w:hAnsi="仿宋" w:eastAsia="仿宋_GB2312" w:cs="仿宋"/>
          <w:bCs/>
          <w:sz w:val="28"/>
          <w:szCs w:val="28"/>
        </w:rPr>
      </w:pPr>
      <w:r>
        <w:rPr>
          <w:rFonts w:hint="eastAsia" w:ascii="仿宋_GB2312" w:hAnsi="仿宋" w:eastAsia="仿宋_GB2312" w:cs="仿宋"/>
          <w:bCs/>
          <w:sz w:val="28"/>
          <w:szCs w:val="28"/>
        </w:rPr>
        <w:t>5、本单位无车辆。</w:t>
      </w:r>
    </w:p>
    <w:p>
      <w:pPr>
        <w:pStyle w:val="5"/>
        <w:widowControl/>
        <w:spacing w:before="0" w:beforeAutospacing="0" w:after="0" w:afterAutospacing="0"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color w:val="333333"/>
          <w:sz w:val="24"/>
          <w:szCs w:val="24"/>
        </w:rPr>
      </w:pPr>
      <w:r>
        <w:rPr>
          <w:rFonts w:hint="eastAsia" w:ascii="仿宋_GB2312" w:eastAsia="仿宋_GB2312"/>
          <w:sz w:val="27"/>
          <w:szCs w:val="27"/>
        </w:rPr>
        <w:t xml:space="preserve"> </w:t>
      </w:r>
      <w:r>
        <w:rPr>
          <w:rStyle w:val="8"/>
          <w:rFonts w:hint="eastAsia" w:ascii="微软雅黑" w:hAnsi="微软雅黑" w:eastAsia="微软雅黑" w:cs="微软雅黑"/>
          <w:i w:val="0"/>
          <w:caps w:val="0"/>
          <w:color w:val="333333"/>
          <w:spacing w:val="0"/>
          <w:sz w:val="24"/>
          <w:szCs w:val="24"/>
          <w:shd w:val="clear" w:fill="FFFFFF"/>
        </w:rPr>
        <w:t>第四部分</w:t>
      </w:r>
      <w:r>
        <w:rPr>
          <w:rStyle w:val="8"/>
          <w:rFonts w:hint="eastAsia" w:ascii="微软雅黑" w:hAnsi="微软雅黑" w:eastAsia="微软雅黑" w:cs="微软雅黑"/>
          <w:i w:val="0"/>
          <w:caps w:val="0"/>
          <w:color w:val="333333"/>
          <w:spacing w:val="0"/>
          <w:sz w:val="24"/>
          <w:szCs w:val="24"/>
          <w:shd w:val="clear" w:fill="FFFFFF"/>
          <w:lang w:val="en-US" w:eastAsia="zh-CN"/>
        </w:rPr>
        <w:t xml:space="preserve"> </w:t>
      </w:r>
      <w:r>
        <w:rPr>
          <w:rStyle w:val="8"/>
          <w:rFonts w:hint="eastAsia" w:ascii="微软雅黑" w:hAnsi="微软雅黑" w:eastAsia="微软雅黑" w:cs="微软雅黑"/>
          <w:i w:val="0"/>
          <w:caps w:val="0"/>
          <w:color w:val="333333"/>
          <w:spacing w:val="0"/>
          <w:sz w:val="24"/>
          <w:szCs w:val="24"/>
          <w:shd w:val="clear" w:fill="FFFFFF"/>
        </w:rPr>
        <w:t>名词解释</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color w:val="333333"/>
          <w:sz w:val="24"/>
          <w:szCs w:val="24"/>
        </w:rPr>
      </w:pPr>
      <w:r>
        <w:rPr>
          <w:rFonts w:hint="eastAsia" w:ascii="微软雅黑" w:hAnsi="微软雅黑" w:eastAsia="微软雅黑" w:cs="微软雅黑"/>
          <w:b w:val="0"/>
          <w:i w:val="0"/>
          <w:caps w:val="0"/>
          <w:color w:val="333333"/>
          <w:spacing w:val="0"/>
          <w:sz w:val="24"/>
          <w:szCs w:val="24"/>
          <w:shd w:val="clear" w:fill="FFFFFF"/>
        </w:rPr>
        <w:t>一、财政补助收入：指县级财政当年拨付的资金。</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color w:val="333333"/>
          <w:sz w:val="24"/>
          <w:szCs w:val="24"/>
        </w:rPr>
      </w:pPr>
      <w:r>
        <w:rPr>
          <w:rFonts w:hint="eastAsia" w:ascii="微软雅黑" w:hAnsi="微软雅黑" w:eastAsia="微软雅黑" w:cs="微软雅黑"/>
          <w:b w:val="0"/>
          <w:i w:val="0"/>
          <w:caps w:val="0"/>
          <w:color w:val="333333"/>
          <w:spacing w:val="0"/>
          <w:sz w:val="24"/>
          <w:szCs w:val="24"/>
          <w:shd w:val="clear" w:fill="FFFFFF"/>
        </w:rPr>
        <w:t>二、其他收入：指除“财政拨款收入”、“上级补助收入”、“事业收入”、“经营收入”等以外的收入。主要是存款利息收入等。</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color w:val="333333"/>
          <w:sz w:val="24"/>
          <w:szCs w:val="24"/>
        </w:rPr>
      </w:pPr>
      <w:r>
        <w:rPr>
          <w:rFonts w:hint="eastAsia" w:ascii="微软雅黑" w:hAnsi="微软雅黑" w:eastAsia="微软雅黑" w:cs="微软雅黑"/>
          <w:b w:val="0"/>
          <w:i w:val="0"/>
          <w:caps w:val="0"/>
          <w:color w:val="333333"/>
          <w:spacing w:val="0"/>
          <w:sz w:val="24"/>
          <w:szCs w:val="24"/>
          <w:shd w:val="clear" w:fill="FFFFFF"/>
        </w:rPr>
        <w:t>三、年初结转和结余：指以前年度尚未完成、结转到本年按有关规定继续使用的资金。</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color w:val="333333"/>
          <w:sz w:val="24"/>
          <w:szCs w:val="24"/>
        </w:rPr>
      </w:pPr>
      <w:r>
        <w:rPr>
          <w:rFonts w:hint="eastAsia" w:ascii="微软雅黑" w:hAnsi="微软雅黑" w:eastAsia="微软雅黑" w:cs="微软雅黑"/>
          <w:b w:val="0"/>
          <w:i w:val="0"/>
          <w:caps w:val="0"/>
          <w:color w:val="333333"/>
          <w:spacing w:val="0"/>
          <w:sz w:val="24"/>
          <w:szCs w:val="24"/>
          <w:shd w:val="clear" w:fill="FFFFFF"/>
        </w:rPr>
        <w:t>四、一般公共服务（类）行政运行（项）：指县行政单位及参照公务员管理事业单位用于保障机构正常运行、开展日常工作的基本支出。</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color w:val="333333"/>
          <w:sz w:val="24"/>
          <w:szCs w:val="24"/>
        </w:rPr>
      </w:pPr>
      <w:r>
        <w:rPr>
          <w:rFonts w:hint="eastAsia" w:ascii="微软雅黑" w:hAnsi="微软雅黑" w:eastAsia="微软雅黑" w:cs="微软雅黑"/>
          <w:b w:val="0"/>
          <w:i w:val="0"/>
          <w:caps w:val="0"/>
          <w:color w:val="333333"/>
          <w:spacing w:val="0"/>
          <w:sz w:val="24"/>
          <w:szCs w:val="24"/>
          <w:shd w:val="clear" w:fill="FFFFFF"/>
        </w:rPr>
        <w:t>五、一般公共服务（类）一般行政管理事务（项）：指县行政单位及参照公务员管理事业单位用于开展立法调研、财政信息宣传、非税收入征管等未单独设置项级科目的专门性财政管理工作的项目支出。</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color w:val="333333"/>
          <w:sz w:val="24"/>
          <w:szCs w:val="24"/>
        </w:rPr>
      </w:pPr>
      <w:r>
        <w:rPr>
          <w:rFonts w:hint="eastAsia" w:ascii="微软雅黑" w:hAnsi="微软雅黑" w:eastAsia="微软雅黑" w:cs="微软雅黑"/>
          <w:b w:val="0"/>
          <w:i w:val="0"/>
          <w:caps w:val="0"/>
          <w:color w:val="333333"/>
          <w:spacing w:val="0"/>
          <w:sz w:val="24"/>
          <w:szCs w:val="24"/>
          <w:shd w:val="clear" w:fill="FFFFFF"/>
        </w:rPr>
        <w:t>六、一般公共服务（类）机关服务（项）：指县</w:t>
      </w:r>
      <w:r>
        <w:rPr>
          <w:rFonts w:hint="eastAsia" w:ascii="微软雅黑" w:hAnsi="微软雅黑" w:eastAsia="微软雅黑" w:cs="微软雅黑"/>
          <w:b w:val="0"/>
          <w:i w:val="0"/>
          <w:caps w:val="0"/>
          <w:color w:val="333333"/>
          <w:spacing w:val="0"/>
          <w:sz w:val="24"/>
          <w:szCs w:val="24"/>
          <w:shd w:val="clear" w:fill="FFFFFF"/>
          <w:lang w:eastAsia="zh-CN"/>
        </w:rPr>
        <w:t>黄石港区纪委</w:t>
      </w:r>
      <w:r>
        <w:rPr>
          <w:rFonts w:hint="eastAsia" w:ascii="微软雅黑" w:hAnsi="微软雅黑" w:eastAsia="微软雅黑" w:cs="微软雅黑"/>
          <w:b w:val="0"/>
          <w:i w:val="0"/>
          <w:caps w:val="0"/>
          <w:color w:val="333333"/>
          <w:spacing w:val="0"/>
          <w:sz w:val="24"/>
          <w:szCs w:val="24"/>
          <w:shd w:val="clear" w:fill="FFFFFF"/>
        </w:rPr>
        <w:t>服务中心为机关提供办公楼日常维修、维护等后勤保障服务的支出。</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color w:val="333333"/>
          <w:sz w:val="24"/>
          <w:szCs w:val="24"/>
        </w:rPr>
      </w:pPr>
      <w:r>
        <w:rPr>
          <w:rFonts w:hint="eastAsia" w:ascii="微软雅黑" w:hAnsi="微软雅黑" w:eastAsia="微软雅黑" w:cs="微软雅黑"/>
          <w:b w:val="0"/>
          <w:i w:val="0"/>
          <w:caps w:val="0"/>
          <w:color w:val="333333"/>
          <w:spacing w:val="0"/>
          <w:sz w:val="24"/>
          <w:szCs w:val="24"/>
          <w:shd w:val="clear" w:fill="FFFFFF"/>
        </w:rPr>
        <w:t>七、一般公共服务（类）其他一般公共服务支出（款）其他一般公共服务支出（项）：指</w:t>
      </w:r>
      <w:r>
        <w:rPr>
          <w:rFonts w:hint="eastAsia" w:ascii="微软雅黑" w:hAnsi="微软雅黑" w:eastAsia="微软雅黑" w:cs="微软雅黑"/>
          <w:b w:val="0"/>
          <w:i w:val="0"/>
          <w:caps w:val="0"/>
          <w:color w:val="333333"/>
          <w:spacing w:val="0"/>
          <w:sz w:val="24"/>
          <w:szCs w:val="24"/>
          <w:shd w:val="clear" w:fill="FFFFFF"/>
          <w:lang w:eastAsia="zh-CN"/>
        </w:rPr>
        <w:t>黄石港区纪委</w:t>
      </w:r>
      <w:r>
        <w:rPr>
          <w:rFonts w:hint="eastAsia" w:ascii="微软雅黑" w:hAnsi="微软雅黑" w:eastAsia="微软雅黑" w:cs="微软雅黑"/>
          <w:b w:val="0"/>
          <w:i w:val="0"/>
          <w:caps w:val="0"/>
          <w:color w:val="333333"/>
          <w:spacing w:val="0"/>
          <w:sz w:val="24"/>
          <w:szCs w:val="24"/>
          <w:shd w:val="clear" w:fill="FFFFFF"/>
        </w:rPr>
        <w:t>用于其他一般公共服务方面的支出。</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color w:val="333333"/>
          <w:sz w:val="24"/>
          <w:szCs w:val="24"/>
        </w:rPr>
      </w:pPr>
      <w:r>
        <w:rPr>
          <w:rFonts w:hint="eastAsia" w:ascii="微软雅黑" w:hAnsi="微软雅黑" w:eastAsia="微软雅黑" w:cs="微软雅黑"/>
          <w:b w:val="0"/>
          <w:i w:val="0"/>
          <w:caps w:val="0"/>
          <w:color w:val="333333"/>
          <w:spacing w:val="0"/>
          <w:sz w:val="24"/>
          <w:szCs w:val="24"/>
          <w:shd w:val="clear" w:fill="FFFFFF"/>
        </w:rPr>
        <w:t>八、教育（类）普通教育（款）高等教育（项）：指</w:t>
      </w:r>
      <w:r>
        <w:rPr>
          <w:rFonts w:hint="eastAsia" w:ascii="微软雅黑" w:hAnsi="微软雅黑" w:eastAsia="微软雅黑" w:cs="微软雅黑"/>
          <w:b w:val="0"/>
          <w:i w:val="0"/>
          <w:caps w:val="0"/>
          <w:color w:val="333333"/>
          <w:spacing w:val="0"/>
          <w:sz w:val="24"/>
          <w:szCs w:val="24"/>
          <w:shd w:val="clear" w:fill="FFFFFF"/>
          <w:lang w:eastAsia="zh-CN"/>
        </w:rPr>
        <w:t>黄石港区纪委</w:t>
      </w:r>
      <w:r>
        <w:rPr>
          <w:rFonts w:hint="eastAsia" w:ascii="微软雅黑" w:hAnsi="微软雅黑" w:eastAsia="微软雅黑" w:cs="微软雅黑"/>
          <w:b w:val="0"/>
          <w:i w:val="0"/>
          <w:caps w:val="0"/>
          <w:color w:val="333333"/>
          <w:spacing w:val="0"/>
          <w:sz w:val="24"/>
          <w:szCs w:val="24"/>
          <w:shd w:val="clear" w:fill="FFFFFF"/>
        </w:rPr>
        <w:t>厅支持地方高校的重点发展和特色办学，组织专家对省属院校申报的建设规划和项目预算进行评审等相关工作的支出。</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color w:val="333333"/>
          <w:sz w:val="24"/>
          <w:szCs w:val="24"/>
        </w:rPr>
      </w:pPr>
      <w:r>
        <w:rPr>
          <w:rFonts w:hint="eastAsia" w:ascii="微软雅黑" w:hAnsi="微软雅黑" w:eastAsia="微软雅黑" w:cs="微软雅黑"/>
          <w:b w:val="0"/>
          <w:i w:val="0"/>
          <w:caps w:val="0"/>
          <w:color w:val="333333"/>
          <w:spacing w:val="0"/>
          <w:sz w:val="24"/>
          <w:szCs w:val="24"/>
          <w:shd w:val="clear" w:fill="FFFFFF"/>
        </w:rPr>
        <w:t>九、社会保障和就业(类)行政事业单位离退休（款）归口管理的行政单位离退休（项）：指</w:t>
      </w:r>
      <w:r>
        <w:rPr>
          <w:rFonts w:hint="eastAsia" w:ascii="微软雅黑" w:hAnsi="微软雅黑" w:eastAsia="微软雅黑" w:cs="微软雅黑"/>
          <w:b w:val="0"/>
          <w:i w:val="0"/>
          <w:caps w:val="0"/>
          <w:color w:val="333333"/>
          <w:spacing w:val="0"/>
          <w:sz w:val="24"/>
          <w:szCs w:val="24"/>
          <w:shd w:val="clear" w:fill="FFFFFF"/>
          <w:lang w:eastAsia="zh-CN"/>
        </w:rPr>
        <w:t>黄石港区纪委</w:t>
      </w:r>
      <w:r>
        <w:rPr>
          <w:rFonts w:hint="eastAsia" w:ascii="微软雅黑" w:hAnsi="微软雅黑" w:eastAsia="微软雅黑" w:cs="微软雅黑"/>
          <w:b w:val="0"/>
          <w:i w:val="0"/>
          <w:caps w:val="0"/>
          <w:color w:val="333333"/>
          <w:spacing w:val="0"/>
          <w:sz w:val="24"/>
          <w:szCs w:val="24"/>
          <w:shd w:val="clear" w:fill="FFFFFF"/>
        </w:rPr>
        <w:t>用于离退休人员的支出、退休人员支出，以及提供管理服务工作的离退休干部处的支出。</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color w:val="333333"/>
          <w:sz w:val="24"/>
          <w:szCs w:val="24"/>
        </w:rPr>
      </w:pPr>
      <w:r>
        <w:rPr>
          <w:rFonts w:hint="eastAsia" w:ascii="微软雅黑" w:hAnsi="微软雅黑" w:eastAsia="微软雅黑" w:cs="微软雅黑"/>
          <w:b w:val="0"/>
          <w:i w:val="0"/>
          <w:caps w:val="0"/>
          <w:color w:val="333333"/>
          <w:spacing w:val="0"/>
          <w:sz w:val="24"/>
          <w:szCs w:val="24"/>
          <w:shd w:val="clear" w:fill="FFFFFF"/>
        </w:rPr>
        <w:t>十、社会保障和就业(类)行政事业单位离退休（款）其他行政事业单位离退休支出（项）：指</w:t>
      </w:r>
      <w:r>
        <w:rPr>
          <w:rFonts w:hint="eastAsia" w:ascii="微软雅黑" w:hAnsi="微软雅黑" w:eastAsia="微软雅黑" w:cs="微软雅黑"/>
          <w:b w:val="0"/>
          <w:i w:val="0"/>
          <w:caps w:val="0"/>
          <w:color w:val="333333"/>
          <w:spacing w:val="0"/>
          <w:sz w:val="24"/>
          <w:szCs w:val="24"/>
          <w:shd w:val="clear" w:fill="FFFFFF"/>
          <w:lang w:eastAsia="zh-CN"/>
        </w:rPr>
        <w:t>黄石港区纪委</w:t>
      </w:r>
      <w:r>
        <w:rPr>
          <w:rFonts w:hint="eastAsia" w:ascii="微软雅黑" w:hAnsi="微软雅黑" w:eastAsia="微软雅黑" w:cs="微软雅黑"/>
          <w:b w:val="0"/>
          <w:i w:val="0"/>
          <w:caps w:val="0"/>
          <w:color w:val="333333"/>
          <w:spacing w:val="0"/>
          <w:sz w:val="24"/>
          <w:szCs w:val="24"/>
          <w:shd w:val="clear" w:fill="FFFFFF"/>
        </w:rPr>
        <w:t>用于离退休方面的其他支出。</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color w:val="333333"/>
          <w:sz w:val="24"/>
          <w:szCs w:val="24"/>
        </w:rPr>
      </w:pPr>
      <w:r>
        <w:rPr>
          <w:rFonts w:hint="eastAsia" w:ascii="微软雅黑" w:hAnsi="微软雅黑" w:eastAsia="微软雅黑" w:cs="微软雅黑"/>
          <w:b w:val="0"/>
          <w:i w:val="0"/>
          <w:caps w:val="0"/>
          <w:color w:val="333333"/>
          <w:spacing w:val="0"/>
          <w:sz w:val="24"/>
          <w:szCs w:val="24"/>
          <w:shd w:val="clear" w:fill="FFFFFF"/>
        </w:rPr>
        <w:t>十一、医疗卫生与计划生育（类）医疗保障（款）行政单位医疗（项）：指</w:t>
      </w:r>
      <w:r>
        <w:rPr>
          <w:rFonts w:hint="eastAsia" w:ascii="微软雅黑" w:hAnsi="微软雅黑" w:eastAsia="微软雅黑" w:cs="微软雅黑"/>
          <w:b w:val="0"/>
          <w:i w:val="0"/>
          <w:caps w:val="0"/>
          <w:color w:val="333333"/>
          <w:spacing w:val="0"/>
          <w:sz w:val="24"/>
          <w:szCs w:val="24"/>
          <w:shd w:val="clear" w:fill="FFFFFF"/>
          <w:lang w:eastAsia="zh-CN"/>
        </w:rPr>
        <w:t>黄石港区纪委</w:t>
      </w:r>
      <w:r>
        <w:rPr>
          <w:rFonts w:hint="eastAsia" w:ascii="微软雅黑" w:hAnsi="微软雅黑" w:eastAsia="微软雅黑" w:cs="微软雅黑"/>
          <w:b w:val="0"/>
          <w:i w:val="0"/>
          <w:caps w:val="0"/>
          <w:color w:val="333333"/>
          <w:spacing w:val="0"/>
          <w:sz w:val="24"/>
          <w:szCs w:val="24"/>
          <w:shd w:val="clear" w:fill="FFFFFF"/>
        </w:rPr>
        <w:t>用于机关干部职工及离退休人员医疗方面的支出。</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color w:val="333333"/>
          <w:sz w:val="24"/>
          <w:szCs w:val="24"/>
        </w:rPr>
      </w:pPr>
      <w:r>
        <w:rPr>
          <w:rFonts w:hint="eastAsia" w:ascii="微软雅黑" w:hAnsi="微软雅黑" w:eastAsia="微软雅黑" w:cs="微软雅黑"/>
          <w:b w:val="0"/>
          <w:i w:val="0"/>
          <w:caps w:val="0"/>
          <w:color w:val="333333"/>
          <w:spacing w:val="0"/>
          <w:sz w:val="24"/>
          <w:szCs w:val="24"/>
          <w:shd w:val="clear" w:fill="FFFFFF"/>
        </w:rPr>
        <w:t>十二、住房保障（类）住房改革支出（款）购房补贴（项）：指按照相关住房分配货币化改革的政策规定和标准，对无房和住房未达标职工发放的住房分配货币化补贴资金。</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color w:val="333333"/>
          <w:sz w:val="24"/>
          <w:szCs w:val="24"/>
        </w:rPr>
      </w:pPr>
      <w:r>
        <w:rPr>
          <w:rFonts w:hint="eastAsia" w:ascii="微软雅黑" w:hAnsi="微软雅黑" w:eastAsia="微软雅黑" w:cs="微软雅黑"/>
          <w:b w:val="0"/>
          <w:i w:val="0"/>
          <w:caps w:val="0"/>
          <w:color w:val="333333"/>
          <w:spacing w:val="0"/>
          <w:sz w:val="24"/>
          <w:szCs w:val="24"/>
          <w:shd w:val="clear" w:fill="FFFFFF"/>
        </w:rPr>
        <w:t>十三、年末结转和结余：指本年度或以前年度预算安排、因客观条件发生变化无法按原计划实施，需要延迟到以后年度按有关规定继续使用的资金。</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color w:val="333333"/>
          <w:sz w:val="24"/>
          <w:szCs w:val="24"/>
        </w:rPr>
      </w:pPr>
      <w:r>
        <w:rPr>
          <w:rFonts w:hint="eastAsia" w:ascii="微软雅黑" w:hAnsi="微软雅黑" w:eastAsia="微软雅黑" w:cs="微软雅黑"/>
          <w:b w:val="0"/>
          <w:i w:val="0"/>
          <w:caps w:val="0"/>
          <w:color w:val="333333"/>
          <w:spacing w:val="0"/>
          <w:sz w:val="24"/>
          <w:szCs w:val="24"/>
          <w:shd w:val="clear" w:fill="FFFFFF"/>
        </w:rPr>
        <w:t>十四、基本支出：指为保障机构正常运转、完成日常工作任务而发生的人员支出（包括基本工资、津贴补贴等）和公用支出（包括办公费、水电费、邮电费、交通费、差旅费等）。</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color w:val="333333"/>
          <w:sz w:val="24"/>
          <w:szCs w:val="24"/>
        </w:rPr>
      </w:pPr>
      <w:r>
        <w:rPr>
          <w:rFonts w:hint="eastAsia" w:ascii="微软雅黑" w:hAnsi="微软雅黑" w:eastAsia="微软雅黑" w:cs="微软雅黑"/>
          <w:b w:val="0"/>
          <w:i w:val="0"/>
          <w:caps w:val="0"/>
          <w:color w:val="333333"/>
          <w:spacing w:val="0"/>
          <w:sz w:val="24"/>
          <w:szCs w:val="24"/>
          <w:shd w:val="clear" w:fill="FFFFFF"/>
        </w:rPr>
        <w:t>十五、项目支出：指在基本支出之外为完成特定行政任务和事业发展目标所发生的支出。</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color w:val="333333"/>
          <w:sz w:val="24"/>
          <w:szCs w:val="24"/>
        </w:rPr>
      </w:pPr>
      <w:r>
        <w:rPr>
          <w:rFonts w:hint="eastAsia" w:ascii="微软雅黑" w:hAnsi="微软雅黑" w:eastAsia="微软雅黑" w:cs="微软雅黑"/>
          <w:b w:val="0"/>
          <w:i w:val="0"/>
          <w:caps w:val="0"/>
          <w:color w:val="333333"/>
          <w:spacing w:val="0"/>
          <w:sz w:val="24"/>
          <w:szCs w:val="24"/>
          <w:shd w:val="clear" w:fill="FFFFFF"/>
        </w:rPr>
        <w:t>十六、“三公”经费：是指用财政拨款安排的因公出国（境）费、公务用车购置及运行维护费、公务接待费。</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09791"/>
    <w:multiLevelType w:val="singleLevel"/>
    <w:tmpl w:val="04D09791"/>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64587B"/>
    <w:rsid w:val="09FF39B4"/>
    <w:rsid w:val="10157CA5"/>
    <w:rsid w:val="11411182"/>
    <w:rsid w:val="219E41B4"/>
    <w:rsid w:val="255E033E"/>
    <w:rsid w:val="27390172"/>
    <w:rsid w:val="2CCE2491"/>
    <w:rsid w:val="2F081AB6"/>
    <w:rsid w:val="401A2F36"/>
    <w:rsid w:val="457D21A1"/>
    <w:rsid w:val="507C1CF5"/>
    <w:rsid w:val="57193076"/>
    <w:rsid w:val="61773BFF"/>
    <w:rsid w:val="621B3808"/>
    <w:rsid w:val="67E4782B"/>
    <w:rsid w:val="6930174A"/>
    <w:rsid w:val="746766E2"/>
    <w:rsid w:val="74EA7B66"/>
    <w:rsid w:val="78186405"/>
    <w:rsid w:val="7D417A4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5"/>
    <w:basedOn w:val="1"/>
    <w:next w:val="1"/>
    <w:semiHidden/>
    <w:unhideWhenUsed/>
    <w:qFormat/>
    <w:uiPriority w:val="0"/>
    <w:pPr>
      <w:spacing w:before="0" w:beforeAutospacing="1" w:after="0" w:afterAutospacing="1"/>
      <w:jc w:val="left"/>
    </w:pPr>
    <w:rPr>
      <w:rFonts w:hint="eastAsia" w:ascii="宋体" w:hAnsi="宋体" w:eastAsia="宋体" w:cs="宋体"/>
      <w:b/>
      <w:kern w:val="0"/>
      <w:sz w:val="20"/>
      <w:szCs w:val="20"/>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Indent"/>
    <w:basedOn w:val="1"/>
    <w:qFormat/>
    <w:uiPriority w:val="0"/>
    <w:pPr>
      <w:spacing w:line="500" w:lineRule="exact"/>
      <w:ind w:firstLine="640" w:firstLineChars="200"/>
    </w:pPr>
    <w:rPr>
      <w:rFonts w:ascii="宋体"/>
      <w:sz w:val="32"/>
    </w:rPr>
  </w:style>
  <w:style w:type="paragraph" w:styleId="4">
    <w:name w:val="Plain Text"/>
    <w:basedOn w:val="1"/>
    <w:qFormat/>
    <w:uiPriority w:val="0"/>
    <w:rPr>
      <w:rFonts w:ascii="宋体" w:hAnsi="Courier New" w:cs="Courier New"/>
      <w:szCs w:val="21"/>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paragraph" w:customStyle="1" w:styleId="9">
    <w:name w:val="正文缩进 + 首行缩进:  2 字符"/>
    <w:basedOn w:val="1"/>
    <w:qFormat/>
    <w:uiPriority w:val="0"/>
    <w:pPr>
      <w:spacing w:line="560" w:lineRule="exact"/>
      <w:ind w:firstLine="640"/>
    </w:pPr>
    <w:rPr>
      <w:rFonts w:ascii="仿宋" w:hAnsi="仿宋" w:cs="宋体"/>
      <w:sz w:val="32"/>
      <w:szCs w:val="32"/>
    </w:rPr>
  </w:style>
  <w:style w:type="character" w:customStyle="1" w:styleId="10">
    <w:name w:val="ca-2"/>
    <w:basedOn w:val="7"/>
    <w:uiPriority w:val="0"/>
  </w:style>
  <w:style w:type="paragraph" w:customStyle="1" w:styleId="11">
    <w:name w:val="Normal (Web)"/>
    <w:basedOn w:val="1"/>
    <w:qFormat/>
    <w:uiPriority w:val="0"/>
    <w:pPr>
      <w:widowControl/>
      <w:spacing w:before="100" w:beforeAutospacing="1" w:after="100" w:afterAutospacing="1"/>
      <w:jc w:val="left"/>
    </w:pPr>
    <w:rPr>
      <w:rFonts w:ascii="宋体" w:hAnsi="宋体" w:cs="宋体"/>
      <w:kern w:val="0"/>
      <w:sz w:val="24"/>
    </w:rPr>
  </w:style>
  <w:style w:type="character" w:customStyle="1" w:styleId="12">
    <w:name w:val="ca-3"/>
    <w:basedOn w:val="7"/>
    <w:qFormat/>
    <w:uiPriority w:val="0"/>
  </w:style>
  <w:style w:type="character" w:customStyle="1" w:styleId="13">
    <w:name w:val="apple-converted-space"/>
    <w:basedOn w:val="7"/>
    <w:qFormat/>
    <w:uiPriority w:val="99"/>
  </w:style>
  <w:style w:type="paragraph" w:customStyle="1" w:styleId="14">
    <w:name w:val="pa-1"/>
    <w:basedOn w:val="1"/>
    <w:qFormat/>
    <w:uiPriority w:val="0"/>
    <w:pPr>
      <w:widowControl/>
      <w:spacing w:before="100" w:beforeAutospacing="1" w:after="100" w:afterAutospacing="1"/>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gg</dc:creator>
  <cp:lastModifiedBy>盼</cp:lastModifiedBy>
  <dcterms:modified xsi:type="dcterms:W3CDTF">2021-05-19T02:06:50Z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