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纪委监察局</w:t>
      </w:r>
      <w:r>
        <w:rPr>
          <w:rFonts w:hint="eastAsia" w:ascii="微软雅黑" w:hAnsi="微软雅黑" w:eastAsia="微软雅黑" w:cs="微软雅黑"/>
          <w:b/>
          <w:i w:val="0"/>
          <w:caps w:val="0"/>
          <w:color w:val="BC1010"/>
          <w:spacing w:val="0"/>
          <w:sz w:val="40"/>
          <w:szCs w:val="40"/>
          <w:shd w:val="clear" w:fill="FFFFFF"/>
        </w:rPr>
        <w:t>201</w:t>
      </w:r>
      <w:r>
        <w:rPr>
          <w:rFonts w:hint="eastAsia" w:ascii="微软雅黑" w:hAnsi="微软雅黑" w:eastAsia="微软雅黑" w:cs="微软雅黑"/>
          <w:b/>
          <w:i w:val="0"/>
          <w:caps w:val="0"/>
          <w:color w:val="BC1010"/>
          <w:spacing w:val="0"/>
          <w:sz w:val="40"/>
          <w:szCs w:val="40"/>
          <w:shd w:val="clear" w:fill="FFFFFF"/>
          <w:lang w:val="en-US" w:eastAsia="zh-CN"/>
        </w:rPr>
        <w:t>8</w:t>
      </w:r>
      <w:r>
        <w:rPr>
          <w:rFonts w:hint="eastAsia" w:ascii="微软雅黑" w:hAnsi="微软雅黑" w:eastAsia="微软雅黑" w:cs="微软雅黑"/>
          <w:b/>
          <w:i w:val="0"/>
          <w:caps w:val="0"/>
          <w:color w:val="BC1010"/>
          <w:spacing w:val="0"/>
          <w:sz w:val="40"/>
          <w:szCs w:val="40"/>
          <w:shd w:val="clear" w:fill="FFFFFF"/>
        </w:rPr>
        <w:t>年决算公开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6"/>
          <w:rFonts w:hint="eastAsia" w:ascii="微软雅黑" w:hAnsi="微软雅黑" w:eastAsia="微软雅黑" w:cs="微软雅黑"/>
          <w:i w:val="0"/>
          <w:caps w:val="0"/>
          <w:color w:val="333333"/>
          <w:spacing w:val="0"/>
          <w:sz w:val="24"/>
          <w:szCs w:val="24"/>
          <w:shd w:val="clear" w:fill="FFFFFF"/>
          <w:lang w:eastAsia="zh-CN"/>
        </w:rPr>
        <w:t>黄石港区纪委监察局</w:t>
      </w:r>
      <w:r>
        <w:rPr>
          <w:rStyle w:val="6"/>
          <w:rFonts w:hint="eastAsia" w:ascii="微软雅黑" w:hAnsi="微软雅黑" w:eastAsia="微软雅黑" w:cs="微软雅黑"/>
          <w:i w:val="0"/>
          <w:caps w:val="0"/>
          <w:color w:val="333333"/>
          <w:spacing w:val="0"/>
          <w:sz w:val="24"/>
          <w:szCs w:val="24"/>
          <w:shd w:val="clear" w:fill="FFFFFF"/>
        </w:rPr>
        <w:t>201</w:t>
      </w:r>
      <w:r>
        <w:rPr>
          <w:rStyle w:val="6"/>
          <w:rFonts w:hint="eastAsia" w:ascii="微软雅黑" w:hAnsi="微软雅黑" w:eastAsia="微软雅黑" w:cs="微软雅黑"/>
          <w:i w:val="0"/>
          <w:caps w:val="0"/>
          <w:color w:val="333333"/>
          <w:spacing w:val="0"/>
          <w:sz w:val="24"/>
          <w:szCs w:val="24"/>
          <w:shd w:val="clear" w:fill="FFFFFF"/>
          <w:lang w:val="en-US" w:eastAsia="zh-CN"/>
        </w:rPr>
        <w:t>8</w:t>
      </w:r>
      <w:r>
        <w:rPr>
          <w:rStyle w:val="6"/>
          <w:rFonts w:hint="eastAsia" w:ascii="微软雅黑" w:hAnsi="微软雅黑" w:eastAsia="微软雅黑" w:cs="微软雅黑"/>
          <w:i w:val="0"/>
          <w:caps w:val="0"/>
          <w:color w:val="333333"/>
          <w:spacing w:val="0"/>
          <w:sz w:val="24"/>
          <w:szCs w:val="24"/>
          <w:shd w:val="clear" w:fill="FFFFFF"/>
        </w:rPr>
        <w:t>年决算公开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第一部分:部门基本情况</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一、部门主要职责</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二、部门决算单位构成</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第二部分: 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年部门决算表</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一、收入支出决算总表（表1）</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二、收入决算表（表2）</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三、支出决算表（表3）</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四、财政拨款收入支出决算总表（表4）</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五、一般公共预算财政拨款支出决算表（表5）</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六、一般公共预算财政拨款基本支出决算表（表6）</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七、一般公共预算财政拨款“三公”经费支出决算表（表7）</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八、政府性基金预算财政拨款收入支出决算表（8）</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第三部分：部门201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年部门决算情况说明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二、</w:t>
      </w:r>
      <w:r>
        <w:rPr>
          <w:rFonts w:hint="eastAsia" w:ascii="微软雅黑" w:hAnsi="微软雅黑" w:eastAsia="微软雅黑" w:cs="微软雅黑"/>
          <w:b w:val="0"/>
          <w:i w:val="0"/>
          <w:caps w:val="0"/>
          <w:color w:val="333333"/>
          <w:spacing w:val="0"/>
          <w:sz w:val="24"/>
          <w:szCs w:val="24"/>
          <w:shd w:val="clear" w:color="080000" w:fill="FFFFFF"/>
        </w:rPr>
        <w:t>关于“三公”经费支出说明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三、</w:t>
      </w:r>
      <w:r>
        <w:rPr>
          <w:rFonts w:hint="eastAsia" w:ascii="微软雅黑" w:hAnsi="微软雅黑" w:eastAsia="微软雅黑" w:cs="微软雅黑"/>
          <w:b w:val="0"/>
          <w:i w:val="0"/>
          <w:caps w:val="0"/>
          <w:color w:val="333333"/>
          <w:spacing w:val="0"/>
          <w:sz w:val="24"/>
          <w:szCs w:val="24"/>
          <w:shd w:val="clear" w:color="080000" w:fill="FFFFFF"/>
        </w:rPr>
        <w:t>关于机关运行经费支出说明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四</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关于政府采购支出说明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五</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关于国有资产占用情况说明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1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第四部分：名词解释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6"/>
          <w:rFonts w:hint="eastAsia" w:ascii="微软雅黑" w:hAnsi="微软雅黑" w:eastAsia="微软雅黑" w:cs="微软雅黑"/>
          <w:i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rPr>
          <w:rStyle w:val="6"/>
          <w:rFonts w:hint="default" w:ascii="微软雅黑" w:hAnsi="微软雅黑" w:eastAsia="微软雅黑" w:cs="微软雅黑"/>
          <w:i w:val="0"/>
          <w:caps w:val="0"/>
          <w:color w:val="333333"/>
          <w:spacing w:val="0"/>
          <w:sz w:val="24"/>
          <w:szCs w:val="24"/>
          <w:shd w:val="clear" w:fill="FFFFFF"/>
          <w:lang w:val="en-US" w:eastAsia="zh-CN"/>
        </w:rPr>
      </w:pPr>
      <w:r>
        <w:rPr>
          <w:rStyle w:val="6"/>
          <w:rFonts w:hint="eastAsia" w:ascii="微软雅黑" w:hAnsi="微软雅黑" w:eastAsia="微软雅黑" w:cs="微软雅黑"/>
          <w:i w:val="0"/>
          <w:caps w:val="0"/>
          <w:color w:val="333333"/>
          <w:spacing w:val="0"/>
          <w:sz w:val="24"/>
          <w:szCs w:val="24"/>
          <w:shd w:val="clear" w:fill="FFFFFF"/>
          <w:lang w:val="en-US" w:eastAsia="zh-CN"/>
        </w:rPr>
        <w:t>2018年部门决算</w:t>
      </w:r>
    </w:p>
    <w:p>
      <w:pPr>
        <w:keepNext w:val="0"/>
        <w:keepLines w:val="0"/>
        <w:pageBreakBefore w:val="0"/>
        <w:widowControl w:val="0"/>
        <w:numPr>
          <w:ilvl w:val="0"/>
          <w:numId w:val="1"/>
        </w:numPr>
        <w:kinsoku/>
        <w:wordWrap/>
        <w:overflowPunct/>
        <w:topLinePunct w:val="0"/>
        <w:autoSpaceDE/>
        <w:autoSpaceDN/>
        <w:bidi w:val="0"/>
        <w:adjustRightInd/>
        <w:snapToGrid w:val="0"/>
        <w:spacing w:line="480" w:lineRule="auto"/>
        <w:ind w:firstLine="480" w:firstLineChars="200"/>
        <w:textAlignment w:val="auto"/>
        <w:rPr>
          <w:rStyle w:val="6"/>
          <w:rFonts w:hint="eastAsia" w:ascii="微软雅黑" w:hAnsi="微软雅黑" w:eastAsia="微软雅黑" w:cs="微软雅黑"/>
          <w:i w:val="0"/>
          <w:caps w:val="0"/>
          <w:color w:val="333333"/>
          <w:spacing w:val="0"/>
          <w:sz w:val="24"/>
          <w:szCs w:val="24"/>
          <w:shd w:val="clear" w:fill="FFFFFF"/>
        </w:rPr>
      </w:pPr>
      <w:r>
        <w:rPr>
          <w:rStyle w:val="6"/>
          <w:rFonts w:hint="eastAsia" w:ascii="微软雅黑" w:hAnsi="微软雅黑" w:eastAsia="微软雅黑" w:cs="微软雅黑"/>
          <w:i w:val="0"/>
          <w:caps w:val="0"/>
          <w:color w:val="333333"/>
          <w:spacing w:val="0"/>
          <w:sz w:val="24"/>
          <w:szCs w:val="24"/>
          <w:shd w:val="clear" w:fill="FFFFFF"/>
        </w:rPr>
        <w:t>部门</w:t>
      </w:r>
      <w:r>
        <w:rPr>
          <w:rStyle w:val="6"/>
          <w:rFonts w:hint="eastAsia" w:ascii="微软雅黑" w:hAnsi="微软雅黑" w:eastAsia="微软雅黑" w:cs="微软雅黑"/>
          <w:i w:val="0"/>
          <w:caps w:val="0"/>
          <w:color w:val="333333"/>
          <w:spacing w:val="0"/>
          <w:sz w:val="24"/>
          <w:szCs w:val="24"/>
          <w:shd w:val="clear" w:fill="FFFFFF"/>
          <w:lang w:val="en-US" w:eastAsia="zh-CN"/>
        </w:rPr>
        <w:t>基本情况</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（一）</w:t>
      </w:r>
      <w:r>
        <w:rPr>
          <w:rFonts w:hint="eastAsia" w:asciiTheme="minorEastAsia" w:hAnsiTheme="minorEastAsia" w:eastAsiaTheme="minorEastAsia" w:cstheme="minorEastAsia"/>
          <w:b w:val="0"/>
          <w:i w:val="0"/>
          <w:caps w:val="0"/>
          <w:color w:val="000000"/>
          <w:spacing w:val="0"/>
          <w:sz w:val="28"/>
          <w:szCs w:val="28"/>
          <w:shd w:val="clear" w:color="auto" w:fill="auto"/>
        </w:rPr>
        <w:t>主要职能</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主管党的纪律检查工作。负责贯彻落实党中央和省、市委、区委关于加强党风廉政建设的决定，维护党的章程和其他党内法规，检查党的路线、方针、政策和决议的执行情况</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rPr>
        <w:t>负责检查并处理各街道（管理区）党（工）委和区级机关各部门党委（党组）及区管党员干部违反党的章程及其他党内法规的案件，决定或取消对这些案件中的党员的处分；受理党员的控告和申诉，必要时直接查处基层纪检监察组织管辖范围内的比较重要或复杂的案件</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rPr>
        <w:t>负责作出关于维护党纪的决定，制定党风党纪教育规划，配合有关部门做好党的纪检工作方针、政策的宣传工作和对党员遵守纪律的教育工作</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rPr>
        <w:t>会同有关部门做好行政监察工作的方针、政策和法律法规的宣传工作，教育国家工作人员遵纪守法、为政清廉</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rPr>
        <w:t>负责对党风廉政建设和纪检工作及其政策问题进行调查研究，拟定有关政策规定，制定有关党政法规的实施办法</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rPr>
        <w:t>会同区委组织部、区级机关各部门以及各街道（管理区）党（工）委做好纪检、监察干部的管理工作，考察审核各街道（管理区）纪检组织领导干部人选，提出任免意见；组织和指导全区纪检、监察干部的培训工作。</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lang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（二）机构情况</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区纪委成立于1980年9月, 1993年6月与区监察局合署办公。2017年12月29日，区十届人大第二次会议第三次全体会议选举产生黄石港区监察委员会，撤销区监察局，与区纪委合署办公，配齐监委班子成员，积极协调区检察院，实现转隶人员有序到位。</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lang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（三）人员情况</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根据中央、省市区委关于监察体制改革工作的有关要求和安排，以及市编办《关于设立县（市、区）纪委（监委）的通知》（黄编文〔2018〕2号）意见，黄石港区纪委监委核定行政、事业编制总数为30名，其中，行政编制24名，事业编制（区纪委二级单位反腐倡廉教育中心）6名。因区委巡察办设在区纪委，因此包括巡察办共有33名编制，为行政编制27名，事业编制6名。</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因委机关空编严重，且为优化委机关干部年龄和知识结构，根据工作需要，经区委、区政府研究同意，2018年度，通过调任、转隶、调动等方式，区纪委监委调入行政编制人员17人，采取公开招录、调动等方式调入事业编制人员3名，截止目前，行政编制人员23人，事业编制人员5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6"/>
          <w:rFonts w:hint="eastAsia" w:ascii="微软雅黑" w:hAnsi="微软雅黑" w:eastAsia="微软雅黑" w:cs="微软雅黑"/>
          <w:i w:val="0"/>
          <w:caps w:val="0"/>
          <w:color w:val="333333"/>
          <w:spacing w:val="0"/>
          <w:sz w:val="24"/>
          <w:szCs w:val="24"/>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rightChars="0" w:firstLine="480" w:firstLineChars="200"/>
        <w:jc w:val="left"/>
        <w:textAlignment w:val="auto"/>
        <w:rPr>
          <w:color w:val="333333"/>
          <w:sz w:val="24"/>
          <w:szCs w:val="24"/>
        </w:rPr>
        <w:sectPr>
          <w:pgSz w:w="16838" w:h="11906" w:orient="landscape"/>
          <w:pgMar w:top="1800" w:right="1440" w:bottom="1800" w:left="1440" w:header="851" w:footer="992" w:gutter="0"/>
          <w:cols w:space="425" w:num="1"/>
          <w:docGrid w:type="lines" w:linePitch="312" w:charSpace="0"/>
        </w:sectPr>
      </w:pPr>
      <w:r>
        <w:rPr>
          <w:rFonts w:hint="eastAsia" w:ascii="微软雅黑" w:hAnsi="微软雅黑" w:eastAsia="微软雅黑" w:cs="微软雅黑"/>
          <w:b/>
          <w:bCs/>
          <w:lang w:eastAsia="zh-CN"/>
        </w:rPr>
        <w:t>第二部分：部门</w:t>
      </w:r>
      <w:r>
        <w:rPr>
          <w:rFonts w:hint="eastAsia" w:ascii="微软雅黑" w:hAnsi="微软雅黑" w:eastAsia="微软雅黑" w:cs="微软雅黑"/>
          <w:b/>
          <w:bCs/>
          <w:lang w:val="en-US" w:eastAsia="zh-CN"/>
        </w:rPr>
        <w:t>2018年部门决算表</w:t>
      </w:r>
      <w:r>
        <w:drawing>
          <wp:inline distT="0" distB="0" distL="114300" distR="114300">
            <wp:extent cx="8789670" cy="4798060"/>
            <wp:effectExtent l="0" t="0" r="11430"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8789670" cy="479806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867140" cy="2296795"/>
            <wp:effectExtent l="0" t="0" r="10160"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8867140" cy="229679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820150" cy="2340610"/>
            <wp:effectExtent l="0" t="0" r="0" b="254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8820150" cy="234061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803640" cy="5876290"/>
            <wp:effectExtent l="0" t="0" r="16510" b="1016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8803640" cy="587629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829675" cy="4612640"/>
            <wp:effectExtent l="0" t="0" r="9525" b="1651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8829675" cy="461264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898890" cy="5750560"/>
            <wp:effectExtent l="0" t="0" r="16510" b="254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9"/>
                    <a:stretch>
                      <a:fillRect/>
                    </a:stretch>
                  </pic:blipFill>
                  <pic:spPr>
                    <a:xfrm>
                      <a:off x="0" y="0"/>
                      <a:ext cx="8898890" cy="575056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773160" cy="2547620"/>
            <wp:effectExtent l="0" t="0" r="8890" b="508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0"/>
                    <a:stretch>
                      <a:fillRect/>
                    </a:stretch>
                  </pic:blipFill>
                  <pic:spPr>
                    <a:xfrm>
                      <a:off x="0" y="0"/>
                      <a:ext cx="8773160" cy="2547620"/>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763000" cy="2562225"/>
            <wp:effectExtent l="0" t="0" r="0" b="952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1"/>
                    <a:stretch>
                      <a:fillRect/>
                    </a:stretch>
                  </pic:blipFill>
                  <pic:spPr>
                    <a:xfrm>
                      <a:off x="0" y="0"/>
                      <a:ext cx="8763000" cy="256222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color w:val="333333"/>
          <w:sz w:val="24"/>
          <w:szCs w:val="24"/>
        </w:rPr>
      </w:pPr>
      <w:r>
        <w:rPr>
          <w:rStyle w:val="6"/>
          <w:rFonts w:hint="eastAsia" w:ascii="微软雅黑" w:hAnsi="微软雅黑" w:eastAsia="微软雅黑" w:cs="微软雅黑"/>
          <w:i w:val="0"/>
          <w:caps w:val="0"/>
          <w:color w:val="333333"/>
          <w:spacing w:val="0"/>
          <w:sz w:val="24"/>
          <w:szCs w:val="24"/>
          <w:shd w:val="clear" w:fill="FFFFFF"/>
          <w:lang w:eastAsia="zh-CN"/>
        </w:rPr>
        <w:t>第三部分</w:t>
      </w:r>
      <w:r>
        <w:rPr>
          <w:rStyle w:val="6"/>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6"/>
          <w:rFonts w:hint="eastAsia" w:ascii="微软雅黑" w:hAnsi="微软雅黑" w:eastAsia="微软雅黑" w:cs="微软雅黑"/>
          <w:i w:val="0"/>
          <w:caps w:val="0"/>
          <w:color w:val="333333"/>
          <w:spacing w:val="0"/>
          <w:sz w:val="24"/>
          <w:szCs w:val="24"/>
          <w:shd w:val="clear" w:fill="FFFFFF"/>
        </w:rPr>
        <w:t>201</w:t>
      </w:r>
      <w:r>
        <w:rPr>
          <w:rStyle w:val="6"/>
          <w:rFonts w:hint="eastAsia" w:ascii="微软雅黑" w:hAnsi="微软雅黑" w:eastAsia="微软雅黑" w:cs="微软雅黑"/>
          <w:i w:val="0"/>
          <w:caps w:val="0"/>
          <w:color w:val="333333"/>
          <w:spacing w:val="0"/>
          <w:sz w:val="24"/>
          <w:szCs w:val="24"/>
          <w:shd w:val="clear" w:fill="FFFFFF"/>
          <w:lang w:val="en-US" w:eastAsia="zh-CN"/>
        </w:rPr>
        <w:t>8</w:t>
      </w:r>
      <w:r>
        <w:rPr>
          <w:rStyle w:val="6"/>
          <w:rFonts w:hint="eastAsia" w:ascii="微软雅黑" w:hAnsi="微软雅黑" w:eastAsia="微软雅黑" w:cs="微软雅黑"/>
          <w:i w:val="0"/>
          <w:caps w:val="0"/>
          <w:color w:val="333333"/>
          <w:spacing w:val="0"/>
          <w:sz w:val="24"/>
          <w:szCs w:val="24"/>
          <w:shd w:val="clear" w:fill="FFFFFF"/>
        </w:rPr>
        <w:t>年部门决算情况说明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i w:val="0"/>
          <w:caps w:val="0"/>
          <w:color w:val="000000"/>
          <w:spacing w:val="0"/>
          <w:sz w:val="28"/>
          <w:szCs w:val="28"/>
          <w:shd w:val="clear" w:color="auto" w:fill="auto"/>
        </w:rPr>
      </w:pPr>
      <w:r>
        <w:rPr>
          <w:rFonts w:hint="eastAsia" w:asciiTheme="minorEastAsia" w:hAnsiTheme="minorEastAsia" w:eastAsiaTheme="minorEastAsia" w:cstheme="minorEastAsia"/>
          <w:b/>
          <w:bCs/>
          <w:i w:val="0"/>
          <w:caps w:val="0"/>
          <w:color w:val="000000"/>
          <w:spacing w:val="0"/>
          <w:sz w:val="28"/>
          <w:szCs w:val="28"/>
          <w:shd w:val="clear" w:color="auto" w:fill="auto"/>
          <w:lang w:val="en-US" w:eastAsia="zh-CN"/>
        </w:rPr>
        <w:t>（一）</w:t>
      </w:r>
      <w:r>
        <w:rPr>
          <w:rFonts w:hint="eastAsia" w:asciiTheme="minorEastAsia" w:hAnsiTheme="minorEastAsia" w:eastAsiaTheme="minorEastAsia" w:cstheme="minorEastAsia"/>
          <w:b/>
          <w:bCs/>
          <w:i w:val="0"/>
          <w:caps w:val="0"/>
          <w:color w:val="000000"/>
          <w:spacing w:val="0"/>
          <w:sz w:val="28"/>
          <w:szCs w:val="28"/>
          <w:shd w:val="clear" w:color="auto" w:fill="auto"/>
        </w:rPr>
        <w:t>预算执行情况分析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2018年度财政收入预算数124.29万元，其中人员经费94.14万元，公用经费30.15万元；2018年度财政支出预算数124.29万元，其中人员经费94.14万元，公用经费30.15万元。2017年度财政收入预算数112.77万元，其中人员经费75.78万元，公用经费36.99万元；2017年度财政支出预算数112.77万元，其中人员经费75.78万元，公用经费36.99万元。2018收入预算数比上年增加11.52万元，2018支出预算数比上年增加11.52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1、收入与预算对比分析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2018年全年总收入302.19万元。其中财政决算收入301.81万元，其他收入0.38万元。2018年全年决算总支出302.19万元，其中财政决算支出301.81万元，其他资金支出0.38万元。2018年度财政收入预算数124.29万元，财拔决算比预算多177.9万元，增幅143.13%，原因为业务增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2、收入结构分析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2018年全年总收入302.19万元。其中财政决算收入301.81万元，其他收入0.38万元；2018年全年决算总支出302.19万元，其中财政决算支出301.81万元，其他资金支出0.38万元。支出按以下分类说明</w:t>
      </w:r>
      <w:r>
        <w:rPr>
          <w:rFonts w:hint="eastAsia" w:asciiTheme="minorEastAsia" w:hAnsiTheme="minorEastAsia" w:cstheme="minorEastAsia"/>
          <w:b w:val="0"/>
          <w:i w:val="0"/>
          <w:caps w:val="0"/>
          <w:color w:val="000000"/>
          <w:spacing w:val="0"/>
          <w:sz w:val="28"/>
          <w:szCs w:val="28"/>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①支出功能分类：302.19万元，政府办公室及相关机构事务。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②支出性质分类：302.19万元，其中人员经费209.71万元；公用经费92.48万元。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③支出经济分类：302.19万元。其中工资福利209.71万元；商品服务支出88.54万元；对个人和家庭的补助支出 0万元；其它资本性支出3.94万元。</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i w:val="0"/>
          <w:caps w:val="0"/>
          <w:color w:val="000000"/>
          <w:spacing w:val="0"/>
          <w:sz w:val="28"/>
          <w:szCs w:val="28"/>
          <w:shd w:val="clear" w:color="auto" w:fill="auto"/>
        </w:rPr>
      </w:pPr>
      <w:r>
        <w:rPr>
          <w:rFonts w:hint="eastAsia" w:asciiTheme="minorEastAsia" w:hAnsiTheme="minorEastAsia" w:cstheme="minorEastAsia"/>
          <w:b/>
          <w:bCs/>
          <w:i w:val="0"/>
          <w:caps w:val="0"/>
          <w:color w:val="000000"/>
          <w:spacing w:val="0"/>
          <w:sz w:val="28"/>
          <w:szCs w:val="28"/>
          <w:shd w:val="clear" w:color="auto" w:fill="auto"/>
          <w:lang w:eastAsia="zh-CN"/>
        </w:rPr>
        <w:t>（二）</w:t>
      </w:r>
      <w:r>
        <w:rPr>
          <w:rFonts w:hint="eastAsia" w:asciiTheme="minorEastAsia" w:hAnsiTheme="minorEastAsia" w:eastAsiaTheme="minorEastAsia" w:cstheme="minorEastAsia"/>
          <w:b/>
          <w:bCs/>
          <w:i w:val="0"/>
          <w:caps w:val="0"/>
          <w:color w:val="000000"/>
          <w:spacing w:val="0"/>
          <w:sz w:val="28"/>
          <w:szCs w:val="28"/>
          <w:shd w:val="clear" w:color="auto" w:fill="auto"/>
        </w:rPr>
        <w:t>关于“三公”经费支出说明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本年度无三公经费支出。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i w:val="0"/>
          <w:caps w:val="0"/>
          <w:color w:val="000000"/>
          <w:spacing w:val="0"/>
          <w:sz w:val="28"/>
          <w:szCs w:val="28"/>
          <w:shd w:val="clear" w:color="auto" w:fill="auto"/>
        </w:rPr>
      </w:pPr>
      <w:r>
        <w:rPr>
          <w:rFonts w:hint="eastAsia" w:asciiTheme="minorEastAsia" w:hAnsiTheme="minorEastAsia" w:cstheme="minorEastAsia"/>
          <w:b/>
          <w:bCs/>
          <w:i w:val="0"/>
          <w:caps w:val="0"/>
          <w:color w:val="000000"/>
          <w:spacing w:val="0"/>
          <w:sz w:val="28"/>
          <w:szCs w:val="28"/>
          <w:shd w:val="clear" w:color="auto" w:fill="auto"/>
          <w:lang w:val="en-US" w:eastAsia="zh-CN"/>
        </w:rPr>
        <w:t>（三）</w:t>
      </w:r>
      <w:r>
        <w:rPr>
          <w:rFonts w:hint="eastAsia" w:asciiTheme="minorEastAsia" w:hAnsiTheme="minorEastAsia" w:eastAsiaTheme="minorEastAsia" w:cstheme="minorEastAsia"/>
          <w:b/>
          <w:bCs/>
          <w:i w:val="0"/>
          <w:caps w:val="0"/>
          <w:color w:val="000000"/>
          <w:spacing w:val="0"/>
          <w:sz w:val="28"/>
          <w:szCs w:val="28"/>
          <w:shd w:val="clear" w:color="auto" w:fill="auto"/>
        </w:rPr>
        <w:t>关于机关运行经费支出说明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201</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8</w:t>
      </w:r>
      <w:r>
        <w:rPr>
          <w:rFonts w:hint="eastAsia" w:asciiTheme="minorEastAsia" w:hAnsiTheme="minorEastAsia" w:eastAsiaTheme="minorEastAsia" w:cstheme="minorEastAsia"/>
          <w:b w:val="0"/>
          <w:i w:val="0"/>
          <w:caps w:val="0"/>
          <w:color w:val="000000"/>
          <w:spacing w:val="0"/>
          <w:sz w:val="28"/>
          <w:szCs w:val="28"/>
          <w:shd w:val="clear" w:color="auto" w:fill="auto"/>
        </w:rPr>
        <w:t>年度机关运行经费支出</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未含其他资金支出）301.81</w:t>
      </w:r>
      <w:r>
        <w:rPr>
          <w:rFonts w:hint="eastAsia" w:asciiTheme="minorEastAsia" w:hAnsiTheme="minorEastAsia" w:eastAsiaTheme="minorEastAsia" w:cstheme="minorEastAsia"/>
          <w:b w:val="0"/>
          <w:i w:val="0"/>
          <w:caps w:val="0"/>
          <w:color w:val="000000"/>
          <w:spacing w:val="0"/>
          <w:sz w:val="28"/>
          <w:szCs w:val="28"/>
          <w:shd w:val="clear" w:color="auto" w:fill="auto"/>
        </w:rPr>
        <w:t>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其中：</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人员经费209.71万元；日常公用经费92.1万元；日常公用经费包括：</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办公费</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50.78</w:t>
      </w:r>
      <w:r>
        <w:rPr>
          <w:rFonts w:hint="eastAsia" w:asciiTheme="minorEastAsia" w:hAnsiTheme="minorEastAsia" w:eastAsiaTheme="minorEastAsia" w:cstheme="minorEastAsia"/>
          <w:b w:val="0"/>
          <w:i w:val="0"/>
          <w:caps w:val="0"/>
          <w:color w:val="000000"/>
          <w:spacing w:val="0"/>
          <w:sz w:val="28"/>
          <w:szCs w:val="28"/>
          <w:shd w:val="clear" w:color="auto" w:fill="auto"/>
        </w:rPr>
        <w:t>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、印刷费</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1.46</w:t>
      </w:r>
      <w:r>
        <w:rPr>
          <w:rFonts w:hint="eastAsia" w:asciiTheme="minorEastAsia" w:hAnsiTheme="minorEastAsia" w:eastAsiaTheme="minorEastAsia" w:cstheme="minorEastAsia"/>
          <w:b w:val="0"/>
          <w:i w:val="0"/>
          <w:caps w:val="0"/>
          <w:color w:val="000000"/>
          <w:spacing w:val="0"/>
          <w:sz w:val="28"/>
          <w:szCs w:val="28"/>
          <w:shd w:val="clear" w:color="auto" w:fill="auto"/>
        </w:rPr>
        <w:t>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水费0.03万元、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邮电费</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2.91</w:t>
      </w:r>
      <w:r>
        <w:rPr>
          <w:rFonts w:hint="eastAsia" w:asciiTheme="minorEastAsia" w:hAnsiTheme="minorEastAsia" w:eastAsiaTheme="minorEastAsia" w:cstheme="minorEastAsia"/>
          <w:b w:val="0"/>
          <w:i w:val="0"/>
          <w:caps w:val="0"/>
          <w:color w:val="000000"/>
          <w:spacing w:val="0"/>
          <w:sz w:val="28"/>
          <w:szCs w:val="28"/>
          <w:shd w:val="clear" w:color="auto" w:fill="auto"/>
        </w:rPr>
        <w:t>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、差旅费</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6.79</w:t>
      </w:r>
      <w:r>
        <w:rPr>
          <w:rFonts w:hint="eastAsia" w:asciiTheme="minorEastAsia" w:hAnsiTheme="minorEastAsia" w:eastAsiaTheme="minorEastAsia" w:cstheme="minorEastAsia"/>
          <w:b w:val="0"/>
          <w:i w:val="0"/>
          <w:caps w:val="0"/>
          <w:color w:val="000000"/>
          <w:spacing w:val="0"/>
          <w:sz w:val="28"/>
          <w:szCs w:val="28"/>
          <w:shd w:val="clear" w:color="auto" w:fill="auto"/>
        </w:rPr>
        <w:t>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物业费3.09万元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维修维护费0.33</w:t>
      </w:r>
      <w:r>
        <w:rPr>
          <w:rFonts w:hint="eastAsia" w:asciiTheme="minorEastAsia" w:hAnsiTheme="minorEastAsia" w:eastAsiaTheme="minorEastAsia" w:cstheme="minorEastAsia"/>
          <w:b w:val="0"/>
          <w:i w:val="0"/>
          <w:caps w:val="0"/>
          <w:color w:val="000000"/>
          <w:spacing w:val="0"/>
          <w:sz w:val="28"/>
          <w:szCs w:val="28"/>
          <w:shd w:val="clear" w:color="auto" w:fill="auto"/>
        </w:rPr>
        <w:t>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劳务费2.28万元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工会经费2.1万元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其他交通费10.23万元</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其他8.15万元。2018年度机关运行经费支出301.81万元</w:t>
      </w:r>
      <w:r>
        <w:rPr>
          <w:rFonts w:hint="eastAsia" w:asciiTheme="minorEastAsia" w:hAnsiTheme="minorEastAsia" w:eastAsiaTheme="minorEastAsia" w:cstheme="minorEastAsia"/>
          <w:b w:val="0"/>
          <w:i w:val="0"/>
          <w:caps w:val="0"/>
          <w:color w:val="000000"/>
          <w:spacing w:val="0"/>
          <w:sz w:val="28"/>
          <w:szCs w:val="28"/>
          <w:shd w:val="clear" w:color="auto" w:fill="auto"/>
        </w:rPr>
        <w:t>比</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年初预算数</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124.29万元</w:t>
      </w:r>
      <w:r>
        <w:rPr>
          <w:rFonts w:hint="eastAsia" w:asciiTheme="minorEastAsia" w:hAnsiTheme="minorEastAsia" w:eastAsiaTheme="minorEastAsia" w:cstheme="minorEastAsia"/>
          <w:b w:val="0"/>
          <w:i w:val="0"/>
          <w:caps w:val="0"/>
          <w:color w:val="000000"/>
          <w:spacing w:val="0"/>
          <w:sz w:val="28"/>
          <w:szCs w:val="28"/>
          <w:shd w:val="clear" w:color="auto" w:fill="auto"/>
        </w:rPr>
        <w:t>增加</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177.52</w:t>
      </w:r>
      <w:r>
        <w:rPr>
          <w:rFonts w:hint="eastAsia" w:asciiTheme="minorEastAsia" w:hAnsiTheme="minorEastAsia" w:eastAsiaTheme="minorEastAsia" w:cstheme="minorEastAsia"/>
          <w:b w:val="0"/>
          <w:i w:val="0"/>
          <w:caps w:val="0"/>
          <w:color w:val="000000"/>
          <w:spacing w:val="0"/>
          <w:sz w:val="28"/>
          <w:szCs w:val="28"/>
          <w:shd w:val="clear" w:color="auto" w:fill="auto"/>
        </w:rPr>
        <w:t>万元，增长</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142.83</w:t>
      </w:r>
      <w:r>
        <w:rPr>
          <w:rFonts w:hint="eastAsia" w:asciiTheme="minorEastAsia" w:hAnsiTheme="minorEastAsia" w:eastAsiaTheme="minorEastAsia" w:cstheme="minorEastAsia"/>
          <w:b w:val="0"/>
          <w:i w:val="0"/>
          <w:caps w:val="0"/>
          <w:color w:val="000000"/>
          <w:spacing w:val="0"/>
          <w:sz w:val="28"/>
          <w:szCs w:val="28"/>
          <w:shd w:val="clear" w:color="auto" w:fill="auto"/>
        </w:rPr>
        <w:t>%。主要原因是：</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人员经费上涨，人员经费实际支出209.71万元；预算数87.37万元；</w:t>
      </w:r>
      <w:r>
        <w:rPr>
          <w:rFonts w:hint="eastAsia" w:asciiTheme="minorEastAsia" w:hAnsiTheme="minorEastAsia" w:eastAsiaTheme="minorEastAsia" w:cstheme="minorEastAsia"/>
          <w:b w:val="0"/>
          <w:i w:val="0"/>
          <w:caps w:val="0"/>
          <w:color w:val="000000"/>
          <w:spacing w:val="0"/>
          <w:sz w:val="28"/>
          <w:szCs w:val="28"/>
          <w:shd w:val="clear" w:color="auto" w:fill="auto"/>
        </w:rPr>
        <w:t>涨幅原因为</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人员增加（</w:t>
      </w:r>
      <w:r>
        <w:rPr>
          <w:rFonts w:hint="eastAsia" w:asciiTheme="minorEastAsia" w:hAnsiTheme="minorEastAsia" w:eastAsiaTheme="minorEastAsia" w:cstheme="minorEastAsia"/>
          <w:b w:val="0"/>
          <w:i w:val="0"/>
          <w:caps w:val="0"/>
          <w:color w:val="000000"/>
          <w:spacing w:val="0"/>
          <w:sz w:val="28"/>
          <w:szCs w:val="28"/>
          <w:shd w:val="clear" w:color="auto" w:fill="auto"/>
        </w:rPr>
        <w:t>因委机关空编严重，且为优化委机关干部年龄和知识结构，根据工作需要，经区委、区政府研究同意，2018年度，通过调任、转隶、调动等方式，区纪委监委调入行政编制人员17人，采取公开招录、调动等方式调入事业编制人员3名，截止目前，行政编制人员23人，事业编制人员5人</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rPr>
        <w:t>公用经费预算为</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66.94</w:t>
      </w:r>
      <w:r>
        <w:rPr>
          <w:rFonts w:hint="eastAsia" w:asciiTheme="minorEastAsia" w:hAnsiTheme="minorEastAsia" w:eastAsiaTheme="minorEastAsia" w:cstheme="minorEastAsia"/>
          <w:b w:val="0"/>
          <w:i w:val="0"/>
          <w:caps w:val="0"/>
          <w:color w:val="000000"/>
          <w:spacing w:val="0"/>
          <w:sz w:val="28"/>
          <w:szCs w:val="28"/>
          <w:shd w:val="clear" w:color="auto" w:fill="auto"/>
        </w:rPr>
        <w:t>万元，2018年公用经费实际支出</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92.1</w:t>
      </w:r>
      <w:r>
        <w:rPr>
          <w:rFonts w:hint="eastAsia" w:asciiTheme="minorEastAsia" w:hAnsiTheme="minorEastAsia" w:eastAsiaTheme="minorEastAsia" w:cstheme="minorEastAsia"/>
          <w:b w:val="0"/>
          <w:i w:val="0"/>
          <w:caps w:val="0"/>
          <w:color w:val="000000"/>
          <w:spacing w:val="0"/>
          <w:sz w:val="28"/>
          <w:szCs w:val="28"/>
          <w:shd w:val="clear" w:color="auto" w:fill="auto"/>
        </w:rPr>
        <w:t>万元，同比上年51.75万元涨幅了</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37.58</w:t>
      </w:r>
      <w:r>
        <w:rPr>
          <w:rFonts w:hint="eastAsia" w:asciiTheme="minorEastAsia" w:hAnsiTheme="minorEastAsia" w:eastAsiaTheme="minorEastAsia" w:cstheme="minorEastAsia"/>
          <w:b w:val="0"/>
          <w:i w:val="0"/>
          <w:caps w:val="0"/>
          <w:color w:val="000000"/>
          <w:spacing w:val="0"/>
          <w:sz w:val="28"/>
          <w:szCs w:val="28"/>
          <w:shd w:val="clear" w:color="auto" w:fill="auto"/>
        </w:rPr>
        <w:t>%；涨幅原因为专项办案经费的增加。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i w:val="0"/>
          <w:caps w:val="0"/>
          <w:color w:val="000000"/>
          <w:spacing w:val="0"/>
          <w:sz w:val="28"/>
          <w:szCs w:val="28"/>
          <w:shd w:val="clear" w:color="auto" w:fill="auto"/>
        </w:rPr>
      </w:pPr>
      <w:r>
        <w:rPr>
          <w:rFonts w:hint="eastAsia" w:asciiTheme="minorEastAsia" w:hAnsiTheme="minorEastAsia" w:cstheme="minorEastAsia"/>
          <w:b/>
          <w:bCs/>
          <w:i w:val="0"/>
          <w:caps w:val="0"/>
          <w:color w:val="000000"/>
          <w:spacing w:val="0"/>
          <w:sz w:val="28"/>
          <w:szCs w:val="28"/>
          <w:shd w:val="clear" w:color="auto" w:fill="auto"/>
          <w:lang w:val="en-US" w:eastAsia="zh-CN"/>
        </w:rPr>
        <w:t>（四）</w:t>
      </w:r>
      <w:r>
        <w:rPr>
          <w:rFonts w:hint="eastAsia" w:asciiTheme="minorEastAsia" w:hAnsiTheme="minorEastAsia" w:eastAsiaTheme="minorEastAsia" w:cstheme="minorEastAsia"/>
          <w:b/>
          <w:bCs/>
          <w:i w:val="0"/>
          <w:caps w:val="0"/>
          <w:color w:val="000000"/>
          <w:spacing w:val="0"/>
          <w:sz w:val="28"/>
          <w:szCs w:val="28"/>
          <w:shd w:val="clear" w:color="auto" w:fill="auto"/>
        </w:rPr>
        <w:t>关于政府采购支出说明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本年无政府采购支出。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bCs/>
          <w:i w:val="0"/>
          <w:caps w:val="0"/>
          <w:color w:val="000000"/>
          <w:spacing w:val="0"/>
          <w:sz w:val="28"/>
          <w:szCs w:val="28"/>
          <w:shd w:val="clear" w:color="auto" w:fill="auto"/>
        </w:rPr>
      </w:pPr>
      <w:r>
        <w:rPr>
          <w:rFonts w:hint="eastAsia" w:asciiTheme="minorEastAsia" w:hAnsiTheme="minorEastAsia" w:cstheme="minorEastAsia"/>
          <w:b/>
          <w:bCs/>
          <w:i w:val="0"/>
          <w:caps w:val="0"/>
          <w:color w:val="000000"/>
          <w:spacing w:val="0"/>
          <w:sz w:val="28"/>
          <w:szCs w:val="28"/>
          <w:shd w:val="clear" w:color="auto" w:fill="auto"/>
          <w:lang w:val="en-US" w:eastAsia="zh-CN"/>
        </w:rPr>
        <w:t>（五）</w:t>
      </w:r>
      <w:r>
        <w:rPr>
          <w:rFonts w:hint="eastAsia" w:asciiTheme="minorEastAsia" w:hAnsiTheme="minorEastAsia" w:eastAsiaTheme="minorEastAsia" w:cstheme="minorEastAsia"/>
          <w:b/>
          <w:bCs/>
          <w:i w:val="0"/>
          <w:caps w:val="0"/>
          <w:color w:val="000000"/>
          <w:spacing w:val="0"/>
          <w:sz w:val="28"/>
          <w:szCs w:val="28"/>
          <w:shd w:val="clear" w:color="auto" w:fill="auto"/>
        </w:rPr>
        <w:t>关于国有资产占用情况说明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本单位无公车和大型设备。</w:t>
      </w:r>
    </w:p>
    <w:p>
      <w:pPr>
        <w:spacing w:line="560" w:lineRule="exact"/>
        <w:ind w:firstLine="570" w:firstLineChars="200"/>
        <w:rPr>
          <w:rFonts w:hint="eastAsia" w:asciiTheme="minorEastAsia" w:hAnsiTheme="minorEastAsia" w:eastAsiaTheme="minorEastAsia" w:cstheme="minorEastAsia"/>
          <w:b/>
          <w:bCs/>
          <w:color w:val="000000"/>
          <w:spacing w:val="2"/>
          <w:sz w:val="28"/>
          <w:szCs w:val="28"/>
          <w:lang w:val="en-US" w:eastAsia="zh-CN"/>
        </w:rPr>
      </w:pPr>
      <w:r>
        <w:rPr>
          <w:rFonts w:hint="eastAsia" w:asciiTheme="minorEastAsia" w:hAnsiTheme="minorEastAsia" w:eastAsiaTheme="minorEastAsia" w:cstheme="minorEastAsia"/>
          <w:b/>
          <w:bCs/>
          <w:color w:val="000000"/>
          <w:spacing w:val="2"/>
          <w:sz w:val="28"/>
          <w:szCs w:val="28"/>
          <w:lang w:val="en-US" w:eastAsia="zh-CN"/>
        </w:rPr>
        <w:t>（六）重点绩效评价结果等预算绩效情况说明</w:t>
      </w:r>
    </w:p>
    <w:p>
      <w:pPr>
        <w:spacing w:line="560" w:lineRule="exact"/>
        <w:ind w:firstLine="568" w:firstLineChars="200"/>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pPr>
      <w:r>
        <w:rPr>
          <w:rFonts w:hint="eastAsia" w:asciiTheme="minorEastAsia" w:hAnsiTheme="minorEastAsia" w:eastAsiaTheme="minorEastAsia" w:cstheme="minorEastAsia"/>
          <w:color w:val="000000"/>
          <w:spacing w:val="2"/>
          <w:sz w:val="28"/>
          <w:szCs w:val="28"/>
          <w:lang w:val="en-US" w:eastAsia="zh-CN"/>
        </w:rPr>
        <w:t>2</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018年， 根据预算绩效管理要求，我单位组织2018年度一般公共预算项目支出全面开展绩效自评，共涉及项目2个，资金</w:t>
      </w:r>
      <w:r>
        <w:rPr>
          <w:rFonts w:hint="eastAsia" w:asciiTheme="minorEastAsia" w:hAnsiTheme="minorEastAsia" w:cstheme="minorEastAsia"/>
          <w:b w:val="0"/>
          <w:i w:val="0"/>
          <w:caps w:val="0"/>
          <w:color w:val="000000"/>
          <w:spacing w:val="0"/>
          <w:sz w:val="28"/>
          <w:szCs w:val="28"/>
          <w:shd w:val="clear" w:color="auto" w:fill="auto"/>
          <w:lang w:val="en-US" w:eastAsia="zh-CN"/>
        </w:rPr>
        <w:t>5</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万元。 2018年项目资金投入</w:t>
      </w:r>
      <w:r>
        <w:rPr>
          <w:rFonts w:hint="eastAsia" w:asciiTheme="minorEastAsia" w:hAnsiTheme="minorEastAsia" w:cstheme="minorEastAsia"/>
          <w:b w:val="0"/>
          <w:i w:val="0"/>
          <w:caps w:val="0"/>
          <w:color w:val="000000"/>
          <w:spacing w:val="0"/>
          <w:sz w:val="28"/>
          <w:szCs w:val="28"/>
          <w:shd w:val="clear" w:color="auto" w:fill="auto"/>
          <w:lang w:val="en-US" w:eastAsia="zh-CN"/>
        </w:rPr>
        <w:t>5</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万元，已使用</w:t>
      </w:r>
      <w:r>
        <w:rPr>
          <w:rFonts w:hint="eastAsia" w:asciiTheme="minorEastAsia" w:hAnsiTheme="minorEastAsia" w:cstheme="minorEastAsia"/>
          <w:b w:val="0"/>
          <w:i w:val="0"/>
          <w:caps w:val="0"/>
          <w:color w:val="000000"/>
          <w:spacing w:val="0"/>
          <w:sz w:val="28"/>
          <w:szCs w:val="28"/>
          <w:shd w:val="clear" w:color="auto" w:fill="auto"/>
          <w:lang w:val="en-US" w:eastAsia="zh-CN"/>
        </w:rPr>
        <w:t>5</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万元，使用率100%。使用从评价结果看，项目立项程序完整、规范，预算执行及时、有效，绩效目标得到较好实现，绩效管理水平不断提高，绩效指标体系建设逐渐丰富和完善。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6"/>
          <w:rFonts w:hint="eastAsia" w:ascii="微软雅黑" w:hAnsi="微软雅黑" w:eastAsia="微软雅黑" w:cs="微软雅黑"/>
          <w:b/>
          <w:bCs w:val="0"/>
          <w:i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6"/>
          <w:rFonts w:hint="eastAsia" w:ascii="微软雅黑" w:hAnsi="微软雅黑" w:eastAsia="微软雅黑" w:cs="微软雅黑"/>
          <w:b/>
          <w:bCs w:val="0"/>
          <w:i w:val="0"/>
          <w:caps w:val="0"/>
          <w:color w:val="333333"/>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Style w:val="6"/>
          <w:rFonts w:hint="eastAsia" w:ascii="微软雅黑" w:hAnsi="微软雅黑" w:eastAsia="微软雅黑" w:cs="微软雅黑"/>
          <w:b/>
          <w:bCs w:val="0"/>
          <w:i w:val="0"/>
          <w:caps w:val="0"/>
          <w:color w:val="333333"/>
          <w:spacing w:val="0"/>
          <w:sz w:val="24"/>
          <w:szCs w:val="24"/>
          <w:shd w:val="clear" w:fill="FFFFFF"/>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b/>
          <w:bCs w:val="0"/>
          <w:color w:val="333333"/>
          <w:sz w:val="24"/>
          <w:szCs w:val="24"/>
        </w:rPr>
      </w:pPr>
      <w:r>
        <w:rPr>
          <w:rStyle w:val="6"/>
          <w:rFonts w:hint="eastAsia" w:ascii="微软雅黑" w:hAnsi="微软雅黑" w:eastAsia="微软雅黑" w:cs="微软雅黑"/>
          <w:b/>
          <w:bCs w:val="0"/>
          <w:i w:val="0"/>
          <w:caps w:val="0"/>
          <w:color w:val="333333"/>
          <w:spacing w:val="0"/>
          <w:sz w:val="24"/>
          <w:szCs w:val="24"/>
          <w:shd w:val="clear" w:fill="FFFFFF"/>
        </w:rPr>
        <w:t>第四部分</w:t>
      </w:r>
      <w:r>
        <w:rPr>
          <w:rStyle w:val="6"/>
          <w:rFonts w:hint="eastAsia" w:ascii="微软雅黑" w:hAnsi="微软雅黑" w:eastAsia="微软雅黑" w:cs="微软雅黑"/>
          <w:b/>
          <w:bCs w:val="0"/>
          <w:i w:val="0"/>
          <w:caps w:val="0"/>
          <w:color w:val="333333"/>
          <w:spacing w:val="0"/>
          <w:sz w:val="24"/>
          <w:szCs w:val="24"/>
          <w:shd w:val="clear" w:fill="FFFFFF"/>
          <w:lang w:val="en-US" w:eastAsia="zh-CN"/>
        </w:rPr>
        <w:t xml:space="preserve"> </w:t>
      </w:r>
      <w:r>
        <w:rPr>
          <w:rStyle w:val="6"/>
          <w:rFonts w:hint="eastAsia" w:ascii="微软雅黑" w:hAnsi="微软雅黑" w:eastAsia="微软雅黑" w:cs="微软雅黑"/>
          <w:b/>
          <w:bCs w:val="0"/>
          <w:i w:val="0"/>
          <w:caps w:val="0"/>
          <w:color w:val="333333"/>
          <w:spacing w:val="0"/>
          <w:sz w:val="24"/>
          <w:szCs w:val="24"/>
          <w:shd w:val="clear" w:fill="FFFFFF"/>
        </w:rPr>
        <w:t>名词解释</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一、财政补助收入：指县级财政当年拨付的资金。</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二、其他收入：指除“财政拨款收入”、“上级补助收入”、“事业收入”、“经营收入”等以外的收入。主要是存款利息收入等。</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三、年初结转和结余：指以前年度尚未完成、结转到本年按有关规定继续使用的资金。</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四、一般公共服务（类）行政运行（项）：指县行政单位及参照公务员管理事业单位用于保障机构正常运行、开展日常工作的基本支出。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五、一般公共服务（类）一般行政管理事务（项）：指县行政单位及参照公务员管理事业单位用于开展立法调研、财政信息宣传、非税收入征管等未单独设置项级科目的专门性财政管理工作的项目支出。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六、一般公共服务（类）机关服务（项）：指县</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黄石港区人大</w:t>
      </w:r>
      <w:r>
        <w:rPr>
          <w:rFonts w:hint="eastAsia" w:asciiTheme="minorEastAsia" w:hAnsiTheme="minorEastAsia" w:eastAsiaTheme="minorEastAsia" w:cstheme="minorEastAsia"/>
          <w:b w:val="0"/>
          <w:i w:val="0"/>
          <w:caps w:val="0"/>
          <w:color w:val="000000"/>
          <w:spacing w:val="0"/>
          <w:sz w:val="28"/>
          <w:szCs w:val="28"/>
          <w:shd w:val="clear" w:color="auto" w:fill="auto"/>
        </w:rPr>
        <w:t>服务中心为机关提供办公楼日常维修、维护等后勤保障服务的支出。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七、一般公共服务（类）其他一般公共服务支出（款）其他一般公共服务支出（项）：指</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黄石港区人大</w:t>
      </w:r>
      <w:r>
        <w:rPr>
          <w:rFonts w:hint="eastAsia" w:asciiTheme="minorEastAsia" w:hAnsiTheme="minorEastAsia" w:eastAsiaTheme="minorEastAsia" w:cstheme="minorEastAsia"/>
          <w:b w:val="0"/>
          <w:i w:val="0"/>
          <w:caps w:val="0"/>
          <w:color w:val="000000"/>
          <w:spacing w:val="0"/>
          <w:sz w:val="28"/>
          <w:szCs w:val="28"/>
          <w:shd w:val="clear" w:color="auto" w:fill="auto"/>
        </w:rPr>
        <w:t>用于其他一般公共服务方面的支出。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八、教育（类）普通教育（款）高等教育（项）：指</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黄石港区人大</w:t>
      </w:r>
      <w:r>
        <w:rPr>
          <w:rFonts w:hint="eastAsia" w:asciiTheme="minorEastAsia" w:hAnsiTheme="minorEastAsia" w:eastAsiaTheme="minorEastAsia" w:cstheme="minorEastAsia"/>
          <w:b w:val="0"/>
          <w:i w:val="0"/>
          <w:caps w:val="0"/>
          <w:color w:val="000000"/>
          <w:spacing w:val="0"/>
          <w:sz w:val="28"/>
          <w:szCs w:val="28"/>
          <w:shd w:val="clear" w:color="auto" w:fill="auto"/>
        </w:rPr>
        <w:t>厅支持地方高校的重点发展和特色办学，组织专家对省属院校申报的建设规划和项目预算进行评审等相关工作的支出。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九、社会保障和就业(类)行政事业单位离退休（款）归口管理的行政单位离退休（项）：指</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黄石港区人大</w:t>
      </w:r>
      <w:r>
        <w:rPr>
          <w:rFonts w:hint="eastAsia" w:asciiTheme="minorEastAsia" w:hAnsiTheme="minorEastAsia" w:eastAsiaTheme="minorEastAsia" w:cstheme="minorEastAsia"/>
          <w:b w:val="0"/>
          <w:i w:val="0"/>
          <w:caps w:val="0"/>
          <w:color w:val="000000"/>
          <w:spacing w:val="0"/>
          <w:sz w:val="28"/>
          <w:szCs w:val="28"/>
          <w:shd w:val="clear" w:color="auto" w:fill="auto"/>
        </w:rPr>
        <w:t>用于离退休人员的支出、退休人员支出，以及提供管理服务工作的离退休干部处的支出。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十、社会保障和就业(类)行政事业单位离退休（款）其他行政事业单位离退休支出（项）：指</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黄石港区人大</w:t>
      </w:r>
      <w:r>
        <w:rPr>
          <w:rFonts w:hint="eastAsia" w:asciiTheme="minorEastAsia" w:hAnsiTheme="minorEastAsia" w:eastAsiaTheme="minorEastAsia" w:cstheme="minorEastAsia"/>
          <w:b w:val="0"/>
          <w:i w:val="0"/>
          <w:caps w:val="0"/>
          <w:color w:val="000000"/>
          <w:spacing w:val="0"/>
          <w:sz w:val="28"/>
          <w:szCs w:val="28"/>
          <w:shd w:val="clear" w:color="auto" w:fill="auto"/>
        </w:rPr>
        <w:t>用于离退休方面的其他支出。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十一、医疗卫生与计划生育（类）医疗保障（款）行政单位医疗（项）：指</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黄石港区人大</w:t>
      </w:r>
      <w:r>
        <w:rPr>
          <w:rFonts w:hint="eastAsia" w:asciiTheme="minorEastAsia" w:hAnsiTheme="minorEastAsia" w:eastAsiaTheme="minorEastAsia" w:cstheme="minorEastAsia"/>
          <w:b w:val="0"/>
          <w:i w:val="0"/>
          <w:caps w:val="0"/>
          <w:color w:val="000000"/>
          <w:spacing w:val="0"/>
          <w:sz w:val="28"/>
          <w:szCs w:val="28"/>
          <w:shd w:val="clear" w:color="auto" w:fill="auto"/>
        </w:rPr>
        <w:t>用于机关干部职工及离退休人员医疗方面的支出。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十二、住房保障（类）住房改革支出（款）购房补贴（项）：指按照相关住房分配货币化改革的政策规定和标准，对无房和住房未达标职工发放的住房分配货币化补贴资金。</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十三、年末结转和结余：指本年度或以前年度预算安排、因客观条件发生变化无法按原计划实施，需要延迟到以后年度按有关规定继续使用的资金。</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十四、基本支出：指为保障机构正常运转、完成日常工作任务而发生的人员支出（包括基本工资、津贴补贴等）和公用支出（包括办公费、水电费、邮电费、交通费、差旅费等）。</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十五、项目支出：指在基本支出之外为完成特定行政任务和事业发展目标所发生的支出。</w:t>
      </w:r>
    </w:p>
    <w:p>
      <w:pPr>
        <w:spacing w:line="560" w:lineRule="exact"/>
        <w:ind w:firstLine="560" w:firstLineChars="200"/>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十六、“三公”经费：是指用财政拨款安排的因公出国（境）费、公务用车购置及运行维护费、公务接待费。</w:t>
      </w:r>
    </w:p>
    <w:p>
      <w:pPr>
        <w:rPr>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56401"/>
    <w:multiLevelType w:val="singleLevel"/>
    <w:tmpl w:val="E8256401"/>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A693D"/>
    <w:rsid w:val="0664587B"/>
    <w:rsid w:val="08C015D3"/>
    <w:rsid w:val="0E836A5F"/>
    <w:rsid w:val="10B92AFE"/>
    <w:rsid w:val="228A65CA"/>
    <w:rsid w:val="255E033E"/>
    <w:rsid w:val="289C3E82"/>
    <w:rsid w:val="2C203A0A"/>
    <w:rsid w:val="2C2716FD"/>
    <w:rsid w:val="2D5063EA"/>
    <w:rsid w:val="32BD01BE"/>
    <w:rsid w:val="38203263"/>
    <w:rsid w:val="3C2D5DD2"/>
    <w:rsid w:val="3CF427BE"/>
    <w:rsid w:val="489106AE"/>
    <w:rsid w:val="4BBC5AAB"/>
    <w:rsid w:val="4E1A6A90"/>
    <w:rsid w:val="514D2F0D"/>
    <w:rsid w:val="563E0CA4"/>
    <w:rsid w:val="5F4E1641"/>
    <w:rsid w:val="692B2102"/>
    <w:rsid w:val="69667B9D"/>
    <w:rsid w:val="70A32328"/>
    <w:rsid w:val="746766E2"/>
    <w:rsid w:val="78186405"/>
    <w:rsid w:val="7ED07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8">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9">
    <w:name w:val="ca-2"/>
    <w:basedOn w:val="5"/>
    <w:qFormat/>
    <w:uiPriority w:val="0"/>
  </w:style>
  <w:style w:type="paragraph" w:customStyle="1" w:styleId="10">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dcterms:modified xsi:type="dcterms:W3CDTF">2021-05-26T02:42:33Z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