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纪委监察局</w:t>
      </w:r>
      <w:r>
        <w:rPr>
          <w:rFonts w:ascii="微软雅黑" w:hAnsi="微软雅黑" w:eastAsia="微软雅黑" w:cs="微软雅黑"/>
          <w:color w:val="BC1010"/>
          <w:sz w:val="40"/>
          <w:szCs w:val="40"/>
          <w:shd w:val="clear" w:color="auto" w:fill="FFFFFF"/>
        </w:rPr>
        <w:t>2020</w:t>
      </w:r>
      <w:r>
        <w:rPr>
          <w:rFonts w:hint="eastAsia" w:ascii="微软雅黑" w:hAnsi="微软雅黑" w:eastAsia="微软雅黑" w:cs="微软雅黑"/>
          <w:color w:val="BC1010"/>
          <w:sz w:val="40"/>
          <w:szCs w:val="40"/>
          <w:shd w:val="clear" w:color="auto" w:fill="FFFFFF"/>
        </w:rPr>
        <w:t>年决算公开</w:t>
      </w:r>
    </w:p>
    <w:p>
      <w:pPr>
        <w:pStyle w:val="6"/>
        <w:widowControl/>
        <w:spacing w:before="76" w:beforeAutospacing="0" w:after="76" w:afterAutospacing="0" w:line="450" w:lineRule="atLeast"/>
        <w:ind w:firstLine="420"/>
        <w:jc w:val="center"/>
        <w:rPr>
          <w:color w:val="333333"/>
        </w:rPr>
      </w:pPr>
      <w:r>
        <w:rPr>
          <w:rStyle w:val="9"/>
          <w:rFonts w:hint="eastAsia" w:ascii="微软雅黑" w:hAnsi="微软雅黑" w:eastAsia="微软雅黑" w:cs="微软雅黑"/>
          <w:color w:val="333333"/>
          <w:shd w:val="clear" w:color="auto" w:fill="FFFFFF"/>
        </w:rPr>
        <w:t>黄石港区纪委监察局</w:t>
      </w:r>
      <w:r>
        <w:rPr>
          <w:rStyle w:val="9"/>
          <w:rFonts w:ascii="微软雅黑" w:hAnsi="微软雅黑" w:eastAsia="微软雅黑" w:cs="微软雅黑"/>
          <w:color w:val="333333"/>
          <w:shd w:val="clear" w:color="auto" w:fill="FFFFFF"/>
        </w:rPr>
        <w:t>2020</w:t>
      </w:r>
      <w:r>
        <w:rPr>
          <w:rStyle w:val="9"/>
          <w:rFonts w:hint="eastAsia" w:ascii="微软雅黑" w:hAnsi="微软雅黑" w:eastAsia="微软雅黑" w:cs="微软雅黑"/>
          <w:color w:val="333333"/>
          <w:shd w:val="clear" w:color="auto" w:fill="FFFFFF"/>
        </w:rPr>
        <w:t>年决算公开</w:t>
      </w:r>
    </w:p>
    <w:p>
      <w:pPr>
        <w:pStyle w:val="6"/>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第一部分</w:t>
      </w:r>
      <w:r>
        <w:rPr>
          <w:rFonts w:ascii="微软雅黑" w:hAnsi="微软雅黑" w:eastAsia="微软雅黑" w:cs="微软雅黑"/>
          <w:color w:val="333333"/>
          <w:shd w:val="clear" w:color="090000" w:fill="FFFFFF"/>
        </w:rPr>
        <w:t>:</w:t>
      </w:r>
      <w:r>
        <w:rPr>
          <w:rFonts w:hint="eastAsia" w:ascii="微软雅黑" w:hAnsi="微软雅黑" w:eastAsia="微软雅黑" w:cs="微软雅黑"/>
          <w:color w:val="333333"/>
          <w:shd w:val="clear" w:color="090000" w:fill="FFFFFF"/>
        </w:rPr>
        <w:t>部门基本情况</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一、部门主要职责</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二、部门决算单位构成</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第二部分</w:t>
      </w:r>
      <w:r>
        <w:rPr>
          <w:rFonts w:ascii="微软雅黑" w:hAnsi="微软雅黑" w:eastAsia="微软雅黑" w:cs="微软雅黑"/>
          <w:color w:val="333333"/>
          <w:shd w:val="clear" w:color="090000" w:fill="FFFFFF"/>
        </w:rPr>
        <w:t xml:space="preserve">: </w:t>
      </w:r>
      <w:r>
        <w:rPr>
          <w:rFonts w:hint="eastAsia" w:ascii="微软雅黑" w:hAnsi="微软雅黑" w:eastAsia="微软雅黑" w:cs="微软雅黑"/>
          <w:color w:val="333333"/>
          <w:shd w:val="clear" w:color="090000" w:fill="FFFFFF"/>
        </w:rPr>
        <w:t>部门</w:t>
      </w:r>
      <w:r>
        <w:rPr>
          <w:rFonts w:ascii="微软雅黑" w:hAnsi="微软雅黑" w:eastAsia="微软雅黑" w:cs="微软雅黑"/>
          <w:color w:val="333333"/>
          <w:shd w:val="clear" w:color="090000" w:fill="FFFFFF"/>
        </w:rPr>
        <w:t>2020</w:t>
      </w:r>
      <w:r>
        <w:rPr>
          <w:rFonts w:hint="eastAsia" w:ascii="微软雅黑" w:hAnsi="微软雅黑" w:eastAsia="微软雅黑" w:cs="微软雅黑"/>
          <w:color w:val="333333"/>
          <w:shd w:val="clear" w:color="090000" w:fill="FFFFFF"/>
        </w:rPr>
        <w:t>年部门决算表</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一、收入支出决算总表（表</w:t>
      </w:r>
      <w:r>
        <w:rPr>
          <w:rFonts w:ascii="微软雅黑" w:hAnsi="微软雅黑" w:eastAsia="微软雅黑" w:cs="微软雅黑"/>
          <w:color w:val="333333"/>
          <w:shd w:val="clear" w:color="090000" w:fill="FFFFFF"/>
        </w:rPr>
        <w:t>1</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二、收入决算表（表</w:t>
      </w:r>
      <w:r>
        <w:rPr>
          <w:rFonts w:ascii="微软雅黑" w:hAnsi="微软雅黑" w:eastAsia="微软雅黑" w:cs="微软雅黑"/>
          <w:color w:val="333333"/>
          <w:shd w:val="clear" w:color="090000" w:fill="FFFFFF"/>
        </w:rPr>
        <w:t>2</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三、支出决算表（表</w:t>
      </w:r>
      <w:r>
        <w:rPr>
          <w:rFonts w:ascii="微软雅黑" w:hAnsi="微软雅黑" w:eastAsia="微软雅黑" w:cs="微软雅黑"/>
          <w:color w:val="333333"/>
          <w:shd w:val="clear" w:color="090000" w:fill="FFFFFF"/>
        </w:rPr>
        <w:t>3</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四、财政拨款收入支出决算总表（表</w:t>
      </w:r>
      <w:r>
        <w:rPr>
          <w:rFonts w:ascii="微软雅黑" w:hAnsi="微软雅黑" w:eastAsia="微软雅黑" w:cs="微软雅黑"/>
          <w:color w:val="333333"/>
          <w:shd w:val="clear" w:color="090000" w:fill="FFFFFF"/>
        </w:rPr>
        <w:t>4</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五、一般公共预算财政拨款支出决算表（表</w:t>
      </w:r>
      <w:r>
        <w:rPr>
          <w:rFonts w:ascii="微软雅黑" w:hAnsi="微软雅黑" w:eastAsia="微软雅黑" w:cs="微软雅黑"/>
          <w:color w:val="333333"/>
          <w:shd w:val="clear" w:color="090000" w:fill="FFFFFF"/>
        </w:rPr>
        <w:t>5</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六、一般公共预算财政拨款基本支出决算表（表</w:t>
      </w:r>
      <w:r>
        <w:rPr>
          <w:rFonts w:ascii="微软雅黑" w:hAnsi="微软雅黑" w:eastAsia="微软雅黑" w:cs="微软雅黑"/>
          <w:color w:val="333333"/>
          <w:shd w:val="clear" w:color="090000" w:fill="FFFFFF"/>
        </w:rPr>
        <w:t>6</w:t>
      </w:r>
      <w:r>
        <w:rPr>
          <w:rFonts w:hint="eastAsia" w:ascii="微软雅黑" w:hAnsi="微软雅黑" w:eastAsia="微软雅黑" w:cs="微软雅黑"/>
          <w:color w:val="333333"/>
          <w:shd w:val="clear" w:color="090000" w:fill="FFFFFF"/>
        </w:rPr>
        <w:t>）</w:t>
      </w:r>
    </w:p>
    <w:p>
      <w:pPr>
        <w:pStyle w:val="14"/>
        <w:spacing w:before="76" w:beforeAutospacing="0" w:after="76" w:afterAutospacing="0" w:line="450" w:lineRule="atLeast"/>
        <w:ind w:firstLine="420"/>
        <w:rPr>
          <w:rFonts w:hint="eastAsia" w:ascii="微软雅黑" w:hAnsi="微软雅黑" w:eastAsia="微软雅黑" w:cs="微软雅黑"/>
          <w:color w:val="333333"/>
          <w:shd w:val="clear" w:color="090000" w:fill="FFFFFF"/>
        </w:rPr>
      </w:pPr>
      <w:r>
        <w:rPr>
          <w:rFonts w:hint="eastAsia" w:ascii="微软雅黑" w:hAnsi="微软雅黑" w:eastAsia="微软雅黑" w:cs="微软雅黑"/>
          <w:color w:val="333333"/>
          <w:shd w:val="clear" w:color="090000" w:fill="FFFFFF"/>
        </w:rPr>
        <w:t>七、一般公共预算财政拨款“三公”经费支出决算表（表</w:t>
      </w:r>
      <w:r>
        <w:rPr>
          <w:rFonts w:ascii="微软雅黑" w:hAnsi="微软雅黑" w:eastAsia="微软雅黑" w:cs="微软雅黑"/>
          <w:color w:val="333333"/>
          <w:shd w:val="clear" w:color="090000" w:fill="FFFFFF"/>
        </w:rPr>
        <w:t>7</w:t>
      </w:r>
      <w:r>
        <w:rPr>
          <w:rFonts w:hint="eastAsia" w:ascii="微软雅黑" w:hAnsi="微软雅黑" w:eastAsia="微软雅黑" w:cs="微软雅黑"/>
          <w:color w:val="333333"/>
          <w:shd w:val="clear" w:color="090000" w:fill="FFFFFF"/>
        </w:rPr>
        <w:t>）</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color w:val="333333"/>
          <w:shd w:val="clear" w:color="090000"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第三部分：部门</w:t>
      </w:r>
      <w:r>
        <w:rPr>
          <w:rFonts w:ascii="微软雅黑" w:hAnsi="微软雅黑" w:eastAsia="微软雅黑" w:cs="微软雅黑"/>
          <w:color w:val="333333"/>
          <w:shd w:val="clear" w:color="090000" w:fill="FFFFFF"/>
        </w:rPr>
        <w:t>2020</w:t>
      </w:r>
      <w:r>
        <w:rPr>
          <w:rFonts w:hint="eastAsia" w:ascii="微软雅黑" w:hAnsi="微软雅黑" w:eastAsia="微软雅黑" w:cs="微软雅黑"/>
          <w:color w:val="333333"/>
          <w:shd w:val="clear" w:color="090000" w:fill="FFFFFF"/>
        </w:rPr>
        <w:t>年部门决算情况说明</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一、预算执行情况分析</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二、关于“三公”经费支出说明</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三、关于机关运行经费支出说明</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四、关于政府采购支出说明</w:t>
      </w: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五、关于国有资产占用情况说明</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w:t>
      </w:r>
      <w:r>
        <w:rPr>
          <w:rFonts w:hint="eastAsia" w:ascii="微软雅黑" w:hAnsi="微软雅黑" w:eastAsia="微软雅黑" w:cs="微软雅黑"/>
          <w:b w:val="0"/>
          <w:i w:val="0"/>
          <w:caps w:val="0"/>
          <w:color w:val="333333"/>
          <w:spacing w:val="0"/>
          <w:sz w:val="24"/>
          <w:szCs w:val="24"/>
          <w:shd w:val="clear" w:fill="FFFFFF"/>
          <w:lang w:eastAsia="zh-CN"/>
        </w:rPr>
        <w:t>、决算收支增减变化情况</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p>
    <w:p>
      <w:pPr>
        <w:pStyle w:val="14"/>
        <w:spacing w:before="76" w:beforeAutospacing="0" w:after="76" w:afterAutospacing="0" w:line="450" w:lineRule="atLeast"/>
        <w:ind w:firstLine="420"/>
        <w:rPr>
          <w:rFonts w:ascii="微软雅黑" w:hAnsi="微软雅黑" w:eastAsia="微软雅黑" w:cs="微软雅黑"/>
          <w:color w:val="333333"/>
          <w:shd w:val="clear" w:color="080000" w:fill="FFFFFF"/>
        </w:rPr>
      </w:pPr>
    </w:p>
    <w:p>
      <w:pPr>
        <w:pStyle w:val="14"/>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第四部分：名词解释</w:t>
      </w:r>
      <w:r>
        <w:rPr>
          <w:rFonts w:ascii="微软雅黑" w:hAnsi="微软雅黑" w:eastAsia="微软雅黑" w:cs="微软雅黑"/>
          <w:color w:val="333333"/>
          <w:shd w:val="clear" w:color="090000" w:fill="FFFFFF"/>
        </w:rPr>
        <w:t> </w:t>
      </w:r>
    </w:p>
    <w:p>
      <w:pPr>
        <w:pStyle w:val="6"/>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jc w:val="center"/>
        <w:rPr>
          <w:rStyle w:val="9"/>
          <w:rFonts w:ascii="微软雅黑" w:hAnsi="微软雅黑" w:eastAsia="微软雅黑" w:cs="微软雅黑"/>
          <w:color w:val="333333"/>
          <w:shd w:val="clear" w:color="auto" w:fill="FFFFFF"/>
        </w:rPr>
      </w:pPr>
      <w:r>
        <w:rPr>
          <w:rStyle w:val="9"/>
          <w:rFonts w:ascii="微软雅黑" w:hAnsi="微软雅黑" w:eastAsia="微软雅黑" w:cs="微软雅黑"/>
          <w:color w:val="333333"/>
          <w:shd w:val="clear" w:color="auto" w:fill="FFFFFF"/>
        </w:rPr>
        <w:t>2020</w:t>
      </w:r>
      <w:r>
        <w:rPr>
          <w:rStyle w:val="9"/>
          <w:rFonts w:hint="eastAsia" w:ascii="微软雅黑" w:hAnsi="微软雅黑" w:eastAsia="微软雅黑" w:cs="微软雅黑"/>
          <w:color w:val="333333"/>
          <w:shd w:val="clear" w:color="auto" w:fill="FFFFFF"/>
        </w:rPr>
        <w:t>年部门决算</w:t>
      </w:r>
    </w:p>
    <w:p>
      <w:pPr>
        <w:numPr>
          <w:ilvl w:val="0"/>
          <w:numId w:val="1"/>
        </w:numPr>
        <w:snapToGrid w:val="0"/>
        <w:spacing w:line="480" w:lineRule="auto"/>
        <w:ind w:firstLine="480" w:firstLineChars="200"/>
        <w:rPr>
          <w:rStyle w:val="9"/>
          <w:rFonts w:ascii="微软雅黑" w:hAnsi="微软雅黑" w:eastAsia="微软雅黑" w:cs="微软雅黑"/>
          <w:color w:val="333333"/>
          <w:sz w:val="24"/>
          <w:shd w:val="clear" w:color="auto" w:fill="FFFFFF"/>
        </w:rPr>
      </w:pPr>
      <w:r>
        <w:rPr>
          <w:rStyle w:val="9"/>
          <w:rFonts w:hint="eastAsia" w:ascii="微软雅黑" w:hAnsi="微软雅黑" w:eastAsia="微软雅黑" w:cs="微软雅黑"/>
          <w:color w:val="333333"/>
          <w:sz w:val="24"/>
          <w:shd w:val="clear" w:color="auto" w:fill="FFFFFF"/>
        </w:rPr>
        <w:t>部门基本情况</w:t>
      </w:r>
    </w:p>
    <w:p>
      <w:pPr>
        <w:shd w:val="clear" w:color="auto" w:fill="FFFFFF"/>
        <w:snapToGrid w:val="0"/>
        <w:spacing w:line="560" w:lineRule="atLeast"/>
        <w:ind w:firstLine="562"/>
        <w:rPr>
          <w:rFonts w:ascii="仿宋_GB2312" w:hAnsi="宋体" w:eastAsia="仿宋_GB2312" w:cs="宋体"/>
          <w:sz w:val="32"/>
          <w:szCs w:val="32"/>
        </w:rPr>
      </w:pPr>
      <w:r>
        <w:rPr>
          <w:rFonts w:ascii="仿宋_GB2312" w:hAnsi="宋体" w:eastAsia="仿宋_GB2312" w:cs="宋体"/>
          <w:sz w:val="32"/>
          <w:szCs w:val="32"/>
        </w:rPr>
        <w:t>1</w:t>
      </w:r>
      <w:r>
        <w:rPr>
          <w:rFonts w:hint="eastAsia" w:ascii="仿宋_GB2312" w:hAnsi="宋体" w:eastAsia="仿宋_GB2312" w:cs="宋体"/>
          <w:sz w:val="32"/>
          <w:szCs w:val="32"/>
        </w:rPr>
        <w:t>、基本职能</w:t>
      </w:r>
      <w:r>
        <w:rPr>
          <w:rFonts w:ascii="仿宋_GB2312" w:hAnsi="宋体" w:eastAsia="仿宋_GB2312" w:cs="宋体"/>
          <w:sz w:val="32"/>
          <w:szCs w:val="32"/>
        </w:rPr>
        <w:t xml:space="preserve"> </w:t>
      </w:r>
    </w:p>
    <w:p>
      <w:pPr>
        <w:pStyle w:val="6"/>
        <w:shd w:val="clear" w:color="auto" w:fill="FFFFFF"/>
        <w:adjustRightInd w:val="0"/>
        <w:snapToGrid w:val="0"/>
        <w:spacing w:beforeAutospacing="0" w:afterAutospacing="0" w:line="560" w:lineRule="exact"/>
        <w:ind w:firstLine="240" w:firstLineChars="100"/>
        <w:rPr>
          <w:rFonts w:ascii="仿宋_GB2312" w:eastAsia="仿宋_GB2312"/>
          <w:sz w:val="32"/>
          <w:szCs w:val="32"/>
        </w:rPr>
      </w:pPr>
      <w:r>
        <w:t> </w:t>
      </w:r>
      <w:r>
        <w:rPr>
          <w:rFonts w:eastAsia="仿宋_GB2312"/>
          <w:sz w:val="32"/>
          <w:szCs w:val="32"/>
        </w:rPr>
        <w:t> </w:t>
      </w:r>
      <w:r>
        <w:rPr>
          <w:rFonts w:hint="eastAsia" w:ascii="仿宋_GB2312" w:eastAsia="仿宋_GB2312"/>
          <w:sz w:val="32"/>
          <w:szCs w:val="32"/>
        </w:rPr>
        <w:t>（一）负责党的纪律检查工作。贯彻落实党</w:t>
      </w:r>
      <w:bookmarkStart w:id="0" w:name="_GoBack"/>
      <w:bookmarkEnd w:id="0"/>
      <w:r>
        <w:rPr>
          <w:rFonts w:hint="eastAsia" w:ascii="仿宋_GB2312" w:eastAsia="仿宋_GB2312"/>
          <w:sz w:val="32"/>
          <w:szCs w:val="32"/>
        </w:rPr>
        <w:t>中央、中央纪委，省委、省纪委，市委、市纪委和区委关于纪律检查工作的决定，维护党的章程和其他党内法规，检查党的路线方针政策和决议的执行情况，协助区委推进全面从严治党、加强党风廉政建设和组织协调反腐败工作。</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二）依照党的章程和其他党内法规履行监督、执纪、问责职责。负责经常对党员进行遵守纪律的教育，作出关于维护党纪的决定；对党的关系在黄石港区的党组织、党员领导干部履行职责、行使权力进行监督，受理处置党员群众检举举报，开展谈话提醒、约谈函询；检查和处理上述党的组织和党员违反党的章程和其他党内法规的比较重要或者复杂的案件，决定或者取消对这些案件中的党员的处分；进行问责或者提出责任追究的建议；受理党员的控告和申诉；保障党员的权利。</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三）负责全区监察工作。贯彻落实党中央、中央纪委国家监委，省委、省纪委监委，市委、市纪委监委和区委关于监察工作的决定，维护宪法法律，依法对区委管理或者授权管辖的行使公权力的公职人员进行监察，调查职务违法和职务犯罪，开展廉政建设和反腐败工作。</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四）依照法律规定履行监督、调查、处置职责。推动开展廉政教育，对区委管理或者授权管辖的行使公权力的公职人员依法履职、秉公用权、廉洁从政从业以及道德操守情况进行监督检查；对涉嫌贪污贿赂、滥用职权、玩忽职守、权力寻租、利益输送、徇私舞弊以及浪费国家资财等职务违法和职务犯罪进行调查；对违法的公职人员依法作出政务处分决定；对履行职责不力、失职失责的领导人员进行问责；对涉嫌职务犯罪的，将调查结果移送人民检察院依法审查、提起公诉；向监察对象所在单位提出监察建议。</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（五）负责组织协调全区全面从严治党、党风廉政建设和反腐败宣传教育工作。</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（六）负责综合分析全区全面从严治党、党风廉政建设和反腐败工作情况，对纪检监察工作重要理论和实践问题进行调查研究；参与起草制定相关规范性文件。</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（七）负责全区反腐败国际追逃追赃和防逃工作的组织协调，督促有关单位做好相关工作。</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（八）负责与区委巡察工作领导小组办公室的统筹协调和有关问题线索的处置工作。</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九）根据干部管理权限，负责全区纪检监察系统干部队伍建设和政策研究、制度建设和业务指导；会同有关方面做好区纪委监委派出机构、区委巡察机构队伍建设有关工作；组织和指导全区纪检监察系统干部教育培训工作。</w:t>
      </w:r>
      <w:r>
        <w:rPr>
          <w:rFonts w:ascii="仿宋_GB2312" w:eastAsia="仿宋_GB2312"/>
          <w:sz w:val="32"/>
          <w:szCs w:val="32"/>
        </w:rPr>
        <w:br w:type="textWrapping"/>
      </w:r>
      <w:r>
        <w:rPr>
          <w:rFonts w:eastAsia="仿宋_GB2312"/>
          <w:sz w:val="32"/>
          <w:szCs w:val="32"/>
        </w:rPr>
        <w:t>    </w:t>
      </w:r>
      <w:r>
        <w:rPr>
          <w:rFonts w:hint="eastAsia" w:ascii="仿宋_GB2312" w:eastAsia="仿宋_GB2312"/>
          <w:sz w:val="32"/>
          <w:szCs w:val="32"/>
        </w:rPr>
        <w:t>（十）完成市纪委监委和区委交办的其他任务。</w:t>
      </w:r>
    </w:p>
    <w:p>
      <w:pPr>
        <w:wordWrap w:val="0"/>
        <w:spacing w:line="600" w:lineRule="atLeast"/>
        <w:ind w:firstLine="640"/>
        <w:rPr>
          <w:rFonts w:ascii="仿宋_GB2312" w:hAnsi="宋体" w:eastAsia="仿宋_GB2312" w:cs="宋体"/>
          <w:color w:val="333333"/>
          <w:sz w:val="32"/>
          <w:szCs w:val="32"/>
        </w:rPr>
      </w:pPr>
      <w:r>
        <w:rPr>
          <w:rFonts w:ascii="仿宋_GB2312" w:hAnsi="宋体" w:eastAsia="仿宋_GB2312"/>
          <w:color w:val="333333"/>
          <w:sz w:val="32"/>
          <w:szCs w:val="32"/>
        </w:rPr>
        <w:t>2</w:t>
      </w:r>
      <w:r>
        <w:rPr>
          <w:rFonts w:hint="eastAsia" w:ascii="仿宋_GB2312" w:hAnsi="宋体" w:eastAsia="仿宋_GB2312"/>
          <w:color w:val="333333"/>
          <w:sz w:val="32"/>
          <w:szCs w:val="32"/>
        </w:rPr>
        <w:t>、</w:t>
      </w:r>
      <w:r>
        <w:rPr>
          <w:rFonts w:ascii="宋体" w:hAnsi="宋体" w:eastAsia="仿宋_GB2312"/>
          <w:color w:val="333333"/>
          <w:sz w:val="32"/>
          <w:szCs w:val="32"/>
        </w:rPr>
        <w:t> </w:t>
      </w:r>
      <w:r>
        <w:rPr>
          <w:rFonts w:hint="eastAsia" w:ascii="仿宋_GB2312" w:hAnsi="宋体" w:eastAsia="仿宋_GB2312" w:cs="宋体"/>
          <w:sz w:val="32"/>
          <w:szCs w:val="32"/>
        </w:rPr>
        <w:t>部门机构情况</w:t>
      </w:r>
    </w:p>
    <w:p>
      <w:pPr>
        <w:pStyle w:val="6"/>
        <w:shd w:val="clear" w:color="auto" w:fill="FFFFFF"/>
        <w:adjustRightInd w:val="0"/>
        <w:snapToGrid w:val="0"/>
        <w:spacing w:beforeAutospacing="0" w:afterAutospacing="0" w:line="560" w:lineRule="exact"/>
        <w:ind w:firstLine="320" w:firstLineChars="100"/>
        <w:rPr>
          <w:rFonts w:ascii="仿宋_GB2312" w:hAnsi="Arial" w:eastAsia="仿宋_GB2312" w:cs="Arial"/>
          <w:color w:val="333333"/>
          <w:sz w:val="32"/>
          <w:szCs w:val="32"/>
        </w:rPr>
      </w:pPr>
      <w:r>
        <w:rPr>
          <w:rFonts w:hint="eastAsia" w:ascii="仿宋_GB2312" w:eastAsia="仿宋_GB2312" w:cs="Tahoma"/>
          <w:color w:val="333333"/>
          <w:sz w:val="32"/>
          <w:szCs w:val="32"/>
        </w:rPr>
        <w:t>设有机构：办公室、</w:t>
      </w:r>
      <w:r>
        <w:rPr>
          <w:rFonts w:hint="eastAsia" w:ascii="仿宋_GB2312" w:eastAsia="仿宋_GB2312"/>
          <w:sz w:val="32"/>
          <w:szCs w:val="32"/>
        </w:rPr>
        <w:t>案件监督管理（信访）室、第一纪检监察室、第二至第三纪检监察室、案件审理室</w:t>
      </w:r>
    </w:p>
    <w:p>
      <w:pPr>
        <w:shd w:val="clear" w:color="auto" w:fill="FFFFFF"/>
        <w:spacing w:line="560" w:lineRule="atLeast"/>
        <w:ind w:firstLine="560"/>
        <w:rPr>
          <w:rFonts w:ascii="仿宋_GB2312" w:hAnsi="宋体" w:eastAsia="仿宋_GB2312" w:cs="宋体"/>
          <w:sz w:val="32"/>
          <w:szCs w:val="32"/>
        </w:rPr>
      </w:pPr>
      <w:r>
        <w:rPr>
          <w:rFonts w:ascii="仿宋_GB2312" w:hAnsi="宋体" w:eastAsia="仿宋_GB2312" w:cs="宋体"/>
          <w:sz w:val="32"/>
          <w:szCs w:val="32"/>
        </w:rPr>
        <w:t>3</w:t>
      </w:r>
      <w:r>
        <w:rPr>
          <w:rFonts w:hint="eastAsia" w:ascii="仿宋_GB2312" w:hAnsi="宋体" w:eastAsia="仿宋_GB2312" w:cs="宋体"/>
          <w:sz w:val="32"/>
          <w:szCs w:val="32"/>
        </w:rPr>
        <w:t>、人员情况</w:t>
      </w:r>
    </w:p>
    <w:p>
      <w:pPr>
        <w:ind w:firstLine="480"/>
        <w:rPr>
          <w:rFonts w:ascii="仿宋_GB2312" w:hAnsi="宋体" w:eastAsia="仿宋_GB2312"/>
          <w:color w:val="000000"/>
          <w:sz w:val="32"/>
          <w:szCs w:val="32"/>
        </w:rPr>
      </w:pPr>
      <w:r>
        <w:rPr>
          <w:rFonts w:hint="eastAsia" w:ascii="仿宋_GB2312" w:hAnsi="宋体" w:eastAsia="仿宋_GB2312" w:cs="仿宋"/>
          <w:color w:val="000000"/>
          <w:sz w:val="32"/>
          <w:szCs w:val="32"/>
        </w:rPr>
        <w:t>本部门年末实有人数</w:t>
      </w:r>
      <w:r>
        <w:rPr>
          <w:rFonts w:ascii="仿宋_GB2312" w:hAnsi="宋体" w:eastAsia="仿宋_GB2312" w:cs="仿宋"/>
          <w:color w:val="000000"/>
          <w:sz w:val="32"/>
          <w:szCs w:val="32"/>
        </w:rPr>
        <w:t>31</w:t>
      </w:r>
      <w:r>
        <w:rPr>
          <w:rFonts w:hint="eastAsia" w:ascii="仿宋_GB2312" w:hAnsi="宋体" w:eastAsia="仿宋_GB2312" w:cs="仿宋"/>
          <w:color w:val="000000"/>
          <w:sz w:val="32"/>
          <w:szCs w:val="32"/>
        </w:rPr>
        <w:t>人，与去年相比增加</w:t>
      </w:r>
      <w:r>
        <w:rPr>
          <w:rFonts w:ascii="仿宋_GB2312" w:hAnsi="宋体" w:eastAsia="仿宋_GB2312" w:cs="仿宋"/>
          <w:color w:val="000000"/>
          <w:sz w:val="32"/>
          <w:szCs w:val="32"/>
        </w:rPr>
        <w:t>1</w:t>
      </w:r>
      <w:r>
        <w:rPr>
          <w:rFonts w:hint="eastAsia" w:ascii="仿宋_GB2312" w:hAnsi="宋体" w:eastAsia="仿宋_GB2312" w:cs="仿宋"/>
          <w:color w:val="000000"/>
          <w:sz w:val="32"/>
          <w:szCs w:val="32"/>
        </w:rPr>
        <w:t>人，原因为人员调动。</w:t>
      </w:r>
    </w:p>
    <w:p>
      <w:pPr>
        <w:pStyle w:val="6"/>
        <w:shd w:val="clear" w:color="auto" w:fill="FFFFFF"/>
        <w:adjustRightInd w:val="0"/>
        <w:snapToGrid w:val="0"/>
        <w:spacing w:beforeAutospacing="0" w:afterAutospacing="0" w:line="560" w:lineRule="exact"/>
        <w:ind w:firstLine="320" w:firstLineChars="100"/>
        <w:rPr>
          <w:rFonts w:ascii="仿宋_GB2312" w:hAnsi="Arial" w:eastAsia="仿宋_GB2312" w:cs="Arial"/>
          <w:color w:val="333333"/>
          <w:sz w:val="32"/>
          <w:szCs w:val="32"/>
        </w:rPr>
      </w:pPr>
    </w:p>
    <w:p>
      <w:pPr>
        <w:spacing w:line="480" w:lineRule="auto"/>
        <w:ind w:firstLine="560" w:firstLineChars="200"/>
        <w:rPr>
          <w:rFonts w:ascii="宋体" w:cs="宋体"/>
          <w:color w:val="000000"/>
          <w:sz w:val="28"/>
          <w:szCs w:val="28"/>
        </w:rPr>
      </w:pPr>
    </w:p>
    <w:p>
      <w:pPr>
        <w:pStyle w:val="6"/>
        <w:widowControl/>
        <w:spacing w:before="76" w:beforeAutospacing="0" w:after="76" w:afterAutospacing="0" w:line="450" w:lineRule="atLeast"/>
        <w:ind w:firstLine="120" w:firstLineChars="50"/>
        <w:rPr>
          <w:rFonts w:ascii="微软雅黑" w:hAnsi="微软雅黑" w:eastAsia="微软雅黑" w:cs="微软雅黑"/>
          <w:b/>
          <w:bCs/>
        </w:rPr>
      </w:pPr>
      <w:r>
        <w:rPr>
          <w:rFonts w:hint="eastAsia" w:ascii="微软雅黑" w:hAnsi="微软雅黑" w:eastAsia="微软雅黑" w:cs="微软雅黑"/>
          <w:b/>
          <w:bCs/>
        </w:rPr>
        <w:t>第二部分：部门</w:t>
      </w:r>
      <w:r>
        <w:rPr>
          <w:rFonts w:ascii="微软雅黑" w:hAnsi="微软雅黑" w:eastAsia="微软雅黑" w:cs="微软雅黑"/>
          <w:b/>
          <w:bCs/>
        </w:rPr>
        <w:t>2020</w:t>
      </w:r>
      <w:r>
        <w:rPr>
          <w:rFonts w:hint="eastAsia" w:ascii="微软雅黑" w:hAnsi="微软雅黑" w:eastAsia="微软雅黑" w:cs="微软雅黑"/>
          <w:b/>
          <w:bCs/>
        </w:rPr>
        <w:t>年部门决算表</w:t>
      </w:r>
    </w:p>
    <w:p>
      <w:pPr>
        <w:pStyle w:val="6"/>
        <w:widowControl/>
        <w:spacing w:before="76" w:beforeAutospacing="0" w:after="76" w:afterAutospacing="0" w:line="450" w:lineRule="atLeast"/>
        <w:rPr>
          <w:color w:val="333333"/>
        </w:rPr>
        <w:sectPr>
          <w:headerReference r:id="rId5" w:type="first"/>
          <w:footerReference r:id="rId8" w:type="first"/>
          <w:headerReference r:id="rId3" w:type="default"/>
          <w:footerReference r:id="rId6" w:type="default"/>
          <w:headerReference r:id="rId4" w:type="even"/>
          <w:footerReference r:id="rId7" w:type="even"/>
          <w:pgSz w:w="16838" w:h="11906" w:orient="landscape"/>
          <w:pgMar w:top="1800" w:right="1440" w:bottom="1800" w:left="1440" w:header="851" w:footer="992" w:gutter="0"/>
          <w:cols w:space="425" w:num="1"/>
          <w:docGrid w:type="lines" w:linePitch="312" w:charSpace="0"/>
        </w:sectPr>
      </w:pPr>
    </w:p>
    <w:p>
      <w:pPr>
        <w:pStyle w:val="6"/>
        <w:widowControl/>
        <w:spacing w:before="76" w:beforeAutospacing="0" w:after="76" w:afterAutospacing="0" w:line="450" w:lineRule="atLeast"/>
      </w:pPr>
      <w:r>
        <w:pict>
          <v:shape id="_x0000_i1025" o:spt="75" type="#_x0000_t75" style="height:412.5pt;width:512.25pt;" filled="f" o:preferrelative="t" stroked="f" coordsize="21600,21600">
            <v:path/>
            <v:fill on="f" focussize="0,0"/>
            <v:stroke on="f" joinstyle="miter"/>
            <v:imagedata r:id="rId10" o:title=""/>
            <o:lock v:ext="edit" aspectratio="t"/>
            <w10:wrap type="none"/>
            <w10:anchorlock/>
          </v:shape>
        </w:pict>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center"/>
      </w:pPr>
    </w:p>
    <w:p>
      <w:pPr>
        <w:pStyle w:val="6"/>
        <w:widowControl/>
        <w:spacing w:before="76" w:beforeAutospacing="0" w:after="76" w:afterAutospacing="0" w:line="450" w:lineRule="atLeast"/>
        <w:jc w:val="both"/>
      </w:pPr>
      <w:r>
        <w:pict>
          <v:shape id="_x0000_i1026" o:spt="75" type="#_x0000_t75" style="height:205.5pt;width:690pt;" filled="f" o:preferrelative="t" stroked="f" coordsize="21600,21600">
            <v:path/>
            <v:fill on="f" focussize="0,0"/>
            <v:stroke on="f" joinstyle="miter"/>
            <v:imagedata r:id="rId11" o:title=""/>
            <o:lock v:ext="edit" aspectratio="t"/>
            <w10:wrap type="none"/>
            <w10:anchorlock/>
          </v:shape>
        </w:pict>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r>
        <w:pict>
          <v:shape id="_x0000_i1027" o:spt="75" type="#_x0000_t75" style="height:207pt;width:693pt;" filled="f" o:preferrelative="t" stroked="f" coordsize="21600,21600">
            <v:path/>
            <v:fill on="f" focussize="0,0"/>
            <v:stroke on="f" joinstyle="miter"/>
            <v:imagedata r:id="rId12" o:title=""/>
            <o:lock v:ext="edit" aspectratio="t"/>
            <w10:wrap type="none"/>
            <w10:anchorlock/>
          </v:shape>
        </w:pict>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r>
        <w:pict>
          <v:shape id="_x0000_i1028" o:spt="75" type="#_x0000_t75" style="height:412.5pt;width:591.75pt;" filled="f" o:preferrelative="t" stroked="f" coordsize="21600,21600">
            <v:path/>
            <v:fill on="f" focussize="0,0"/>
            <v:stroke on="f" joinstyle="miter"/>
            <v:imagedata r:id="rId13" o:title=""/>
            <o:lock v:ext="edit" aspectratio="t"/>
            <w10:wrap type="none"/>
            <w10:anchorlock/>
          </v:shape>
        </w:pict>
      </w: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pPr>
    </w:p>
    <w:p>
      <w:pPr>
        <w:pStyle w:val="6"/>
        <w:widowControl/>
        <w:spacing w:before="76" w:beforeAutospacing="0" w:after="76" w:afterAutospacing="0" w:line="450" w:lineRule="atLeast"/>
        <w:jc w:val="both"/>
        <w:sectPr>
          <w:pgSz w:w="16838" w:h="11906" w:orient="landscape"/>
          <w:pgMar w:top="1800" w:right="1440" w:bottom="1800" w:left="1440" w:header="851" w:footer="992" w:gutter="0"/>
          <w:cols w:space="425" w:num="1"/>
          <w:docGrid w:type="lines" w:linePitch="312" w:charSpace="0"/>
        </w:sectPr>
      </w:pPr>
      <w:r>
        <w:pict>
          <v:shape id="_x0000_i1029" o:spt="75" type="#_x0000_t75" style="height:204.75pt;width:696pt;" filled="f" o:preferrelative="t" stroked="f" coordsize="21600,21600">
            <v:path/>
            <v:fill on="f" focussize="0,0"/>
            <v:stroke on="f" joinstyle="miter"/>
            <v:imagedata r:id="rId14" o:title=""/>
            <o:lock v:ext="edit" aspectratio="t"/>
            <w10:wrap type="none"/>
            <w10:anchorlock/>
          </v:shape>
        </w:pict>
      </w: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hd w:val="clear" w:color="auto" w:fill="FFFFFF"/>
        </w:rPr>
      </w:pPr>
      <w:r>
        <w:rPr>
          <w:rStyle w:val="9"/>
          <w:rFonts w:ascii="微软雅黑" w:hAnsi="微软雅黑" w:eastAsia="微软雅黑" w:cs="微软雅黑"/>
          <w:color w:val="333333"/>
          <w:shd w:val="clear" w:color="auto" w:fill="FFFFFF"/>
        </w:rPr>
        <w:pict>
          <v:shape id="_x0000_i1030" o:spt="75" type="#_x0000_t75" style="height:405.75pt;width:690pt;" filled="f" o:preferrelative="t" stroked="f" coordsize="21600,21600">
            <v:path/>
            <v:fill on="f" focussize="0,0"/>
            <v:stroke on="f" joinstyle="miter"/>
            <v:imagedata r:id="rId15" o:title=""/>
            <o:lock v:ext="edit" aspectratio="t"/>
            <w10:wrap type="none"/>
            <w10:anchorlock/>
          </v:shape>
        </w:pict>
      </w: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hd w:val="clear" w:color="auto" w:fill="FFFFFF"/>
        </w:rPr>
      </w:pPr>
      <w:r>
        <w:rPr>
          <w:rStyle w:val="9"/>
          <w:rFonts w:ascii="微软雅黑" w:hAnsi="微软雅黑" w:eastAsia="微软雅黑" w:cs="微软雅黑"/>
          <w:color w:val="333333"/>
          <w:shd w:val="clear" w:color="auto" w:fill="FFFFFF"/>
        </w:rPr>
        <w:pict>
          <v:shape id="_x0000_i1031" o:spt="75" type="#_x0000_t75" style="height:147.75pt;width:697.5pt;" filled="f" o:preferrelative="t" stroked="f" coordsize="21600,21600">
            <v:path/>
            <v:fill on="f" focussize="0,0"/>
            <v:stroke on="f" joinstyle="miter"/>
            <v:imagedata r:id="rId16" o:title=""/>
            <o:lock v:ext="edit" aspectratio="t"/>
            <w10:wrap type="none"/>
            <w10:anchorlock/>
          </v:shape>
        </w:pict>
      </w: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hd w:val="clear" w:color="auto" w:fill="FFFFFF"/>
        </w:rPr>
      </w:pPr>
    </w:p>
    <w:tbl>
      <w:tblPr>
        <w:tblStyle w:val="7"/>
        <w:tblpPr w:leftFromText="180" w:rightFromText="180" w:vertAnchor="text" w:horzAnchor="page" w:tblpX="1535" w:tblpY="-4091"/>
        <w:tblOverlap w:val="never"/>
        <w:tblW w:w="138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tblPrEx>
          <w:shd w:val="clear" w:color="auto" w:fill="auto"/>
          <w:tblCellMar>
            <w:top w:w="0" w:type="dxa"/>
            <w:left w:w="0" w:type="dxa"/>
            <w:bottom w:w="0" w:type="dxa"/>
            <w:right w:w="0" w:type="dxa"/>
          </w:tblCellMar>
        </w:tblPrEx>
        <w:trPr>
          <w:trHeight w:val="215"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黑体" w:hAnsi="黑体" w:eastAsia="黑体" w:cs="黑体"/>
                <w:i w:val="0"/>
                <w:color w:val="000000"/>
                <w:kern w:val="0"/>
                <w:sz w:val="32"/>
                <w:szCs w:val="32"/>
                <w:u w:val="none"/>
                <w:lang w:val="en-US" w:eastAsia="zh-CN" w:bidi="ar"/>
              </w:rPr>
              <w:t>政府性基金预算财政拨款收入支出决算表</w:t>
            </w:r>
          </w:p>
        </w:tc>
      </w:tr>
      <w:tr>
        <w:tblPrEx>
          <w:tblCellMar>
            <w:top w:w="0" w:type="dxa"/>
            <w:left w:w="0" w:type="dxa"/>
            <w:bottom w:w="0" w:type="dxa"/>
            <w:right w:w="0" w:type="dxa"/>
          </w:tblCellMar>
        </w:tblPrEx>
        <w:trPr>
          <w:trHeight w:val="110"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shd w:val="clear" w:color="auto" w:fill="auto"/>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黄石市黄石港区财政局</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shd w:val="clear" w:color="auto" w:fill="auto"/>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shd w:val="clear" w:color="auto" w:fill="auto"/>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r>
      <w:tr>
        <w:tblPrEx>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shd w:val="clear" w:color="auto" w:fill="auto"/>
          <w:tblCellMar>
            <w:top w:w="0" w:type="dxa"/>
            <w:left w:w="0" w:type="dxa"/>
            <w:bottom w:w="0" w:type="dxa"/>
            <w:right w:w="0" w:type="dxa"/>
          </w:tblCellMar>
        </w:tblPrEx>
        <w:trPr>
          <w:trHeight w:val="114" w:hRule="atLeast"/>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240" w:firstLineChars="100"/>
        <w:rPr>
          <w:color w:val="333333"/>
        </w:rPr>
      </w:pPr>
      <w:r>
        <w:rPr>
          <w:rStyle w:val="9"/>
          <w:rFonts w:hint="eastAsia" w:ascii="微软雅黑" w:hAnsi="微软雅黑" w:eastAsia="微软雅黑" w:cs="微软雅黑"/>
          <w:color w:val="333333"/>
          <w:shd w:val="clear" w:color="auto" w:fill="FFFFFF"/>
        </w:rPr>
        <w:t>第三部分</w:t>
      </w:r>
      <w:r>
        <w:rPr>
          <w:rStyle w:val="9"/>
          <w:rFonts w:ascii="微软雅黑" w:hAnsi="微软雅黑" w:eastAsia="微软雅黑" w:cs="微软雅黑"/>
          <w:color w:val="333333"/>
          <w:shd w:val="clear" w:color="auto" w:fill="FFFFFF"/>
        </w:rPr>
        <w:t xml:space="preserve"> 2020</w:t>
      </w:r>
      <w:r>
        <w:rPr>
          <w:rStyle w:val="9"/>
          <w:rFonts w:hint="eastAsia" w:ascii="微软雅黑" w:hAnsi="微软雅黑" w:eastAsia="微软雅黑" w:cs="微软雅黑"/>
          <w:color w:val="333333"/>
          <w:shd w:val="clear" w:color="auto" w:fill="FFFFFF"/>
        </w:rPr>
        <w:t>年部门决算情况说明</w:t>
      </w:r>
    </w:p>
    <w:p>
      <w:pPr>
        <w:spacing w:line="560" w:lineRule="exact"/>
        <w:ind w:firstLine="562" w:firstLineChars="200"/>
        <w:rPr>
          <w:rFonts w:ascii="宋体" w:cs="宋体"/>
          <w:b/>
          <w:bCs/>
          <w:color w:val="000000"/>
          <w:sz w:val="28"/>
          <w:szCs w:val="28"/>
        </w:rPr>
      </w:pPr>
      <w:r>
        <w:rPr>
          <w:rFonts w:hint="eastAsia" w:ascii="宋体" w:hAnsi="宋体" w:cs="宋体"/>
          <w:b/>
          <w:bCs/>
          <w:color w:val="000000"/>
          <w:sz w:val="28"/>
          <w:szCs w:val="28"/>
        </w:rPr>
        <w:t>（一）预算执行情况分析</w:t>
      </w:r>
    </w:p>
    <w:p>
      <w:pPr>
        <w:shd w:val="clear" w:color="auto" w:fill="FFFFFF"/>
        <w:snapToGrid w:val="0"/>
        <w:spacing w:line="560" w:lineRule="atLeast"/>
        <w:ind w:firstLine="560" w:firstLineChars="200"/>
        <w:rPr>
          <w:rFonts w:ascii="宋体" w:cs="宋体"/>
          <w:color w:val="333333"/>
          <w:sz w:val="28"/>
          <w:szCs w:val="28"/>
        </w:rPr>
      </w:pPr>
      <w:r>
        <w:rPr>
          <w:rFonts w:ascii="宋体" w:hAnsi="宋体" w:cs="宋体"/>
          <w:color w:val="333333"/>
          <w:sz w:val="28"/>
          <w:szCs w:val="28"/>
        </w:rPr>
        <w:t>1</w:t>
      </w:r>
      <w:r>
        <w:rPr>
          <w:rFonts w:hint="eastAsia" w:ascii="宋体" w:hAnsi="宋体" w:cs="宋体"/>
          <w:color w:val="333333"/>
          <w:sz w:val="28"/>
          <w:szCs w:val="28"/>
        </w:rPr>
        <w:t>、收入分析：</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本年总收入</w:t>
      </w:r>
      <w:r>
        <w:rPr>
          <w:rFonts w:ascii="宋体" w:hAnsi="宋体" w:cs="宋体"/>
          <w:color w:val="333333"/>
          <w:sz w:val="28"/>
          <w:szCs w:val="28"/>
        </w:rPr>
        <w:t>852.96</w:t>
      </w:r>
      <w:r>
        <w:rPr>
          <w:rFonts w:hint="eastAsia" w:ascii="宋体" w:hAnsi="宋体" w:cs="宋体"/>
          <w:color w:val="333333"/>
          <w:sz w:val="28"/>
          <w:szCs w:val="28"/>
        </w:rPr>
        <w:t>万元。比去年的</w:t>
      </w:r>
      <w:r>
        <w:rPr>
          <w:rFonts w:ascii="宋体" w:hAnsi="宋体" w:cs="宋体"/>
          <w:color w:val="333333"/>
          <w:sz w:val="28"/>
          <w:szCs w:val="28"/>
        </w:rPr>
        <w:t>570.65</w:t>
      </w:r>
      <w:r>
        <w:rPr>
          <w:rFonts w:hint="eastAsia" w:ascii="宋体" w:hAnsi="宋体" w:cs="宋体"/>
          <w:color w:val="333333"/>
          <w:sz w:val="28"/>
          <w:szCs w:val="28"/>
        </w:rPr>
        <w:t>万元增加</w:t>
      </w:r>
      <w:r>
        <w:rPr>
          <w:rFonts w:ascii="宋体" w:hAnsi="宋体" w:cs="宋体"/>
          <w:color w:val="333333"/>
          <w:sz w:val="28"/>
          <w:szCs w:val="28"/>
        </w:rPr>
        <w:t>282.31</w:t>
      </w:r>
      <w:r>
        <w:rPr>
          <w:rFonts w:hint="eastAsia" w:ascii="宋体" w:hAnsi="宋体" w:cs="宋体"/>
          <w:color w:val="333333"/>
          <w:sz w:val="28"/>
          <w:szCs w:val="28"/>
        </w:rPr>
        <w:t>万元，增幅</w:t>
      </w:r>
      <w:r>
        <w:rPr>
          <w:rFonts w:ascii="宋体" w:hAnsi="宋体" w:cs="宋体"/>
          <w:color w:val="333333"/>
          <w:sz w:val="28"/>
          <w:szCs w:val="28"/>
        </w:rPr>
        <w:t>49.47%</w:t>
      </w:r>
      <w:r>
        <w:rPr>
          <w:rFonts w:hint="eastAsia" w:ascii="宋体" w:hAnsi="宋体" w:cs="宋体"/>
          <w:color w:val="333333"/>
          <w:sz w:val="28"/>
          <w:szCs w:val="28"/>
        </w:rPr>
        <w:t>其主要原因为案件审理相关事务增加。其中财政拨款收入</w:t>
      </w:r>
      <w:r>
        <w:rPr>
          <w:rFonts w:ascii="宋体" w:hAnsi="宋体" w:cs="宋体"/>
          <w:color w:val="333333"/>
          <w:sz w:val="28"/>
          <w:szCs w:val="28"/>
        </w:rPr>
        <w:t>843.70</w:t>
      </w:r>
      <w:r>
        <w:rPr>
          <w:rFonts w:hint="eastAsia" w:ascii="宋体" w:hAnsi="宋体" w:cs="宋体"/>
          <w:color w:val="333333"/>
          <w:sz w:val="28"/>
          <w:szCs w:val="28"/>
        </w:rPr>
        <w:t>万元，占比</w:t>
      </w:r>
      <w:r>
        <w:rPr>
          <w:rFonts w:ascii="宋体" w:hAnsi="宋体" w:cs="宋体"/>
          <w:color w:val="333333"/>
          <w:sz w:val="28"/>
          <w:szCs w:val="28"/>
        </w:rPr>
        <w:t>98.91%</w:t>
      </w:r>
      <w:r>
        <w:rPr>
          <w:rFonts w:hint="eastAsia" w:ascii="宋体" w:hAnsi="宋体" w:cs="宋体"/>
          <w:color w:val="333333"/>
          <w:sz w:val="28"/>
          <w:szCs w:val="28"/>
        </w:rPr>
        <w:t>，其他收入</w:t>
      </w:r>
      <w:r>
        <w:rPr>
          <w:rFonts w:ascii="宋体" w:hAnsi="宋体" w:cs="宋体"/>
          <w:color w:val="333333"/>
          <w:sz w:val="28"/>
          <w:szCs w:val="28"/>
        </w:rPr>
        <w:t>9.26</w:t>
      </w:r>
      <w:r>
        <w:rPr>
          <w:rFonts w:hint="eastAsia" w:ascii="宋体" w:hAnsi="宋体" w:cs="宋体"/>
          <w:color w:val="333333"/>
          <w:sz w:val="28"/>
          <w:szCs w:val="28"/>
        </w:rPr>
        <w:t>万元，占比</w:t>
      </w:r>
      <w:r>
        <w:rPr>
          <w:rFonts w:ascii="宋体" w:hAnsi="宋体" w:cs="宋体"/>
          <w:color w:val="333333"/>
          <w:sz w:val="28"/>
          <w:szCs w:val="28"/>
        </w:rPr>
        <w:t>1.09%</w:t>
      </w:r>
      <w:r>
        <w:rPr>
          <w:rFonts w:hint="eastAsia" w:ascii="宋体" w:hAnsi="宋体" w:cs="宋体"/>
          <w:color w:val="333333"/>
          <w:sz w:val="28"/>
          <w:szCs w:val="28"/>
        </w:rPr>
        <w:t>。</w:t>
      </w:r>
    </w:p>
    <w:p>
      <w:pPr>
        <w:shd w:val="clear" w:color="auto" w:fill="FFFFFF"/>
        <w:snapToGrid w:val="0"/>
        <w:spacing w:line="560" w:lineRule="atLeast"/>
        <w:ind w:firstLine="560" w:firstLineChars="200"/>
        <w:rPr>
          <w:rFonts w:ascii="宋体" w:cs="宋体"/>
          <w:color w:val="333333"/>
          <w:sz w:val="28"/>
          <w:szCs w:val="28"/>
        </w:rPr>
      </w:pPr>
      <w:r>
        <w:rPr>
          <w:rFonts w:ascii="宋体" w:hAnsi="宋体" w:cs="宋体"/>
          <w:color w:val="333333"/>
          <w:sz w:val="28"/>
          <w:szCs w:val="28"/>
        </w:rPr>
        <w:t>2</w:t>
      </w:r>
      <w:r>
        <w:rPr>
          <w:rFonts w:hint="eastAsia" w:ascii="宋体" w:hAnsi="宋体" w:cs="宋体"/>
          <w:color w:val="333333"/>
          <w:sz w:val="28"/>
          <w:szCs w:val="28"/>
        </w:rPr>
        <w:t>、支出分析：</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本年总支出为</w:t>
      </w:r>
      <w:r>
        <w:rPr>
          <w:rFonts w:ascii="宋体" w:hAnsi="宋体" w:cs="宋体"/>
          <w:color w:val="333333"/>
          <w:sz w:val="28"/>
          <w:szCs w:val="28"/>
        </w:rPr>
        <w:t>852.96</w:t>
      </w:r>
      <w:r>
        <w:rPr>
          <w:rFonts w:hint="eastAsia" w:ascii="宋体" w:hAnsi="宋体" w:cs="宋体"/>
          <w:color w:val="333333"/>
          <w:sz w:val="28"/>
          <w:szCs w:val="28"/>
        </w:rPr>
        <w:t>万元。比去年的</w:t>
      </w:r>
      <w:r>
        <w:rPr>
          <w:rFonts w:ascii="宋体" w:hAnsi="宋体" w:cs="宋体"/>
          <w:color w:val="333333"/>
          <w:sz w:val="28"/>
          <w:szCs w:val="28"/>
        </w:rPr>
        <w:t>570.65</w:t>
      </w:r>
      <w:r>
        <w:rPr>
          <w:rFonts w:hint="eastAsia" w:ascii="宋体" w:hAnsi="宋体" w:cs="宋体"/>
          <w:color w:val="333333"/>
          <w:sz w:val="28"/>
          <w:szCs w:val="28"/>
        </w:rPr>
        <w:t>万元增加</w:t>
      </w:r>
      <w:r>
        <w:rPr>
          <w:rFonts w:ascii="宋体" w:hAnsi="宋体" w:cs="宋体"/>
          <w:color w:val="333333"/>
          <w:sz w:val="28"/>
          <w:szCs w:val="28"/>
        </w:rPr>
        <w:t>282.31</w:t>
      </w:r>
      <w:r>
        <w:rPr>
          <w:rFonts w:hint="eastAsia" w:ascii="宋体" w:hAnsi="宋体" w:cs="宋体"/>
          <w:color w:val="333333"/>
          <w:sz w:val="28"/>
          <w:szCs w:val="28"/>
        </w:rPr>
        <w:t>万元，增幅</w:t>
      </w:r>
      <w:r>
        <w:rPr>
          <w:rFonts w:ascii="宋体" w:hAnsi="宋体" w:cs="宋体"/>
          <w:color w:val="333333"/>
          <w:sz w:val="28"/>
          <w:szCs w:val="28"/>
        </w:rPr>
        <w:t>49.47%</w:t>
      </w:r>
      <w:r>
        <w:rPr>
          <w:rFonts w:hint="eastAsia" w:ascii="宋体" w:hAnsi="宋体" w:cs="宋体"/>
          <w:color w:val="333333"/>
          <w:sz w:val="28"/>
          <w:szCs w:val="28"/>
        </w:rPr>
        <w:t>其主要原因为案件审理相关事务增加。其中一般公共预算财政拨款支出</w:t>
      </w:r>
      <w:r>
        <w:rPr>
          <w:rFonts w:ascii="宋体" w:hAnsi="宋体" w:cs="宋体"/>
          <w:color w:val="333333"/>
          <w:sz w:val="28"/>
          <w:szCs w:val="28"/>
        </w:rPr>
        <w:t>843.70</w:t>
      </w:r>
      <w:r>
        <w:rPr>
          <w:rFonts w:hint="eastAsia" w:ascii="宋体" w:hAnsi="宋体" w:cs="宋体"/>
          <w:color w:val="333333"/>
          <w:sz w:val="28"/>
          <w:szCs w:val="28"/>
        </w:rPr>
        <w:t>万元，具体构成如下：</w:t>
      </w:r>
    </w:p>
    <w:p>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1</w:t>
      </w:r>
      <w:r>
        <w:rPr>
          <w:rFonts w:hint="eastAsia" w:ascii="宋体" w:hAnsi="宋体" w:cs="宋体"/>
          <w:color w:val="333333"/>
          <w:sz w:val="28"/>
          <w:szCs w:val="28"/>
        </w:rPr>
        <w:t>）工资福利支出</w:t>
      </w:r>
      <w:r>
        <w:rPr>
          <w:rFonts w:ascii="宋体" w:hAnsi="宋体" w:cs="宋体"/>
          <w:color w:val="333333"/>
          <w:sz w:val="28"/>
          <w:szCs w:val="28"/>
        </w:rPr>
        <w:t>540.15</w:t>
      </w:r>
      <w:r>
        <w:rPr>
          <w:rFonts w:hint="eastAsia" w:ascii="宋体" w:hAnsi="宋体" w:cs="宋体"/>
          <w:color w:val="333333"/>
          <w:sz w:val="28"/>
          <w:szCs w:val="28"/>
        </w:rPr>
        <w:t>万元。占比</w:t>
      </w:r>
      <w:r>
        <w:rPr>
          <w:rFonts w:ascii="宋体" w:hAnsi="宋体" w:cs="宋体"/>
          <w:color w:val="333333"/>
          <w:sz w:val="28"/>
          <w:szCs w:val="28"/>
        </w:rPr>
        <w:t>64.02%</w:t>
      </w:r>
    </w:p>
    <w:p>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2</w:t>
      </w:r>
      <w:r>
        <w:rPr>
          <w:rFonts w:hint="eastAsia" w:ascii="宋体" w:hAnsi="宋体" w:cs="宋体"/>
          <w:color w:val="333333"/>
          <w:sz w:val="28"/>
          <w:szCs w:val="28"/>
        </w:rPr>
        <w:t>）商品和服务支出</w:t>
      </w:r>
      <w:r>
        <w:rPr>
          <w:rFonts w:ascii="宋体" w:hAnsi="宋体" w:cs="宋体"/>
          <w:color w:val="333333"/>
          <w:sz w:val="28"/>
          <w:szCs w:val="28"/>
        </w:rPr>
        <w:t>281.84</w:t>
      </w:r>
      <w:r>
        <w:rPr>
          <w:rFonts w:hint="eastAsia" w:ascii="宋体" w:hAnsi="宋体" w:cs="宋体"/>
          <w:color w:val="333333"/>
          <w:sz w:val="28"/>
          <w:szCs w:val="28"/>
        </w:rPr>
        <w:t>万元。占比</w:t>
      </w:r>
      <w:r>
        <w:rPr>
          <w:rFonts w:ascii="宋体" w:hAnsi="宋体" w:cs="宋体"/>
          <w:color w:val="333333"/>
          <w:sz w:val="28"/>
          <w:szCs w:val="28"/>
        </w:rPr>
        <w:t>33.41%</w:t>
      </w:r>
    </w:p>
    <w:p>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3</w:t>
      </w:r>
      <w:r>
        <w:rPr>
          <w:rFonts w:hint="eastAsia" w:ascii="宋体" w:hAnsi="宋体" w:cs="宋体"/>
          <w:color w:val="333333"/>
          <w:sz w:val="28"/>
          <w:szCs w:val="28"/>
        </w:rPr>
        <w:t>）资本性支出</w:t>
      </w:r>
      <w:r>
        <w:rPr>
          <w:rFonts w:ascii="宋体" w:hAnsi="宋体" w:cs="宋体"/>
          <w:color w:val="333333"/>
          <w:sz w:val="28"/>
          <w:szCs w:val="28"/>
        </w:rPr>
        <w:t>21.71</w:t>
      </w:r>
      <w:r>
        <w:rPr>
          <w:rFonts w:hint="eastAsia" w:ascii="宋体" w:hAnsi="宋体" w:cs="宋体"/>
          <w:color w:val="333333"/>
          <w:sz w:val="28"/>
          <w:szCs w:val="28"/>
        </w:rPr>
        <w:t>万元。占比</w:t>
      </w:r>
      <w:r>
        <w:rPr>
          <w:rFonts w:ascii="宋体" w:hAnsi="宋体" w:cs="宋体"/>
          <w:color w:val="333333"/>
          <w:sz w:val="28"/>
          <w:szCs w:val="28"/>
        </w:rPr>
        <w:t>2.57%</w:t>
      </w:r>
    </w:p>
    <w:p>
      <w:pPr>
        <w:shd w:val="clear" w:color="auto" w:fill="FFFFFF"/>
        <w:snapToGrid w:val="0"/>
        <w:spacing w:line="560" w:lineRule="atLeast"/>
        <w:ind w:firstLine="640" w:firstLineChars="200"/>
        <w:rPr>
          <w:rFonts w:ascii="仿宋_GB2312" w:hAnsi="宋体" w:eastAsia="仿宋_GB2312" w:cs="宋体"/>
          <w:color w:val="333333"/>
          <w:sz w:val="32"/>
          <w:szCs w:val="32"/>
        </w:rPr>
      </w:pPr>
    </w:p>
    <w:p>
      <w:pPr>
        <w:spacing w:line="560" w:lineRule="exact"/>
        <w:ind w:firstLine="560" w:firstLineChars="200"/>
        <w:rPr>
          <w:rFonts w:ascii="宋体" w:cs="宋体"/>
          <w:color w:val="000000"/>
          <w:sz w:val="28"/>
          <w:szCs w:val="28"/>
        </w:rPr>
      </w:pPr>
    </w:p>
    <w:p>
      <w:pPr>
        <w:spacing w:line="560" w:lineRule="exact"/>
        <w:ind w:firstLine="562" w:firstLineChars="200"/>
        <w:rPr>
          <w:rFonts w:ascii="宋体" w:cs="宋体"/>
          <w:b/>
          <w:bCs/>
          <w:color w:val="000000"/>
          <w:sz w:val="28"/>
          <w:szCs w:val="28"/>
        </w:rPr>
      </w:pPr>
      <w:r>
        <w:rPr>
          <w:rFonts w:hint="eastAsia" w:ascii="宋体" w:hAnsi="宋体" w:cs="宋体"/>
          <w:b/>
          <w:bCs/>
          <w:color w:val="000000"/>
          <w:sz w:val="28"/>
          <w:szCs w:val="28"/>
        </w:rPr>
        <w:t>（二）关于“三公”经费支出说明</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本年度无三公经费支出。</w:t>
      </w:r>
    </w:p>
    <w:p>
      <w:pPr>
        <w:spacing w:line="560" w:lineRule="exact"/>
        <w:ind w:firstLine="562" w:firstLineChars="200"/>
        <w:rPr>
          <w:rFonts w:ascii="宋体" w:cs="宋体"/>
          <w:b/>
          <w:bCs/>
          <w:color w:val="000000"/>
          <w:sz w:val="28"/>
          <w:szCs w:val="28"/>
        </w:rPr>
      </w:pPr>
      <w:r>
        <w:rPr>
          <w:rFonts w:hint="eastAsia" w:ascii="宋体" w:hAnsi="宋体" w:cs="宋体"/>
          <w:b/>
          <w:bCs/>
          <w:color w:val="000000"/>
          <w:sz w:val="28"/>
          <w:szCs w:val="28"/>
        </w:rPr>
        <w:t>（三）关于机关运行经费支出说明</w:t>
      </w:r>
    </w:p>
    <w:p>
      <w:pPr>
        <w:shd w:val="clear" w:color="auto" w:fill="FFFFFF"/>
        <w:spacing w:line="360" w:lineRule="auto"/>
        <w:ind w:firstLine="700" w:firstLineChars="250"/>
        <w:rPr>
          <w:rFonts w:ascii="宋体" w:cs="仿宋"/>
          <w:bCs/>
          <w:color w:val="000000"/>
          <w:sz w:val="28"/>
          <w:szCs w:val="28"/>
        </w:rPr>
      </w:pPr>
      <w:r>
        <w:rPr>
          <w:rFonts w:hint="eastAsia" w:ascii="宋体" w:hAnsi="宋体" w:cs="仿宋"/>
          <w:bCs/>
          <w:color w:val="000000"/>
          <w:sz w:val="28"/>
          <w:szCs w:val="28"/>
        </w:rPr>
        <w:t>本单位机关运行经费本年支出</w:t>
      </w:r>
      <w:r>
        <w:rPr>
          <w:rFonts w:ascii="宋体" w:hAnsi="宋体" w:cs="仿宋"/>
          <w:bCs/>
          <w:color w:val="000000"/>
          <w:sz w:val="28"/>
          <w:szCs w:val="28"/>
        </w:rPr>
        <w:t>303.55</w:t>
      </w:r>
      <w:r>
        <w:rPr>
          <w:rFonts w:hint="eastAsia" w:ascii="宋体" w:hAnsi="宋体" w:cs="仿宋"/>
          <w:bCs/>
          <w:color w:val="000000"/>
          <w:sz w:val="28"/>
          <w:szCs w:val="28"/>
        </w:rPr>
        <w:t>万元，去年支出为</w:t>
      </w:r>
      <w:r>
        <w:rPr>
          <w:rFonts w:ascii="宋体" w:hAnsi="宋体" w:cs="仿宋"/>
          <w:bCs/>
          <w:color w:val="000000"/>
          <w:sz w:val="28"/>
          <w:szCs w:val="28"/>
        </w:rPr>
        <w:t>120.70</w:t>
      </w:r>
      <w:r>
        <w:rPr>
          <w:rFonts w:hint="eastAsia" w:ascii="宋体" w:hAnsi="宋体" w:cs="仿宋"/>
          <w:bCs/>
          <w:color w:val="000000"/>
          <w:sz w:val="28"/>
          <w:szCs w:val="28"/>
        </w:rPr>
        <w:t>万元，对比增加</w:t>
      </w:r>
      <w:r>
        <w:rPr>
          <w:rFonts w:ascii="宋体" w:hAnsi="宋体" w:cs="仿宋"/>
          <w:bCs/>
          <w:color w:val="000000"/>
          <w:sz w:val="28"/>
          <w:szCs w:val="28"/>
        </w:rPr>
        <w:t>182.85</w:t>
      </w:r>
      <w:r>
        <w:rPr>
          <w:rFonts w:hint="eastAsia" w:ascii="宋体" w:hAnsi="宋体" w:cs="仿宋"/>
          <w:bCs/>
          <w:color w:val="000000"/>
          <w:sz w:val="28"/>
          <w:szCs w:val="28"/>
        </w:rPr>
        <w:t>万元，主要原因为案件审理相关事务增加所致。</w:t>
      </w:r>
    </w:p>
    <w:p>
      <w:pPr>
        <w:spacing w:line="560" w:lineRule="exact"/>
        <w:ind w:firstLine="422" w:firstLineChars="150"/>
        <w:rPr>
          <w:rFonts w:ascii="宋体" w:cs="宋体"/>
          <w:b/>
          <w:bCs/>
          <w:color w:val="000000"/>
          <w:sz w:val="28"/>
          <w:szCs w:val="28"/>
        </w:rPr>
      </w:pPr>
      <w:r>
        <w:rPr>
          <w:rFonts w:hint="eastAsia" w:ascii="宋体" w:hAnsi="宋体" w:cs="宋体"/>
          <w:b/>
          <w:bCs/>
          <w:color w:val="000000"/>
          <w:sz w:val="28"/>
          <w:szCs w:val="28"/>
        </w:rPr>
        <w:t>（四）关于政府采购支出说明</w:t>
      </w:r>
    </w:p>
    <w:p>
      <w:pPr>
        <w:ind w:firstLine="700" w:firstLineChars="250"/>
        <w:rPr>
          <w:rFonts w:ascii="宋体" w:cs="仿宋"/>
          <w:sz w:val="28"/>
          <w:szCs w:val="28"/>
        </w:rPr>
      </w:pPr>
      <w:r>
        <w:rPr>
          <w:rFonts w:hint="eastAsia" w:ascii="宋体" w:hAnsi="宋体" w:cs="仿宋"/>
          <w:bCs/>
          <w:sz w:val="28"/>
          <w:szCs w:val="28"/>
        </w:rPr>
        <w:t>本部门本年度政府采购支出</w:t>
      </w:r>
      <w:r>
        <w:rPr>
          <w:rFonts w:ascii="宋体" w:hAnsi="宋体" w:cs="仿宋"/>
          <w:bCs/>
          <w:sz w:val="28"/>
          <w:szCs w:val="28"/>
        </w:rPr>
        <w:t>62.45</w:t>
      </w:r>
      <w:r>
        <w:rPr>
          <w:rFonts w:hint="eastAsia" w:ascii="宋体" w:hAnsi="宋体" w:cs="仿宋"/>
          <w:bCs/>
          <w:sz w:val="28"/>
          <w:szCs w:val="28"/>
        </w:rPr>
        <w:t>万元，其中采购货物支出</w:t>
      </w:r>
      <w:r>
        <w:rPr>
          <w:rFonts w:ascii="宋体" w:hAnsi="宋体" w:cs="仿宋"/>
          <w:bCs/>
          <w:sz w:val="28"/>
          <w:szCs w:val="28"/>
        </w:rPr>
        <w:t>37.37</w:t>
      </w:r>
      <w:r>
        <w:rPr>
          <w:rFonts w:hint="eastAsia" w:ascii="宋体" w:hAnsi="宋体" w:cs="仿宋"/>
          <w:bCs/>
          <w:sz w:val="28"/>
          <w:szCs w:val="28"/>
        </w:rPr>
        <w:t>万元、采购服务支出</w:t>
      </w:r>
      <w:r>
        <w:rPr>
          <w:rFonts w:ascii="宋体" w:hAnsi="宋体" w:cs="仿宋"/>
          <w:bCs/>
          <w:sz w:val="28"/>
          <w:szCs w:val="28"/>
        </w:rPr>
        <w:t>25.08</w:t>
      </w:r>
      <w:r>
        <w:rPr>
          <w:rFonts w:hint="eastAsia" w:ascii="宋体" w:hAnsi="宋体" w:cs="仿宋"/>
          <w:bCs/>
          <w:sz w:val="28"/>
          <w:szCs w:val="28"/>
        </w:rPr>
        <w:t>万元。</w:t>
      </w:r>
    </w:p>
    <w:p>
      <w:pPr>
        <w:spacing w:line="560" w:lineRule="exact"/>
        <w:ind w:firstLine="422" w:firstLineChars="150"/>
        <w:rPr>
          <w:rFonts w:ascii="宋体" w:cs="宋体"/>
          <w:b/>
          <w:bCs/>
          <w:color w:val="000000"/>
          <w:sz w:val="28"/>
          <w:szCs w:val="28"/>
        </w:rPr>
      </w:pPr>
      <w:r>
        <w:rPr>
          <w:rFonts w:hint="eastAsia" w:ascii="宋体" w:hAnsi="宋体" w:cs="宋体"/>
          <w:b/>
          <w:bCs/>
          <w:color w:val="000000"/>
          <w:sz w:val="28"/>
          <w:szCs w:val="28"/>
        </w:rPr>
        <w:t>（五）关于国有资产占用情况说明</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本单位无公车和大型设备。</w:t>
      </w:r>
    </w:p>
    <w:p>
      <w:pPr>
        <w:pStyle w:val="6"/>
        <w:widowControl/>
        <w:spacing w:before="76" w:beforeAutospacing="0" w:after="76" w:afterAutospacing="0" w:line="450" w:lineRule="atLeast"/>
        <w:ind w:firstLine="420"/>
        <w:rPr>
          <w:rFonts w:ascii="宋体" w:cs="微软雅黑"/>
          <w:b/>
          <w:color w:val="333333"/>
          <w:sz w:val="28"/>
          <w:szCs w:val="28"/>
          <w:shd w:val="clear" w:color="auto" w:fill="FFFFFF"/>
        </w:rPr>
      </w:pPr>
      <w:r>
        <w:rPr>
          <w:rFonts w:hint="eastAsia" w:ascii="宋体" w:hAnsi="宋体" w:cs="微软雅黑"/>
          <w:b/>
          <w:color w:val="333333"/>
          <w:sz w:val="28"/>
          <w:szCs w:val="28"/>
          <w:shd w:val="clear" w:color="auto" w:fill="FFFFFF"/>
        </w:rPr>
        <w:t>（六）重点效绩评价结果等预算绩效情况说明</w:t>
      </w:r>
    </w:p>
    <w:p>
      <w:pPr>
        <w:shd w:val="clear" w:color="auto" w:fill="FFFFFF"/>
        <w:tabs>
          <w:tab w:val="left" w:pos="580"/>
        </w:tabs>
        <w:snapToGrid w:val="0"/>
        <w:spacing w:line="560" w:lineRule="atLeast"/>
        <w:ind w:firstLine="560" w:firstLineChars="200"/>
        <w:rPr>
          <w:rFonts w:hint="eastAsia" w:ascii="宋体" w:cs="宋体"/>
          <w:color w:val="333333"/>
          <w:sz w:val="28"/>
          <w:szCs w:val="28"/>
        </w:rPr>
      </w:pPr>
      <w:r>
        <w:rPr>
          <w:rFonts w:ascii="宋体" w:cs="宋体"/>
          <w:color w:val="333333"/>
          <w:sz w:val="28"/>
          <w:szCs w:val="28"/>
        </w:rPr>
        <w:tab/>
      </w:r>
      <w:r>
        <w:rPr>
          <w:rFonts w:ascii="宋体" w:cs="宋体"/>
          <w:color w:val="333333"/>
          <w:sz w:val="28"/>
          <w:szCs w:val="28"/>
        </w:rPr>
        <w:t>2020</w:t>
      </w:r>
      <w:r>
        <w:rPr>
          <w:rFonts w:hint="eastAsia" w:ascii="宋体" w:cs="宋体"/>
          <w:color w:val="333333"/>
          <w:sz w:val="28"/>
          <w:szCs w:val="28"/>
        </w:rPr>
        <w:t>年，我部门本年度没有重点项目，因此未展开绩效评价。</w:t>
      </w:r>
    </w:p>
    <w:p>
      <w:pPr>
        <w:shd w:val="clear" w:color="auto" w:fill="FFFFFF"/>
        <w:tabs>
          <w:tab w:val="left" w:pos="580"/>
        </w:tabs>
        <w:snapToGrid w:val="0"/>
        <w:spacing w:line="560" w:lineRule="atLeast"/>
        <w:ind w:firstLine="570" w:firstLineChars="200"/>
        <w:rPr>
          <w:rFonts w:hint="eastAsia" w:ascii="宋体" w:hAnsi="宋体"/>
          <w:b/>
          <w:color w:val="FF6600"/>
          <w:spacing w:val="2"/>
          <w:sz w:val="28"/>
          <w:szCs w:val="28"/>
        </w:rPr>
      </w:pPr>
      <w:r>
        <w:rPr>
          <w:rFonts w:hint="eastAsia" w:ascii="宋体" w:hAnsi="宋体"/>
          <w:b/>
          <w:spacing w:val="2"/>
          <w:sz w:val="28"/>
          <w:szCs w:val="28"/>
          <w:lang w:val="en-US" w:eastAsia="zh-CN"/>
        </w:rPr>
        <w:t>（七）</w:t>
      </w:r>
      <w:r>
        <w:rPr>
          <w:rFonts w:hint="eastAsia" w:ascii="宋体" w:hAnsi="宋体"/>
          <w:b/>
          <w:spacing w:val="2"/>
          <w:sz w:val="28"/>
          <w:szCs w:val="28"/>
        </w:rPr>
        <w:t>决算收支增减变化情况</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2019年全年总收入</w:t>
      </w:r>
      <w:r>
        <w:rPr>
          <w:rFonts w:hint="eastAsia" w:ascii="宋体" w:hAnsi="宋体"/>
          <w:spacing w:val="2"/>
          <w:sz w:val="28"/>
          <w:szCs w:val="28"/>
          <w:lang w:val="en-US" w:eastAsia="zh-CN"/>
        </w:rPr>
        <w:t>570.65万</w:t>
      </w:r>
      <w:r>
        <w:rPr>
          <w:rFonts w:hint="eastAsia" w:ascii="宋体" w:hAnsi="宋体"/>
          <w:spacing w:val="2"/>
          <w:sz w:val="28"/>
          <w:szCs w:val="28"/>
        </w:rPr>
        <w:t>元,2020年全年总收入</w:t>
      </w:r>
      <w:r>
        <w:rPr>
          <w:rFonts w:hint="eastAsia" w:ascii="宋体" w:hAnsi="宋体"/>
          <w:spacing w:val="2"/>
          <w:sz w:val="28"/>
          <w:szCs w:val="28"/>
          <w:lang w:val="en-US" w:eastAsia="zh-CN"/>
        </w:rPr>
        <w:t>852.96万</w:t>
      </w:r>
      <w:r>
        <w:rPr>
          <w:rFonts w:hint="eastAsia" w:ascii="宋体" w:hAnsi="宋体"/>
          <w:spacing w:val="2"/>
          <w:sz w:val="28"/>
          <w:szCs w:val="28"/>
        </w:rPr>
        <w:t>元，同比上年增加</w:t>
      </w:r>
      <w:r>
        <w:rPr>
          <w:rFonts w:hint="eastAsia" w:ascii="宋体" w:hAnsi="宋体"/>
          <w:spacing w:val="2"/>
          <w:sz w:val="28"/>
          <w:szCs w:val="28"/>
          <w:lang w:val="en-US" w:eastAsia="zh-CN"/>
        </w:rPr>
        <w:t>282.31万</w:t>
      </w:r>
      <w:r>
        <w:rPr>
          <w:rFonts w:hint="eastAsia" w:ascii="宋体" w:hAnsi="宋体"/>
          <w:spacing w:val="2"/>
          <w:sz w:val="28"/>
          <w:szCs w:val="28"/>
        </w:rPr>
        <w:t>元，原因是业务量增加。</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pPr>
        <w:widowControl/>
        <w:ind w:firstLine="568" w:firstLineChars="200"/>
        <w:rPr>
          <w:rStyle w:val="9"/>
          <w:rFonts w:ascii="微软雅黑" w:hAnsi="微软雅黑" w:eastAsia="微软雅黑" w:cs="微软雅黑"/>
          <w:color w:val="333333"/>
          <w:shd w:val="clear" w:color="auto" w:fill="FFFFFF"/>
        </w:rPr>
      </w:pPr>
      <w:r>
        <w:rPr>
          <w:rFonts w:hint="eastAsia" w:ascii="宋体" w:hAnsi="宋体"/>
          <w:spacing w:val="2"/>
          <w:sz w:val="28"/>
          <w:szCs w:val="28"/>
        </w:rPr>
        <w:t>2019年全年总</w:t>
      </w:r>
      <w:r>
        <w:rPr>
          <w:rFonts w:hint="eastAsia" w:ascii="宋体" w:hAnsi="宋体"/>
          <w:spacing w:val="2"/>
          <w:sz w:val="28"/>
          <w:szCs w:val="28"/>
          <w:lang w:val="en-US" w:eastAsia="zh-CN"/>
        </w:rPr>
        <w:t>支出570.65万</w:t>
      </w:r>
      <w:r>
        <w:rPr>
          <w:rFonts w:hint="eastAsia" w:ascii="宋体" w:hAnsi="宋体"/>
          <w:spacing w:val="2"/>
          <w:sz w:val="28"/>
          <w:szCs w:val="28"/>
        </w:rPr>
        <w:t>元,2020年全年总</w:t>
      </w:r>
      <w:r>
        <w:rPr>
          <w:rFonts w:hint="eastAsia" w:ascii="宋体" w:hAnsi="宋体"/>
          <w:spacing w:val="2"/>
          <w:sz w:val="28"/>
          <w:szCs w:val="28"/>
          <w:lang w:val="en-US" w:eastAsia="zh-CN"/>
        </w:rPr>
        <w:t>支出852.96万</w:t>
      </w:r>
      <w:r>
        <w:rPr>
          <w:rFonts w:hint="eastAsia" w:ascii="宋体" w:hAnsi="宋体"/>
          <w:spacing w:val="2"/>
          <w:sz w:val="28"/>
          <w:szCs w:val="28"/>
        </w:rPr>
        <w:t>元，同比上年增加</w:t>
      </w:r>
      <w:r>
        <w:rPr>
          <w:rFonts w:hint="eastAsia" w:ascii="宋体" w:hAnsi="宋体"/>
          <w:spacing w:val="2"/>
          <w:sz w:val="28"/>
          <w:szCs w:val="28"/>
          <w:lang w:val="en-US" w:eastAsia="zh-CN"/>
        </w:rPr>
        <w:t>282.31万</w:t>
      </w:r>
      <w:r>
        <w:rPr>
          <w:rFonts w:hint="eastAsia" w:ascii="宋体" w:hAnsi="宋体"/>
          <w:spacing w:val="2"/>
          <w:sz w:val="28"/>
          <w:szCs w:val="28"/>
        </w:rPr>
        <w:t>元，原因是业务量增加。</w:t>
      </w:r>
    </w:p>
    <w:p>
      <w:pPr>
        <w:pStyle w:val="6"/>
        <w:widowControl/>
        <w:spacing w:before="76" w:beforeAutospacing="0" w:after="76" w:afterAutospacing="0" w:line="450" w:lineRule="atLeast"/>
        <w:ind w:firstLine="120" w:firstLineChars="50"/>
        <w:rPr>
          <w:b/>
          <w:color w:val="333333"/>
        </w:rPr>
      </w:pPr>
      <w:r>
        <w:rPr>
          <w:rStyle w:val="9"/>
          <w:rFonts w:hint="eastAsia" w:ascii="微软雅黑" w:hAnsi="微软雅黑" w:eastAsia="微软雅黑" w:cs="微软雅黑"/>
          <w:color w:val="333333"/>
          <w:shd w:val="clear" w:color="auto" w:fill="FFFFFF"/>
        </w:rPr>
        <w:t>第四部分</w:t>
      </w:r>
      <w:r>
        <w:rPr>
          <w:rStyle w:val="9"/>
          <w:rFonts w:ascii="微软雅黑" w:hAnsi="微软雅黑" w:eastAsia="微软雅黑" w:cs="微软雅黑"/>
          <w:color w:val="333333"/>
          <w:shd w:val="clear" w:color="auto" w:fill="FFFFFF"/>
        </w:rPr>
        <w:t xml:space="preserve"> </w:t>
      </w:r>
      <w:r>
        <w:rPr>
          <w:rStyle w:val="9"/>
          <w:rFonts w:hint="eastAsia" w:ascii="微软雅黑" w:hAnsi="微软雅黑" w:eastAsia="微软雅黑" w:cs="微软雅黑"/>
          <w:color w:val="333333"/>
          <w:shd w:val="clear" w:color="auto" w:fill="FFFFFF"/>
        </w:rPr>
        <w:t>名词解释</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一、财政补助收入：指县级财政当年拨付的资金。</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二、其他收入：指除“财政拨款收入”、“上级补助收入”、“事业收入”、“经营收入”等以外的收入。主要是存款利息收入等。</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三、年初结转和结余：指以前年度尚未完成、结转到本年按有关规定继续使用的资金。</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四、一般公共服务（类）行政运行（项）：指县行政单位及参照公务员管理事业单位用于保障机构正常运行、开展日常工作的基本支出。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六、一般公共服务（类）机关服务（项）：指县黄石港区纪委服务中心为机关提供办公楼日常维修、维护等后勤保障服务的支出。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七、一般公共服务（类）其他一般公共服务支出（款）其他一般公共服务支出（项）：指黄石港区纪委用于其他一般公共服务方面的支出。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八、教育（类）普通教育（款）高等教育（项）：指黄石港区纪委支持地方高校的重点发展和特色办学，组织专家对省属院校申报的建设规划和项目预算进行评审等相关工作的支出。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九、社会保障和就业</w:t>
      </w:r>
      <w:r>
        <w:rPr>
          <w:rFonts w:ascii="宋体" w:hAnsi="宋体" w:cs="宋体"/>
          <w:color w:val="000000"/>
          <w:sz w:val="28"/>
          <w:szCs w:val="28"/>
        </w:rPr>
        <w:t>(</w:t>
      </w:r>
      <w:r>
        <w:rPr>
          <w:rFonts w:hint="eastAsia" w:ascii="宋体" w:hAnsi="宋体" w:cs="宋体"/>
          <w:color w:val="000000"/>
          <w:sz w:val="28"/>
          <w:szCs w:val="28"/>
        </w:rPr>
        <w:t>类</w:t>
      </w:r>
      <w:r>
        <w:rPr>
          <w:rFonts w:ascii="宋体" w:hAnsi="宋体" w:cs="宋体"/>
          <w:color w:val="000000"/>
          <w:sz w:val="28"/>
          <w:szCs w:val="28"/>
        </w:rPr>
        <w:t>)</w:t>
      </w:r>
      <w:r>
        <w:rPr>
          <w:rFonts w:hint="eastAsia" w:ascii="宋体" w:hAnsi="宋体" w:cs="宋体"/>
          <w:color w:val="000000"/>
          <w:sz w:val="28"/>
          <w:szCs w:val="28"/>
        </w:rPr>
        <w:t>行政事业单位离退休（款）归口管理的行政单位离退休（项）：指黄石港区纪委用于离退休人员的支出、退休人员支出，以及提供管理服务工作的离退休干部处的支出。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十、社会保障和就业</w:t>
      </w:r>
      <w:r>
        <w:rPr>
          <w:rFonts w:ascii="宋体" w:hAnsi="宋体" w:cs="宋体"/>
          <w:color w:val="000000"/>
          <w:sz w:val="28"/>
          <w:szCs w:val="28"/>
        </w:rPr>
        <w:t>(</w:t>
      </w:r>
      <w:r>
        <w:rPr>
          <w:rFonts w:hint="eastAsia" w:ascii="宋体" w:hAnsi="宋体" w:cs="宋体"/>
          <w:color w:val="000000"/>
          <w:sz w:val="28"/>
          <w:szCs w:val="28"/>
        </w:rPr>
        <w:t>类</w:t>
      </w:r>
      <w:r>
        <w:rPr>
          <w:rFonts w:ascii="宋体" w:hAnsi="宋体" w:cs="宋体"/>
          <w:color w:val="000000"/>
          <w:sz w:val="28"/>
          <w:szCs w:val="28"/>
        </w:rPr>
        <w:t>)</w:t>
      </w:r>
      <w:r>
        <w:rPr>
          <w:rFonts w:hint="eastAsia" w:ascii="宋体" w:hAnsi="宋体" w:cs="宋体"/>
          <w:color w:val="000000"/>
          <w:sz w:val="28"/>
          <w:szCs w:val="28"/>
        </w:rPr>
        <w:t>行政事业单位离退休（款）其他行政事业单位离退休支出（项）：指黄石港区纪委用于离退休方面的其他支出。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十一、医疗卫生与计划生育（类）医疗保障（款）行政单位医疗（项）：指黄石港区纪委用于机关干部职工及离退休人员医疗方面的支出。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十二、住房保障（类）住房改革支出（款）购房补贴（项）：指按照相关住房分配货币化改革的政策规定和标准，对无房和住房未达标职工发放的住房分配货币化补贴资金。</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十三、年末结转和结余：指本年度或以前年度预算安排、因客观条件发生变化无法按原计划实施，需要延迟到以后年度按有关规定继续使用的资金。</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十四、基本支出：指为保障机构正常运转、完成日常工作任务而发生的人员支出（包括基本工资、津贴补贴等）和公用支出（包括办公费、水电费、邮电费、交通费、差旅费等）。</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十五、项目支出：指在基本支出之外为完成特定行政任务和事业发展目标所发生的支出。</w:t>
      </w:r>
    </w:p>
    <w:p>
      <w:pPr>
        <w:spacing w:line="560" w:lineRule="exact"/>
        <w:ind w:firstLine="560" w:firstLineChars="200"/>
        <w:rPr>
          <w:rFonts w:ascii="宋体" w:cs="宋体"/>
          <w:color w:val="000000"/>
          <w:sz w:val="28"/>
          <w:szCs w:val="28"/>
        </w:rPr>
      </w:pPr>
      <w:r>
        <w:rPr>
          <w:rFonts w:hint="eastAsia" w:ascii="宋体" w:hAnsi="宋体" w:cs="宋体"/>
          <w:color w:val="000000"/>
          <w:sz w:val="28"/>
          <w:szCs w:val="28"/>
        </w:rPr>
        <w:t>十六、“三公”经费：是指用财政拨款安排的因公出国（境）费、公务用车购置及运行维护费、公务接待费。</w:t>
      </w:r>
    </w:p>
    <w:p>
      <w:pPr>
        <w:rPr>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256401"/>
    <w:multiLevelType w:val="singleLevel"/>
    <w:tmpl w:val="E8256401"/>
    <w:lvl w:ilvl="0" w:tentative="0">
      <w:start w:val="1"/>
      <w:numFmt w:val="chineseCounting"/>
      <w:suff w:val="space"/>
      <w:lvlText w:val="第%1部分"/>
      <w:lvlJc w:val="left"/>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YjY2NDYyZjM5MGUyMTFlMjgxMzYwZmUyZWJlNzBmYzYifQ=="/>
  </w:docVars>
  <w:rsids>
    <w:rsidRoot w:val="00AB6982"/>
    <w:rsid w:val="000256F9"/>
    <w:rsid w:val="0003067D"/>
    <w:rsid w:val="00035B67"/>
    <w:rsid w:val="00036EA2"/>
    <w:rsid w:val="000645DB"/>
    <w:rsid w:val="00080B6E"/>
    <w:rsid w:val="00142CE3"/>
    <w:rsid w:val="001746AF"/>
    <w:rsid w:val="001B5C91"/>
    <w:rsid w:val="0020580C"/>
    <w:rsid w:val="0022570C"/>
    <w:rsid w:val="00225782"/>
    <w:rsid w:val="00256AC6"/>
    <w:rsid w:val="002800EF"/>
    <w:rsid w:val="002C3F29"/>
    <w:rsid w:val="002D0918"/>
    <w:rsid w:val="002F74C3"/>
    <w:rsid w:val="0034635A"/>
    <w:rsid w:val="00370DCE"/>
    <w:rsid w:val="00377479"/>
    <w:rsid w:val="004F48EB"/>
    <w:rsid w:val="004F6B82"/>
    <w:rsid w:val="0057113C"/>
    <w:rsid w:val="00586A0F"/>
    <w:rsid w:val="005910F0"/>
    <w:rsid w:val="006A53F4"/>
    <w:rsid w:val="00792414"/>
    <w:rsid w:val="0088005A"/>
    <w:rsid w:val="008E1ED7"/>
    <w:rsid w:val="008E6025"/>
    <w:rsid w:val="00960D36"/>
    <w:rsid w:val="009E4BA4"/>
    <w:rsid w:val="009F4BD6"/>
    <w:rsid w:val="00A32954"/>
    <w:rsid w:val="00AB6982"/>
    <w:rsid w:val="00AE08FF"/>
    <w:rsid w:val="00B060A4"/>
    <w:rsid w:val="00B13164"/>
    <w:rsid w:val="00BB61AC"/>
    <w:rsid w:val="00BE3DBF"/>
    <w:rsid w:val="00BF2EB3"/>
    <w:rsid w:val="00C60FD5"/>
    <w:rsid w:val="00C77CBE"/>
    <w:rsid w:val="00CD35F4"/>
    <w:rsid w:val="00D73CE7"/>
    <w:rsid w:val="00DA7694"/>
    <w:rsid w:val="00DF3A0B"/>
    <w:rsid w:val="00E1204D"/>
    <w:rsid w:val="00E234DD"/>
    <w:rsid w:val="00E26DD8"/>
    <w:rsid w:val="00E863E8"/>
    <w:rsid w:val="00E95E59"/>
    <w:rsid w:val="00F6680E"/>
    <w:rsid w:val="00F66A85"/>
    <w:rsid w:val="04CA693D"/>
    <w:rsid w:val="0664587B"/>
    <w:rsid w:val="07C57466"/>
    <w:rsid w:val="08C015D3"/>
    <w:rsid w:val="0E836A5F"/>
    <w:rsid w:val="10B92AFE"/>
    <w:rsid w:val="228A65CA"/>
    <w:rsid w:val="255E033E"/>
    <w:rsid w:val="289C3E82"/>
    <w:rsid w:val="2C203A0A"/>
    <w:rsid w:val="2C2716FD"/>
    <w:rsid w:val="2D5063EA"/>
    <w:rsid w:val="32BD01BE"/>
    <w:rsid w:val="38203263"/>
    <w:rsid w:val="3C2D5DD2"/>
    <w:rsid w:val="3CF427BE"/>
    <w:rsid w:val="489106AE"/>
    <w:rsid w:val="49253977"/>
    <w:rsid w:val="4BBC5AAB"/>
    <w:rsid w:val="4E1A6A90"/>
    <w:rsid w:val="514D2F0D"/>
    <w:rsid w:val="563E0CA4"/>
    <w:rsid w:val="568F2686"/>
    <w:rsid w:val="662F6381"/>
    <w:rsid w:val="692B2102"/>
    <w:rsid w:val="69667B9D"/>
    <w:rsid w:val="70A32328"/>
    <w:rsid w:val="746766E2"/>
    <w:rsid w:val="77CA4404"/>
    <w:rsid w:val="78186405"/>
    <w:rsid w:val="7ED07DD9"/>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0" w:semiHidden="0" w:name="Emphasis"/>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0"/>
    <w:qFormat/>
    <w:uiPriority w:val="99"/>
    <w:pPr>
      <w:spacing w:beforeAutospacing="1" w:afterAutospacing="1"/>
      <w:jc w:val="left"/>
      <w:outlineLvl w:val="4"/>
    </w:pPr>
    <w:rPr>
      <w:rFonts w:ascii="宋体" w:hAnsi="宋体"/>
      <w:b/>
      <w:kern w:val="0"/>
      <w:sz w:val="20"/>
      <w:szCs w:val="20"/>
    </w:rPr>
  </w:style>
  <w:style w:type="character" w:default="1" w:styleId="8">
    <w:name w:val="Default Paragraph Font"/>
    <w:semiHidden/>
    <w:uiPriority w:val="99"/>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Plain Text"/>
    <w:basedOn w:val="1"/>
    <w:link w:val="11"/>
    <w:qFormat/>
    <w:uiPriority w:val="99"/>
    <w:rPr>
      <w:rFonts w:ascii="宋体" w:hAnsi="Courier New" w:cs="Courier New"/>
      <w:szCs w:val="21"/>
    </w:rPr>
  </w:style>
  <w:style w:type="paragraph" w:styleId="4">
    <w:name w:val="footer"/>
    <w:basedOn w:val="1"/>
    <w:link w:val="16"/>
    <w:qFormat/>
    <w:uiPriority w:val="99"/>
    <w:pPr>
      <w:tabs>
        <w:tab w:val="center" w:pos="4153"/>
        <w:tab w:val="right" w:pos="8306"/>
      </w:tabs>
      <w:snapToGrid w:val="0"/>
      <w:jc w:val="left"/>
    </w:pPr>
    <w:rPr>
      <w:sz w:val="18"/>
      <w:szCs w:val="18"/>
    </w:rPr>
  </w:style>
  <w:style w:type="paragraph" w:styleId="5">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spacing w:beforeAutospacing="1" w:afterAutospacing="1"/>
      <w:jc w:val="left"/>
    </w:pPr>
    <w:rPr>
      <w:kern w:val="0"/>
      <w:sz w:val="24"/>
    </w:rPr>
  </w:style>
  <w:style w:type="character" w:styleId="9">
    <w:name w:val="Strong"/>
    <w:basedOn w:val="8"/>
    <w:qFormat/>
    <w:uiPriority w:val="99"/>
    <w:rPr>
      <w:rFonts w:cs="Times New Roman"/>
      <w:b/>
    </w:rPr>
  </w:style>
  <w:style w:type="character" w:customStyle="1" w:styleId="10">
    <w:name w:val="Heading 5 Char"/>
    <w:basedOn w:val="8"/>
    <w:link w:val="2"/>
    <w:semiHidden/>
    <w:qFormat/>
    <w:locked/>
    <w:uiPriority w:val="99"/>
    <w:rPr>
      <w:rFonts w:ascii="Calibri" w:hAnsi="Calibri" w:cs="Times New Roman"/>
      <w:b/>
      <w:bCs/>
      <w:sz w:val="28"/>
      <w:szCs w:val="28"/>
    </w:rPr>
  </w:style>
  <w:style w:type="character" w:customStyle="1" w:styleId="11">
    <w:name w:val="Plain Text Char"/>
    <w:basedOn w:val="8"/>
    <w:link w:val="3"/>
    <w:semiHidden/>
    <w:qFormat/>
    <w:locked/>
    <w:uiPriority w:val="99"/>
    <w:rPr>
      <w:rFonts w:ascii="宋体" w:hAnsi="Courier New" w:cs="Courier New"/>
      <w:sz w:val="21"/>
      <w:szCs w:val="21"/>
    </w:rPr>
  </w:style>
  <w:style w:type="paragraph" w:customStyle="1" w:styleId="12">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3">
    <w:name w:val="ca-2"/>
    <w:basedOn w:val="8"/>
    <w:qFormat/>
    <w:uiPriority w:val="99"/>
    <w:rPr>
      <w:rFonts w:cs="Times New Roman"/>
    </w:rPr>
  </w:style>
  <w:style w:type="paragraph" w:customStyle="1" w:styleId="14">
    <w:name w:val="Normal (Web)1"/>
    <w:basedOn w:val="1"/>
    <w:qFormat/>
    <w:uiPriority w:val="99"/>
    <w:pPr>
      <w:widowControl/>
      <w:spacing w:before="100" w:beforeAutospacing="1" w:after="100" w:afterAutospacing="1"/>
      <w:jc w:val="left"/>
    </w:pPr>
    <w:rPr>
      <w:rFonts w:ascii="宋体" w:hAnsi="宋体" w:cs="宋体"/>
      <w:kern w:val="0"/>
      <w:sz w:val="24"/>
    </w:rPr>
  </w:style>
  <w:style w:type="character" w:customStyle="1" w:styleId="15">
    <w:name w:val="Header Char"/>
    <w:basedOn w:val="8"/>
    <w:link w:val="5"/>
    <w:semiHidden/>
    <w:qFormat/>
    <w:locked/>
    <w:uiPriority w:val="99"/>
    <w:rPr>
      <w:rFonts w:ascii="Calibri" w:hAnsi="Calibri" w:cs="Times New Roman"/>
      <w:sz w:val="18"/>
      <w:szCs w:val="18"/>
    </w:rPr>
  </w:style>
  <w:style w:type="character" w:customStyle="1" w:styleId="16">
    <w:name w:val="Footer Char"/>
    <w:basedOn w:val="8"/>
    <w:link w:val="4"/>
    <w:semiHidden/>
    <w:qFormat/>
    <w:locked/>
    <w:uiPriority w:val="99"/>
    <w:rPr>
      <w:rFonts w:ascii="Calibri" w:hAnsi="Calibri"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Pages>18</Pages>
  <Words>3121</Words>
  <Characters>3308</Characters>
  <Lines>0</Lines>
  <Paragraphs>0</Paragraphs>
  <TotalTime>2</TotalTime>
  <ScaleCrop>false</ScaleCrop>
  <LinksUpToDate>false</LinksUpToDate>
  <CharactersWithSpaces>3355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1</cp:lastModifiedBy>
  <dcterms:modified xsi:type="dcterms:W3CDTF">2023-08-21T09:44:37Z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6450BBEADBCC4DFA83B1F73D162BF7BF_12</vt:lpwstr>
  </property>
</Properties>
</file>