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黄石市第八中学2019年决算公开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黄石市第八中学2019年决算公开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第三部分：部门2019年部门决算情况说明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2019年部门决算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pPr>
        <w:pStyle w:val="18"/>
        <w:widowControl/>
        <w:numPr>
          <w:ilvl w:val="0"/>
          <w:numId w:val="1"/>
        </w:numPr>
        <w:shd w:val="clear" w:color="auto" w:fill="FFFFFF"/>
        <w:ind w:firstLineChars="0"/>
        <w:jc w:val="left"/>
        <w:rPr>
          <w:rFonts w:hint="eastAsia" w:ascii="宋体" w:hAnsi="宋体" w:cs="宋体"/>
          <w:sz w:val="28"/>
          <w:szCs w:val="28"/>
        </w:rPr>
      </w:pPr>
      <w:r>
        <w:rPr>
          <w:rFonts w:hint="eastAsia" w:ascii="宋体" w:hAnsi="宋体" w:cs="宋体"/>
          <w:sz w:val="28"/>
          <w:szCs w:val="28"/>
        </w:rPr>
        <w:t>主要职责</w:t>
      </w:r>
    </w:p>
    <w:p>
      <w:pPr>
        <w:pStyle w:val="18"/>
        <w:snapToGrid w:val="0"/>
        <w:spacing w:line="520" w:lineRule="exact"/>
        <w:ind w:left="1335" w:firstLine="0" w:firstLineChars="0"/>
        <w:rPr>
          <w:rFonts w:hint="eastAsia" w:ascii="仿宋_GB2312" w:hAnsi="仿宋" w:eastAsia="仿宋_GB2312" w:cs="Times New Roman"/>
          <w:sz w:val="28"/>
          <w:szCs w:val="28"/>
        </w:rPr>
      </w:pPr>
      <w:r>
        <w:rPr>
          <w:rFonts w:hint="eastAsia" w:ascii="仿宋_GB2312" w:hAnsi="仿宋" w:eastAsia="仿宋_GB2312" w:cs="Times New Roman"/>
          <w:sz w:val="28"/>
          <w:szCs w:val="28"/>
        </w:rPr>
        <w:t>黄石八中是一所初级中学，现有班级36个，在校学生1988个，在校教职工124人，代课教师13人，退休人员48人，临时工12人，学校经费来源于财政教育经费拨款和学校预算外收入。有8个职能部门：行办、党办、教务处、教科处、政教处、总务处、工会、团委、网管中心。</w:t>
      </w:r>
    </w:p>
    <w:p>
      <w:pPr>
        <w:pStyle w:val="18"/>
        <w:widowControl/>
        <w:shd w:val="clear" w:color="auto" w:fill="FFFFFF"/>
        <w:ind w:left="1335" w:firstLine="0" w:firstLineChars="0"/>
        <w:jc w:val="left"/>
        <w:rPr>
          <w:rFonts w:ascii="宋体" w:hAnsi="宋体" w:cs="宋体"/>
          <w:sz w:val="28"/>
          <w:szCs w:val="28"/>
        </w:rPr>
      </w:pPr>
    </w:p>
    <w:p>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pPr>
        <w:widowControl/>
        <w:shd w:val="clear" w:color="auto" w:fill="FFFFFF"/>
        <w:ind w:firstLine="480"/>
        <w:jc w:val="left"/>
        <w:rPr>
          <w:rFonts w:ascii="宋体" w:hAnsi="宋体" w:cs="宋体"/>
          <w:sz w:val="28"/>
          <w:szCs w:val="28"/>
        </w:rPr>
      </w:pPr>
      <w:r>
        <w:rPr>
          <w:rFonts w:hint="eastAsia" w:ascii="宋体" w:hAnsi="宋体" w:cs="宋体"/>
          <w:color w:val="222222"/>
          <w:kern w:val="0"/>
          <w:sz w:val="28"/>
          <w:szCs w:val="28"/>
        </w:rPr>
        <w:t>黄石市第八中学2019年末单位机构数1，预算单位数1，机构无变动情况，是</w:t>
      </w:r>
      <w:r>
        <w:rPr>
          <w:rFonts w:hint="eastAsia" w:ascii="宋体" w:hAnsi="宋体" w:cs="宋体"/>
          <w:sz w:val="28"/>
          <w:szCs w:val="28"/>
        </w:rPr>
        <w:t>由区教育局管理的全额拨款事业单位。</w:t>
      </w:r>
    </w:p>
    <w:p>
      <w:pPr>
        <w:widowControl/>
        <w:shd w:val="clear" w:color="auto" w:fill="FFFFFF"/>
        <w:jc w:val="left"/>
        <w:rPr>
          <w:rFonts w:hint="eastAsia" w:ascii="宋体" w:hAnsi="宋体" w:cs="宋体"/>
          <w:sz w:val="28"/>
          <w:szCs w:val="28"/>
        </w:rPr>
      </w:pPr>
    </w:p>
    <w:p>
      <w:pPr>
        <w:widowControl/>
        <w:shd w:val="clear" w:color="auto" w:fill="FFFFFF"/>
        <w:jc w:val="left"/>
        <w:rPr>
          <w:rFonts w:hint="eastAsia" w:ascii="宋体" w:hAnsi="宋体" w:cs="宋体"/>
          <w:sz w:val="28"/>
          <w:szCs w:val="28"/>
        </w:rPr>
      </w:pPr>
    </w:p>
    <w:p>
      <w:pPr>
        <w:widowControl/>
        <w:shd w:val="clear" w:color="auto" w:fill="FFFFFF"/>
        <w:jc w:val="left"/>
        <w:rPr>
          <w:rFonts w:ascii="宋体" w:hAnsi="宋体" w:cs="宋体"/>
          <w:sz w:val="28"/>
          <w:szCs w:val="28"/>
        </w:rPr>
      </w:pPr>
    </w:p>
    <w:p>
      <w:pPr>
        <w:pStyle w:val="8"/>
        <w:widowControl/>
        <w:numPr>
          <w:ilvl w:val="0"/>
          <w:numId w:val="2"/>
        </w:numPr>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部门201</w:t>
      </w:r>
      <w:r>
        <w:rPr>
          <w:rStyle w:val="11"/>
          <w:rFonts w:hint="eastAsia" w:ascii="微软雅黑" w:hAnsi="微软雅黑" w:eastAsia="微软雅黑" w:cs="微软雅黑"/>
          <w:color w:val="333333"/>
          <w:shd w:val="clear" w:color="auto" w:fill="FFFFFF"/>
          <w:lang w:val="en-US" w:eastAsia="zh-CN"/>
        </w:rPr>
        <w:t>9</w:t>
      </w:r>
      <w:r>
        <w:rPr>
          <w:rStyle w:val="11"/>
          <w:rFonts w:hint="eastAsia" w:ascii="微软雅黑" w:hAnsi="微软雅黑" w:eastAsia="微软雅黑" w:cs="微软雅黑"/>
          <w:color w:val="333333"/>
          <w:shd w:val="clear" w:color="auto" w:fill="FFFFFF"/>
        </w:rPr>
        <w:t>年部门决算表</w:t>
      </w:r>
    </w:p>
    <w:p>
      <w:pPr>
        <w:pStyle w:val="8"/>
        <w:widowControl/>
        <w:spacing w:before="76" w:beforeAutospacing="0" w:after="76" w:afterAutospacing="0" w:line="450" w:lineRule="atLeast"/>
        <w:ind w:left="420"/>
        <w:rPr>
          <w:rStyle w:val="11"/>
          <w:rFonts w:hint="eastAsia" w:ascii="微软雅黑" w:hAnsi="微软雅黑" w:eastAsia="微软雅黑" w:cs="微软雅黑"/>
          <w:color w:val="333333"/>
          <w:shd w:val="clear" w:color="auto" w:fill="FFFFFF"/>
        </w:rPr>
      </w:pPr>
      <w:r>
        <w:rPr>
          <w:rFonts w:hint="eastAsia"/>
          <w:shd w:val="clear" w:color="auto" w:fill="FFFFFF"/>
        </w:rPr>
        <w:drawing>
          <wp:inline distT="0" distB="0" distL="0" distR="0">
            <wp:extent cx="8226425" cy="4253865"/>
            <wp:effectExtent l="19050" t="0" r="3147"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4" cstate="print"/>
                    <a:srcRect/>
                    <a:stretch>
                      <a:fillRect/>
                    </a:stretch>
                  </pic:blipFill>
                  <pic:spPr>
                    <a:xfrm>
                      <a:off x="0" y="0"/>
                      <a:ext cx="8226292" cy="4253865"/>
                    </a:xfrm>
                    <a:prstGeom prst="rect">
                      <a:avLst/>
                    </a:prstGeom>
                    <a:noFill/>
                    <a:ln w="9525">
                      <a:noFill/>
                      <a:miter lim="800000"/>
                      <a:headEnd/>
                      <a:tailEnd/>
                    </a:ln>
                  </pic:spPr>
                </pic:pic>
              </a:graphicData>
            </a:graphic>
          </wp:inline>
        </w:drawing>
      </w:r>
    </w:p>
    <w:p>
      <w:pPr>
        <w:pStyle w:val="8"/>
        <w:widowControl/>
        <w:spacing w:before="76" w:beforeAutospacing="0" w:after="76" w:afterAutospacing="0" w:line="450" w:lineRule="atLeast"/>
        <w:ind w:left="420"/>
        <w:rPr>
          <w:rStyle w:val="11"/>
          <w:rFonts w:ascii="微软雅黑" w:hAnsi="微软雅黑" w:eastAsia="微软雅黑" w:cs="微软雅黑"/>
          <w:color w:val="333333"/>
          <w:shd w:val="clear" w:color="auto" w:fill="FFFFFF"/>
        </w:rPr>
      </w:pPr>
    </w:p>
    <w:p>
      <w:pPr>
        <w:widowControl/>
        <w:shd w:val="clear" w:color="auto" w:fill="FFFFFF"/>
        <w:jc w:val="left"/>
        <w:rPr>
          <w:rFonts w:hint="eastAsia"/>
        </w:rPr>
      </w:pPr>
      <w:r>
        <w:rPr>
          <w:rFonts w:hint="eastAsia"/>
        </w:rPr>
        <w:drawing>
          <wp:inline distT="0" distB="0" distL="0" distR="0">
            <wp:extent cx="8627110" cy="2321560"/>
            <wp:effectExtent l="19050" t="0" r="254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5" cstate="print"/>
                    <a:srcRect/>
                    <a:stretch>
                      <a:fillRect/>
                    </a:stretch>
                  </pic:blipFill>
                  <pic:spPr>
                    <a:xfrm>
                      <a:off x="0" y="0"/>
                      <a:ext cx="8627110" cy="2321560"/>
                    </a:xfrm>
                    <a:prstGeom prst="rect">
                      <a:avLst/>
                    </a:prstGeom>
                    <a:noFill/>
                    <a:ln w="9525">
                      <a:noFill/>
                      <a:miter lim="800000"/>
                      <a:headEnd/>
                      <a:tailEnd/>
                    </a:ln>
                  </pic:spPr>
                </pic:pic>
              </a:graphicData>
            </a:graphic>
          </wp:inline>
        </w:drawing>
      </w:r>
    </w:p>
    <w:p>
      <w:pPr>
        <w:widowControl/>
        <w:shd w:val="clear" w:color="auto" w:fill="FFFFFF"/>
        <w:jc w:val="left"/>
        <w:rPr>
          <w:rFonts w:hint="eastAsia"/>
        </w:rPr>
      </w:pPr>
      <w:r>
        <w:rPr>
          <w:rFonts w:hint="eastAsia"/>
        </w:rPr>
        <w:drawing>
          <wp:inline distT="0" distB="0" distL="0" distR="0">
            <wp:extent cx="8619490" cy="2353310"/>
            <wp:effectExtent l="1905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6" cstate="print"/>
                    <a:srcRect/>
                    <a:stretch>
                      <a:fillRect/>
                    </a:stretch>
                  </pic:blipFill>
                  <pic:spPr>
                    <a:xfrm>
                      <a:off x="0" y="0"/>
                      <a:ext cx="8619490" cy="2353310"/>
                    </a:xfrm>
                    <a:prstGeom prst="rect">
                      <a:avLst/>
                    </a:prstGeom>
                    <a:noFill/>
                    <a:ln w="9525">
                      <a:noFill/>
                      <a:miter lim="800000"/>
                      <a:headEnd/>
                      <a:tailEnd/>
                    </a:ln>
                  </pic:spPr>
                </pic:pic>
              </a:graphicData>
            </a:graphic>
          </wp:inline>
        </w:drawing>
      </w: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r>
        <w:rPr>
          <w:rFonts w:hint="eastAsia"/>
        </w:rPr>
        <w:drawing>
          <wp:inline distT="0" distB="0" distL="0" distR="0">
            <wp:extent cx="8642985" cy="5009515"/>
            <wp:effectExtent l="19050" t="0" r="5715"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7" cstate="print"/>
                    <a:srcRect/>
                    <a:stretch>
                      <a:fillRect/>
                    </a:stretch>
                  </pic:blipFill>
                  <pic:spPr>
                    <a:xfrm>
                      <a:off x="0" y="0"/>
                      <a:ext cx="8642985" cy="5009515"/>
                    </a:xfrm>
                    <a:prstGeom prst="rect">
                      <a:avLst/>
                    </a:prstGeom>
                    <a:noFill/>
                    <a:ln w="9525">
                      <a:noFill/>
                      <a:miter lim="800000"/>
                      <a:headEnd/>
                      <a:tailEnd/>
                    </a:ln>
                  </pic:spPr>
                </pic:pic>
              </a:graphicData>
            </a:graphic>
          </wp:inline>
        </w:drawing>
      </w:r>
    </w:p>
    <w:p>
      <w:pPr>
        <w:widowControl/>
        <w:shd w:val="clear" w:color="auto" w:fill="FFFFFF"/>
        <w:jc w:val="left"/>
        <w:rPr>
          <w:rFonts w:hint="eastAsia"/>
        </w:rPr>
      </w:pPr>
      <w:r>
        <w:rPr>
          <w:rFonts w:hint="eastAsia"/>
        </w:rPr>
        <w:drawing>
          <wp:inline distT="0" distB="0" distL="0" distR="0">
            <wp:extent cx="8504555" cy="3164205"/>
            <wp:effectExtent l="1905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8" cstate="print"/>
                    <a:srcRect/>
                    <a:stretch>
                      <a:fillRect/>
                    </a:stretch>
                  </pic:blipFill>
                  <pic:spPr>
                    <a:xfrm>
                      <a:off x="0" y="0"/>
                      <a:ext cx="8507730" cy="3165605"/>
                    </a:xfrm>
                    <a:prstGeom prst="rect">
                      <a:avLst/>
                    </a:prstGeom>
                    <a:noFill/>
                    <a:ln w="9525">
                      <a:noFill/>
                      <a:miter lim="800000"/>
                      <a:headEnd/>
                      <a:tailEnd/>
                    </a:ln>
                  </pic:spPr>
                </pic:pic>
              </a:graphicData>
            </a:graphic>
          </wp:inline>
        </w:drawing>
      </w:r>
    </w:p>
    <w:p>
      <w:pPr>
        <w:widowControl/>
        <w:shd w:val="clear" w:color="auto" w:fill="FFFFFF"/>
        <w:jc w:val="left"/>
        <w:rPr>
          <w:rFonts w:hint="eastAsia"/>
        </w:rPr>
      </w:pPr>
    </w:p>
    <w:p>
      <w:pPr>
        <w:widowControl/>
        <w:shd w:val="clear" w:color="auto" w:fill="FFFFFF"/>
        <w:jc w:val="left"/>
        <w:rPr>
          <w:rFonts w:ascii="宋体" w:hAnsi="宋体" w:cs="宋体"/>
          <w:color w:val="333333"/>
          <w:kern w:val="0"/>
          <w:sz w:val="24"/>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hint="eastAsia"/>
        </w:rPr>
      </w:pPr>
    </w:p>
    <w:p>
      <w:pPr>
        <w:widowControl/>
        <w:shd w:val="clear" w:color="auto" w:fill="FFFFFF"/>
        <w:jc w:val="left"/>
        <w:rPr>
          <w:rFonts w:ascii="宋体" w:hAnsi="宋体" w:cs="宋体"/>
          <w:color w:val="333333"/>
          <w:kern w:val="0"/>
          <w:sz w:val="24"/>
        </w:rPr>
      </w:pPr>
    </w:p>
    <w:p>
      <w:pPr>
        <w:widowControl/>
        <w:shd w:val="clear" w:color="auto" w:fill="FFFFFF"/>
        <w:jc w:val="left"/>
        <w:rPr>
          <w:rFonts w:hint="eastAsia" w:ascii="宋体" w:hAnsi="宋体" w:cs="宋体"/>
          <w:color w:val="333333"/>
          <w:kern w:val="0"/>
          <w:sz w:val="24"/>
        </w:rPr>
      </w:pPr>
      <w:r>
        <w:rPr>
          <w:rFonts w:hint="eastAsia"/>
        </w:rPr>
        <w:drawing>
          <wp:inline distT="0" distB="0" distL="0" distR="0">
            <wp:extent cx="8740140" cy="4785995"/>
            <wp:effectExtent l="19050" t="0" r="3203"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9" cstate="print"/>
                    <a:srcRect/>
                    <a:stretch>
                      <a:fillRect/>
                    </a:stretch>
                  </pic:blipFill>
                  <pic:spPr>
                    <a:xfrm>
                      <a:off x="0" y="0"/>
                      <a:ext cx="8744050" cy="4788142"/>
                    </a:xfrm>
                    <a:prstGeom prst="rect">
                      <a:avLst/>
                    </a:prstGeom>
                    <a:noFill/>
                    <a:ln w="9525">
                      <a:noFill/>
                      <a:miter lim="800000"/>
                      <a:headEnd/>
                      <a:tailEnd/>
                    </a:ln>
                  </pic:spPr>
                </pic:pic>
              </a:graphicData>
            </a:graphic>
          </wp:inline>
        </w:drawing>
      </w:r>
    </w:p>
    <w:p>
      <w:pPr>
        <w:widowControl/>
        <w:shd w:val="clear" w:color="auto" w:fill="FFFFFF"/>
        <w:jc w:val="left"/>
        <w:rPr>
          <w:rFonts w:hint="eastAsia" w:ascii="宋体" w:hAnsi="宋体" w:cs="宋体"/>
          <w:color w:val="333333"/>
          <w:kern w:val="0"/>
          <w:sz w:val="24"/>
        </w:rPr>
      </w:pPr>
    </w:p>
    <w:p>
      <w:pPr>
        <w:widowControl/>
        <w:shd w:val="clear" w:color="auto" w:fill="FFFFFF"/>
        <w:jc w:val="left"/>
        <w:rPr>
          <w:rFonts w:hint="eastAsia"/>
        </w:rPr>
      </w:pPr>
      <w:r>
        <w:rPr>
          <w:rFonts w:hint="eastAsia"/>
        </w:rPr>
        <w:drawing>
          <wp:inline distT="0" distB="0" distL="0" distR="0">
            <wp:extent cx="8845550" cy="2265680"/>
            <wp:effectExtent l="1905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noChangeArrowheads="1"/>
                    </pic:cNvPicPr>
                  </pic:nvPicPr>
                  <pic:blipFill>
                    <a:blip r:embed="rId10" cstate="print"/>
                    <a:srcRect/>
                    <a:stretch>
                      <a:fillRect/>
                    </a:stretch>
                  </pic:blipFill>
                  <pic:spPr>
                    <a:xfrm>
                      <a:off x="0" y="0"/>
                      <a:ext cx="8863330" cy="2270605"/>
                    </a:xfrm>
                    <a:prstGeom prst="rect">
                      <a:avLst/>
                    </a:prstGeom>
                    <a:noFill/>
                    <a:ln w="9525">
                      <a:noFill/>
                      <a:miter lim="800000"/>
                      <a:headEnd/>
                      <a:tailEnd/>
                    </a:ln>
                  </pic:spPr>
                </pic:pic>
              </a:graphicData>
            </a:graphic>
          </wp:inline>
        </w:drawing>
      </w:r>
    </w:p>
    <w:p>
      <w:pPr>
        <w:widowControl/>
        <w:shd w:val="clear" w:color="auto" w:fill="FFFFFF"/>
        <w:jc w:val="left"/>
        <w:rPr>
          <w:rFonts w:hint="eastAsia"/>
        </w:rPr>
      </w:pPr>
    </w:p>
    <w:tbl>
      <w:tblPr>
        <w:tblW w:w="13820" w:type="dxa"/>
        <w:jc w:val="center"/>
        <w:shd w:val="clear"/>
        <w:tblLayout w:type="autofit"/>
        <w:tblCellMar>
          <w:top w:w="0" w:type="dxa"/>
          <w:left w:w="0" w:type="dxa"/>
          <w:bottom w:w="0" w:type="dxa"/>
          <w:right w:w="0" w:type="dxa"/>
        </w:tblCellMar>
      </w:tblPr>
      <w:tblGrid>
        <w:gridCol w:w="3240"/>
        <w:gridCol w:w="57"/>
        <w:gridCol w:w="57"/>
        <w:gridCol w:w="1452"/>
        <w:gridCol w:w="921"/>
        <w:gridCol w:w="921"/>
        <w:gridCol w:w="921"/>
        <w:gridCol w:w="921"/>
        <w:gridCol w:w="921"/>
        <w:gridCol w:w="4409"/>
      </w:tblGrid>
      <w:tr>
        <w:tblPrEx>
          <w:shd w:val="clear"/>
          <w:tblCellMar>
            <w:top w:w="0" w:type="dxa"/>
            <w:left w:w="0" w:type="dxa"/>
            <w:bottom w:w="0" w:type="dxa"/>
            <w:right w:w="0" w:type="dxa"/>
          </w:tblCellMar>
        </w:tblPrEx>
        <w:trPr>
          <w:trHeight w:val="215" w:hRule="atLeast"/>
          <w:jc w:val="center"/>
        </w:trPr>
        <w:tc>
          <w:tcPr>
            <w:tcW w:w="13820" w:type="dxa"/>
            <w:gridSpan w:val="10"/>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bookmarkStart w:id="0" w:name="_GoBack"/>
            <w:r>
              <w:rPr>
                <w:rFonts w:hint="eastAsia" w:ascii="宋体" w:hAnsi="宋体" w:eastAsia="宋体" w:cs="宋体"/>
                <w:i w:val="0"/>
                <w:color w:val="000000"/>
                <w:kern w:val="0"/>
                <w:sz w:val="30"/>
                <w:szCs w:val="30"/>
                <w:u w:val="none"/>
                <w:bdr w:val="none" w:color="auto" w:sz="0" w:space="0"/>
                <w:lang w:val="en-US" w:eastAsia="zh-CN" w:bidi="ar"/>
              </w:rPr>
              <w:t>政府性基金预算财政拨款收入支出决算表</w:t>
            </w:r>
          </w:p>
        </w:tc>
      </w:tr>
      <w:tr>
        <w:tblPrEx>
          <w:tblCellMar>
            <w:top w:w="0" w:type="dxa"/>
            <w:left w:w="0" w:type="dxa"/>
            <w:bottom w:w="0" w:type="dxa"/>
            <w:right w:w="0" w:type="dxa"/>
          </w:tblCellMar>
        </w:tblPrEx>
        <w:trPr>
          <w:trHeight w:val="110" w:hRule="atLeast"/>
          <w:jc w:val="center"/>
        </w:trPr>
        <w:tc>
          <w:tcPr>
            <w:tcW w:w="0" w:type="auto"/>
            <w:gridSpan w:val="10"/>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公开08表</w:t>
            </w:r>
          </w:p>
        </w:tc>
      </w:tr>
      <w:tr>
        <w:tblPrEx>
          <w:tblCellMar>
            <w:top w:w="0" w:type="dxa"/>
            <w:left w:w="0" w:type="dxa"/>
            <w:bottom w:w="0" w:type="dxa"/>
            <w:right w:w="0" w:type="dxa"/>
          </w:tblCellMar>
        </w:tblPrEx>
        <w:trPr>
          <w:trHeight w:val="110" w:hRule="atLeast"/>
          <w:jc w:val="center"/>
        </w:trPr>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bdr w:val="none" w:color="auto" w:sz="0" w:space="0"/>
                <w:lang w:val="en-US" w:eastAsia="zh-CN" w:bidi="ar"/>
              </w:rPr>
              <w:t>部门：黄石市第八中学</w:t>
            </w:r>
          </w:p>
        </w:tc>
        <w:tc>
          <w:tcPr>
            <w:tcW w:w="0" w:type="auto"/>
            <w:tcBorders>
              <w:top w:val="nil"/>
              <w:left w:val="nil"/>
              <w:bottom w:val="nil"/>
              <w:right w:val="nil"/>
            </w:tcBorders>
            <w:shd w:val="clear"/>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11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90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90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w:t>
            </w:r>
          </w:p>
        </w:tc>
        <w:tc>
          <w:tcPr>
            <w:tcW w:w="271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c>
          <w:tcPr>
            <w:tcW w:w="409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381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9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9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40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38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38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114"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114" w:hRule="atLeast"/>
          <w:jc w:val="center"/>
        </w:trPr>
        <w:tc>
          <w:tcPr>
            <w:tcW w:w="0" w:type="auto"/>
            <w:gridSpan w:val="3"/>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jc w:val="center"/>
        </w:trPr>
        <w:tc>
          <w:tcPr>
            <w:tcW w:w="0" w:type="auto"/>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注：本表反映部门本年度政府性基金预算财政拨款收入、支出及结转和结余情况。</w:t>
            </w:r>
          </w:p>
        </w:tc>
      </w:tr>
      <w:bookmarkEnd w:id="0"/>
    </w:tbl>
    <w:p>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第三部分2019年部门决算情况说明</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2019年度收支均为</w:t>
      </w:r>
      <w:r>
        <w:rPr>
          <w:rFonts w:hint="eastAsia" w:ascii="仿宋_GB2312" w:hAnsi="仿宋" w:eastAsia="仿宋_GB2312"/>
          <w:sz w:val="24"/>
        </w:rPr>
        <w:t>2158.93</w:t>
      </w:r>
      <w:r>
        <w:rPr>
          <w:rFonts w:hint="eastAsia" w:asciiTheme="minorEastAsia" w:hAnsiTheme="minorEastAsia" w:cstheme="minorEastAsia"/>
          <w:sz w:val="28"/>
          <w:szCs w:val="28"/>
        </w:rPr>
        <w:t>万元，其中人员经费收支</w:t>
      </w:r>
      <w:r>
        <w:rPr>
          <w:rFonts w:hint="eastAsia" w:asciiTheme="minorEastAsia" w:hAnsiTheme="minorEastAsia" w:cstheme="minorEastAsia"/>
          <w:sz w:val="28"/>
          <w:szCs w:val="28"/>
          <w:lang w:val="en-US" w:eastAsia="zh-CN"/>
        </w:rPr>
        <w:t>1687.23</w:t>
      </w:r>
      <w:r>
        <w:rPr>
          <w:rFonts w:hint="eastAsia" w:asciiTheme="minorEastAsia" w:hAnsiTheme="minorEastAsia" w:cstheme="minorEastAsia"/>
          <w:sz w:val="28"/>
          <w:szCs w:val="28"/>
        </w:rPr>
        <w:t>万元、日常经费收支</w:t>
      </w:r>
      <w:r>
        <w:rPr>
          <w:rFonts w:hint="eastAsia" w:asciiTheme="minorEastAsia" w:hAnsiTheme="minorEastAsia" w:cstheme="minorEastAsia"/>
          <w:sz w:val="28"/>
          <w:szCs w:val="28"/>
          <w:lang w:val="en-US" w:eastAsia="zh-CN"/>
        </w:rPr>
        <w:t>607.08</w:t>
      </w:r>
      <w:r>
        <w:rPr>
          <w:rFonts w:hint="eastAsia" w:asciiTheme="minorEastAsia" w:hAnsiTheme="minorEastAsia" w:cstheme="minorEastAsia"/>
          <w:sz w:val="28"/>
          <w:szCs w:val="28"/>
        </w:rPr>
        <w:t>万元，较上年</w:t>
      </w:r>
      <w:r>
        <w:rPr>
          <w:rFonts w:hint="eastAsia" w:asciiTheme="minorEastAsia" w:hAnsiTheme="minorEastAsia" w:cstheme="minorEastAsia"/>
          <w:sz w:val="28"/>
          <w:szCs w:val="28"/>
          <w:lang w:eastAsia="zh-CN"/>
        </w:rPr>
        <w:t>总收支</w:t>
      </w:r>
      <w:r>
        <w:rPr>
          <w:rFonts w:hint="eastAsia" w:asciiTheme="minorEastAsia" w:hAnsiTheme="minorEastAsia" w:cstheme="minorEastAsia"/>
          <w:sz w:val="28"/>
          <w:szCs w:val="28"/>
        </w:rPr>
        <w:t>增减幅</w:t>
      </w:r>
      <w:r>
        <w:rPr>
          <w:rFonts w:hint="eastAsia" w:asciiTheme="minorEastAsia" w:hAnsiTheme="minorEastAsia" w:cstheme="minorEastAsia"/>
          <w:sz w:val="28"/>
          <w:szCs w:val="28"/>
          <w:lang w:eastAsia="zh-CN"/>
        </w:rPr>
        <w:t>度人员经费收支</w:t>
      </w:r>
      <w:r>
        <w:rPr>
          <w:rFonts w:hint="eastAsia" w:asciiTheme="minorEastAsia" w:hAnsiTheme="minorEastAsia" w:cstheme="minorEastAsia"/>
          <w:sz w:val="28"/>
          <w:szCs w:val="28"/>
          <w:lang w:val="en-US" w:eastAsia="zh-CN"/>
        </w:rPr>
        <w:t>1538.50万、增加148.73万元、增长8%，公用经费收支623.61万元减少16.53万元增长-2%</w:t>
      </w:r>
      <w:r>
        <w:rPr>
          <w:rFonts w:hint="eastAsia" w:asciiTheme="minorEastAsia" w:hAnsiTheme="minorEastAsia" w:cstheme="minorEastAsia"/>
          <w:sz w:val="28"/>
          <w:szCs w:val="28"/>
        </w:rPr>
        <w:t>其主要原因是201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年人员工资</w:t>
      </w:r>
      <w:r>
        <w:rPr>
          <w:rFonts w:hint="eastAsia" w:asciiTheme="minorEastAsia" w:hAnsiTheme="minorEastAsia" w:cstheme="minorEastAsia"/>
          <w:sz w:val="28"/>
          <w:szCs w:val="28"/>
          <w:lang w:eastAsia="zh-CN"/>
        </w:rPr>
        <w:t>调标和</w:t>
      </w:r>
      <w:r>
        <w:rPr>
          <w:rFonts w:hint="eastAsia" w:asciiTheme="minorEastAsia" w:hAnsiTheme="minorEastAsia" w:cstheme="minorEastAsia"/>
          <w:sz w:val="28"/>
          <w:szCs w:val="28"/>
        </w:rPr>
        <w:t>调整了级别滚动无其他增资项目，但其他资金减少了对教育的公用经费的投入。</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lang w:eastAsia="zh-CN"/>
        </w:rPr>
        <w:t>（二）</w:t>
      </w:r>
      <w:r>
        <w:rPr>
          <w:rFonts w:hint="eastAsia" w:ascii="宋体" w:hAnsi="宋体" w:cs="宋体"/>
          <w:b/>
          <w:bCs/>
          <w:sz w:val="28"/>
          <w:szCs w:val="28"/>
        </w:rPr>
        <w:t>关于“三公”经费支出说明</w:t>
      </w:r>
    </w:p>
    <w:p>
      <w:pPr>
        <w:pStyle w:val="18"/>
        <w:widowControl/>
        <w:shd w:val="clear" w:color="auto" w:fill="FFFFFF"/>
        <w:ind w:left="0" w:leftChars="0"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无“三公”经费支出。</w:t>
      </w:r>
    </w:p>
    <w:p>
      <w:pPr>
        <w:pStyle w:val="18"/>
        <w:widowControl/>
        <w:numPr>
          <w:ilvl w:val="0"/>
          <w:numId w:val="0"/>
        </w:numPr>
        <w:shd w:val="clear" w:color="auto" w:fill="FFFFFF"/>
        <w:ind w:firstLine="281" w:firstLineChars="100"/>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cstheme="minorEastAsia"/>
          <w:b/>
          <w:bCs/>
          <w:sz w:val="28"/>
          <w:szCs w:val="28"/>
        </w:rPr>
        <w:t>关于机关运行经费支出说明</w:t>
      </w:r>
    </w:p>
    <w:p>
      <w:pPr>
        <w:pStyle w:val="18"/>
        <w:widowControl/>
        <w:shd w:val="clear" w:color="auto" w:fill="FFFFFF"/>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本单位无此经费支出。</w:t>
      </w:r>
    </w:p>
    <w:p>
      <w:pPr>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pPr>
        <w:widowControl/>
        <w:shd w:val="clear" w:color="auto" w:fill="FFFFFF"/>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2019年度无政府采购。</w:t>
      </w:r>
    </w:p>
    <w:p>
      <w:pPr>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pPr>
        <w:widowControl/>
        <w:shd w:val="clear" w:color="auto" w:fill="FFFFFF"/>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2019年无国有资产占用情况。</w:t>
      </w:r>
    </w:p>
    <w:p>
      <w:pPr>
        <w:widowControl/>
        <w:shd w:val="clear" w:color="auto" w:fill="FFFFFF"/>
        <w:ind w:firstLine="480"/>
        <w:jc w:val="left"/>
        <w:rPr>
          <w:rFonts w:asciiTheme="minorEastAsia" w:hAnsiTheme="minorEastAsia" w:cstheme="minorEastAsia"/>
          <w:sz w:val="28"/>
          <w:szCs w:val="28"/>
        </w:rPr>
      </w:pPr>
    </w:p>
    <w:p>
      <w:pPr>
        <w:widowControl/>
        <w:shd w:val="clear" w:color="auto" w:fill="FFFFFF"/>
        <w:ind w:firstLine="480"/>
        <w:jc w:val="left"/>
        <w:rPr>
          <w:rFonts w:asciiTheme="minorEastAsia" w:hAnsiTheme="minorEastAsia" w:cstheme="minorEastAsia"/>
          <w:b/>
          <w:bCs/>
          <w:sz w:val="28"/>
          <w:szCs w:val="28"/>
        </w:rPr>
      </w:pPr>
    </w:p>
    <w:p>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rPr>
        <w:t>名词解释</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27BC2381"/>
    <w:multiLevelType w:val="multilevel"/>
    <w:tmpl w:val="27BC2381"/>
    <w:lvl w:ilvl="0" w:tentative="0">
      <w:start w:val="1"/>
      <w:numFmt w:val="japaneseCounting"/>
      <w:lvlText w:val="（%1）"/>
      <w:lvlJc w:val="left"/>
      <w:pPr>
        <w:ind w:left="2131" w:hanging="85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84B"/>
    <w:rsid w:val="00025589"/>
    <w:rsid w:val="000E72A1"/>
    <w:rsid w:val="00135EE7"/>
    <w:rsid w:val="00265A40"/>
    <w:rsid w:val="002E0B2D"/>
    <w:rsid w:val="002E0D4C"/>
    <w:rsid w:val="00317106"/>
    <w:rsid w:val="003F27B7"/>
    <w:rsid w:val="00403957"/>
    <w:rsid w:val="005751D2"/>
    <w:rsid w:val="005F684B"/>
    <w:rsid w:val="0065578C"/>
    <w:rsid w:val="006E2248"/>
    <w:rsid w:val="0088190F"/>
    <w:rsid w:val="00A04AD7"/>
    <w:rsid w:val="00C567D8"/>
    <w:rsid w:val="00E879D0"/>
    <w:rsid w:val="00EC226C"/>
    <w:rsid w:val="06594F7B"/>
    <w:rsid w:val="0664587B"/>
    <w:rsid w:val="09FF39B4"/>
    <w:rsid w:val="10B866C0"/>
    <w:rsid w:val="11411182"/>
    <w:rsid w:val="17D27B3C"/>
    <w:rsid w:val="1B192944"/>
    <w:rsid w:val="1B7656A2"/>
    <w:rsid w:val="1C413B61"/>
    <w:rsid w:val="1C5C43BE"/>
    <w:rsid w:val="2184489D"/>
    <w:rsid w:val="228549E7"/>
    <w:rsid w:val="22FA17DA"/>
    <w:rsid w:val="255E033E"/>
    <w:rsid w:val="25D550D0"/>
    <w:rsid w:val="2CCE2491"/>
    <w:rsid w:val="312D0C44"/>
    <w:rsid w:val="35325477"/>
    <w:rsid w:val="3ABC1951"/>
    <w:rsid w:val="3C7D3F64"/>
    <w:rsid w:val="3D681049"/>
    <w:rsid w:val="406A6FD2"/>
    <w:rsid w:val="42DF44AF"/>
    <w:rsid w:val="46C824A6"/>
    <w:rsid w:val="49B10424"/>
    <w:rsid w:val="4A332DA8"/>
    <w:rsid w:val="4E6609CB"/>
    <w:rsid w:val="4F3104AE"/>
    <w:rsid w:val="50EB0475"/>
    <w:rsid w:val="547620E5"/>
    <w:rsid w:val="573825B0"/>
    <w:rsid w:val="597679CD"/>
    <w:rsid w:val="621B3808"/>
    <w:rsid w:val="65827468"/>
    <w:rsid w:val="67140F93"/>
    <w:rsid w:val="720E59B4"/>
    <w:rsid w:val="746766E2"/>
    <w:rsid w:val="77220CEC"/>
    <w:rsid w:val="77FE520C"/>
    <w:rsid w:val="78186405"/>
    <w:rsid w:val="78ED782A"/>
    <w:rsid w:val="7999220C"/>
    <w:rsid w:val="7D884558"/>
    <w:rsid w:val="7D8A3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F2BF8-4332-4F65-876D-29553083BB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281</Words>
  <Characters>1602</Characters>
  <Lines>13</Lines>
  <Paragraphs>3</Paragraphs>
  <TotalTime>89</TotalTime>
  <ScaleCrop>false</ScaleCrop>
  <LinksUpToDate>false</LinksUpToDate>
  <CharactersWithSpaces>1880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2021-05-17T03:08:38Z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