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花湖小学2019年决算公开</w:t>
      </w: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黄石港区花湖小学2019年决算公开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2019年部门决算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pStyle w:val="17"/>
        <w:numPr>
          <w:ilvl w:val="0"/>
          <w:numId w:val="1"/>
        </w:numPr>
        <w:spacing w:line="620" w:lineRule="exact"/>
        <w:ind w:firstLineChars="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主要职能</w:t>
      </w:r>
    </w:p>
    <w:p>
      <w:pPr>
        <w:ind w:firstLine="719" w:firstLineChars="257"/>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 xml:space="preserve">    </w:t>
      </w:r>
      <w:r>
        <w:rPr>
          <w:rFonts w:hint="eastAsia" w:ascii="宋体" w:hAnsi="宋体" w:cs="宋体"/>
          <w:sz w:val="28"/>
          <w:szCs w:val="28"/>
        </w:rPr>
        <w:t>贯彻执行党和国家关于教育改革和发展的各项方针、政策、法律、法规；在区教育局领导下</w:t>
      </w:r>
      <w:r>
        <w:rPr>
          <w:rFonts w:hint="eastAsia"/>
          <w:sz w:val="28"/>
          <w:szCs w:val="28"/>
        </w:rPr>
        <w:t>抓基础教育、培养学生习惯、组织教育教学、科学研究活动，保证教育教学质量。维护教职工利益，保障教职工合法权益，以教职工和学生的人生幸福及生命质量作为工作重点。</w:t>
      </w:r>
    </w:p>
    <w:p>
      <w:pPr>
        <w:pStyle w:val="17"/>
        <w:widowControl/>
        <w:numPr>
          <w:ilvl w:val="0"/>
          <w:numId w:val="1"/>
        </w:numPr>
        <w:shd w:val="clear" w:color="auto" w:fill="FFFFFF"/>
        <w:snapToGrid w:val="0"/>
        <w:spacing w:line="560" w:lineRule="atLeast"/>
        <w:ind w:firstLineChars="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机构情况</w:t>
      </w:r>
    </w:p>
    <w:p>
      <w:pPr>
        <w:pStyle w:val="17"/>
        <w:ind w:left="1495" w:firstLine="0" w:firstLineChars="0"/>
        <w:rPr>
          <w:rFonts w:asciiTheme="minorEastAsia" w:hAnsiTheme="minorEastAsia" w:cstheme="minorEastAsia"/>
          <w:kern w:val="0"/>
          <w:sz w:val="28"/>
          <w:szCs w:val="28"/>
        </w:rPr>
      </w:pPr>
      <w:r>
        <w:rPr>
          <w:rFonts w:hint="eastAsia"/>
          <w:sz w:val="28"/>
          <w:szCs w:val="28"/>
        </w:rPr>
        <w:t>学校内设机构有办公室、教务处、德育处、总务处、党政办。</w:t>
      </w:r>
    </w:p>
    <w:p>
      <w:pPr>
        <w:widowControl/>
        <w:numPr>
          <w:ilvl w:val="0"/>
          <w:numId w:val="2"/>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widowControl/>
        <w:shd w:val="clear" w:color="auto" w:fill="FFFFFF"/>
        <w:snapToGrid w:val="0"/>
        <w:spacing w:line="560" w:lineRule="atLeast"/>
        <w:ind w:left="420" w:leftChars="200" w:firstLine="840" w:firstLineChars="300"/>
        <w:jc w:val="left"/>
        <w:rPr>
          <w:rFonts w:asciiTheme="minorEastAsia" w:hAnsiTheme="minorEastAsia" w:cstheme="minorEastAsia"/>
          <w:kern w:val="0"/>
          <w:sz w:val="28"/>
          <w:szCs w:val="28"/>
        </w:rPr>
      </w:pPr>
      <w:r>
        <w:rPr>
          <w:rFonts w:hint="eastAsia"/>
          <w:sz w:val="28"/>
          <w:szCs w:val="28"/>
        </w:rPr>
        <w:t>编制人数：在职教职工年初30人，退休1人，调动1人，年末28人，外聘职工45人，退休职工年末6人。30个教学班，学生人数1422人。</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部门2019年部门决算表</w:t>
      </w:r>
    </w:p>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r>
        <w:rPr>
          <w:rFonts w:ascii="微软雅黑" w:hAnsi="微软雅黑" w:eastAsia="微软雅黑" w:cs="微软雅黑"/>
          <w:color w:val="333333"/>
          <w:shd w:val="clear" w:color="auto" w:fill="FFFFFF"/>
        </w:rPr>
        <w:drawing>
          <wp:inline distT="0" distB="0" distL="0" distR="0">
            <wp:extent cx="8863330" cy="5361940"/>
            <wp:effectExtent l="0" t="0" r="1397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srcRect/>
                    <a:stretch>
                      <a:fillRect/>
                    </a:stretch>
                  </pic:blipFill>
                  <pic:spPr>
                    <a:xfrm>
                      <a:off x="0" y="0"/>
                      <a:ext cx="8863330" cy="5361940"/>
                    </a:xfrm>
                    <a:prstGeom prst="rect">
                      <a:avLst/>
                    </a:prstGeom>
                    <a:noFill/>
                    <a:ln w="9525">
                      <a:noFill/>
                      <a:miter lim="800000"/>
                      <a:headEnd/>
                      <a:tailEnd/>
                    </a:ln>
                  </pic:spPr>
                </pic:pic>
              </a:graphicData>
            </a:graphic>
          </wp:inline>
        </w:drawing>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pPr>
      <w:r>
        <w:rPr>
          <w:rFonts w:hint="eastAsia" w:ascii="微软雅黑" w:hAnsi="微软雅黑" w:eastAsia="微软雅黑" w:cs="微软雅黑"/>
          <w:color w:val="333333"/>
          <w:shd w:val="clear" w:color="auto" w:fill="FFFFFF"/>
        </w:rPr>
        <w:drawing>
          <wp:inline distT="0" distB="0" distL="0" distR="0">
            <wp:extent cx="8863330" cy="2140585"/>
            <wp:effectExtent l="1905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5"/>
                    <a:srcRect/>
                    <a:stretch>
                      <a:fillRect/>
                    </a:stretch>
                  </pic:blipFill>
                  <pic:spPr>
                    <a:xfrm>
                      <a:off x="0" y="0"/>
                      <a:ext cx="8863330" cy="2141204"/>
                    </a:xfrm>
                    <a:prstGeom prst="rect">
                      <a:avLst/>
                    </a:prstGeom>
                    <a:noFill/>
                    <a:ln w="9525">
                      <a:noFill/>
                      <a:miter lim="800000"/>
                      <a:headEnd/>
                      <a:tailEnd/>
                    </a:ln>
                  </pic:spPr>
                </pic:pic>
              </a:graphicData>
            </a:graphic>
          </wp:inline>
        </w:drawing>
      </w:r>
    </w:p>
    <w:p>
      <w:pPr>
        <w:jc w:val="center"/>
      </w:pPr>
    </w:p>
    <w:p>
      <w:r>
        <w:drawing>
          <wp:inline distT="0" distB="0" distL="0" distR="0">
            <wp:extent cx="8863330" cy="2306320"/>
            <wp:effectExtent l="0" t="0" r="13970"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srcRect/>
                    <a:stretch>
                      <a:fillRect/>
                    </a:stretch>
                  </pic:blipFill>
                  <pic:spPr>
                    <a:xfrm>
                      <a:off x="0" y="0"/>
                      <a:ext cx="8863330" cy="2306320"/>
                    </a:xfrm>
                    <a:prstGeom prst="rect">
                      <a:avLst/>
                    </a:prstGeom>
                    <a:noFill/>
                    <a:ln w="9525">
                      <a:noFill/>
                      <a:miter lim="800000"/>
                      <a:headEnd/>
                      <a:tailEnd/>
                    </a:ln>
                  </pic:spPr>
                </pic:pic>
              </a:graphicData>
            </a:graphic>
          </wp:inline>
        </w:drawing>
      </w:r>
    </w:p>
    <w:p/>
    <w:p/>
    <w:p/>
    <w:p/>
    <w:p/>
    <w:p/>
    <w:p>
      <w:r>
        <w:drawing>
          <wp:inline distT="0" distB="0" distL="0" distR="0">
            <wp:extent cx="8863330" cy="616585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
                    <a:srcRect/>
                    <a:stretch>
                      <a:fillRect/>
                    </a:stretch>
                  </pic:blipFill>
                  <pic:spPr>
                    <a:xfrm>
                      <a:off x="0" y="0"/>
                      <a:ext cx="8863330" cy="6165977"/>
                    </a:xfrm>
                    <a:prstGeom prst="rect">
                      <a:avLst/>
                    </a:prstGeom>
                    <a:noFill/>
                    <a:ln w="9525">
                      <a:noFill/>
                      <a:miter lim="800000"/>
                      <a:headEnd/>
                      <a:tailEnd/>
                    </a:ln>
                  </pic:spPr>
                </pic:pic>
              </a:graphicData>
            </a:graphic>
          </wp:inline>
        </w:drawing>
      </w:r>
    </w:p>
    <w:p/>
    <w:p>
      <w:pPr>
        <w:ind w:firstLine="315" w:firstLineChars="150"/>
      </w:pPr>
      <w:r>
        <w:drawing>
          <wp:inline distT="0" distB="0" distL="0" distR="0">
            <wp:extent cx="8348980" cy="270319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a:srcRect/>
                    <a:stretch>
                      <a:fillRect/>
                    </a:stretch>
                  </pic:blipFill>
                  <pic:spPr>
                    <a:xfrm>
                      <a:off x="0" y="0"/>
                      <a:ext cx="8348980" cy="2703195"/>
                    </a:xfrm>
                    <a:prstGeom prst="rect">
                      <a:avLst/>
                    </a:prstGeom>
                    <a:noFill/>
                    <a:ln w="9525">
                      <a:noFill/>
                      <a:miter lim="800000"/>
                      <a:headEnd/>
                      <a:tailEnd/>
                    </a:ln>
                  </pic:spPr>
                </pic:pic>
              </a:graphicData>
            </a:graphic>
          </wp:inline>
        </w:drawing>
      </w:r>
    </w:p>
    <w:p/>
    <w:p/>
    <w:p/>
    <w:p/>
    <w:p/>
    <w:p/>
    <w:p/>
    <w:p/>
    <w:p/>
    <w:p/>
    <w:p/>
    <w:p/>
    <w:p/>
    <w:p/>
    <w:p/>
    <w:p/>
    <w:p>
      <w:r>
        <w:rPr>
          <w:rFonts w:hint="eastAsia"/>
        </w:rPr>
        <w:drawing>
          <wp:inline distT="0" distB="0" distL="0" distR="0">
            <wp:extent cx="8863330" cy="4934585"/>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srcRect/>
                    <a:stretch>
                      <a:fillRect/>
                    </a:stretch>
                  </pic:blipFill>
                  <pic:spPr>
                    <a:xfrm>
                      <a:off x="0" y="0"/>
                      <a:ext cx="8863330" cy="4934766"/>
                    </a:xfrm>
                    <a:prstGeom prst="rect">
                      <a:avLst/>
                    </a:prstGeom>
                    <a:noFill/>
                    <a:ln w="9525">
                      <a:noFill/>
                      <a:miter lim="800000"/>
                      <a:headEnd/>
                      <a:tailEnd/>
                    </a:ln>
                  </pic:spPr>
                </pic:pic>
              </a:graphicData>
            </a:graphic>
          </wp:inline>
        </w:drawing>
      </w:r>
    </w:p>
    <w:p/>
    <w:p/>
    <w:p/>
    <w:p/>
    <w:p/>
    <w:p/>
    <w:p/>
    <w:p/>
    <w:p/>
    <w:p>
      <w:r>
        <w:rPr>
          <w:rFonts w:hint="eastAsia"/>
        </w:rPr>
        <w:drawing>
          <wp:inline distT="0" distB="0" distL="0" distR="0">
            <wp:extent cx="8863330" cy="188341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0"/>
                    <a:srcRect/>
                    <a:stretch>
                      <a:fillRect/>
                    </a:stretch>
                  </pic:blipFill>
                  <pic:spPr>
                    <a:xfrm>
                      <a:off x="0" y="0"/>
                      <a:ext cx="8863330" cy="1883725"/>
                    </a:xfrm>
                    <a:prstGeom prst="rect">
                      <a:avLst/>
                    </a:prstGeom>
                    <a:noFill/>
                    <a:ln w="9525">
                      <a:noFill/>
                      <a:miter lim="800000"/>
                      <a:headEnd/>
                      <a:tailEnd/>
                    </a:ln>
                  </pic:spPr>
                </pic:pic>
              </a:graphicData>
            </a:graphic>
          </wp:inline>
        </w:drawing>
      </w:r>
    </w:p>
    <w:p/>
    <w:p/>
    <w:tbl>
      <w:tblPr>
        <w:tblStyle w:val="7"/>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tblPrEx>
          <w:shd w:val="clear" w:color="auto" w:fill="auto"/>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黄石市花湖小学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
    <w:p>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2019年部门决算情况说明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2019年度财政收入预算数377.40万元，其中人员经费347.84万元，公用经费29.56万元；2019年度财政支出预算数377.4万元，其中人员经费347.84万元，公用经费29.56万元。2018年度财政收入预算数326.59万元，其中人员经费</w:t>
      </w:r>
      <w:r>
        <w:rPr>
          <w:rFonts w:hint="eastAsia" w:asciiTheme="minorEastAsia" w:hAnsiTheme="minorEastAsia" w:cstheme="minorEastAsia"/>
          <w:sz w:val="28"/>
          <w:szCs w:val="28"/>
        </w:rPr>
        <w:t>300.07万</w:t>
      </w:r>
      <w:r>
        <w:rPr>
          <w:rFonts w:hint="eastAsia" w:asciiTheme="minorEastAsia" w:hAnsiTheme="minorEastAsia" w:cstheme="minorEastAsia"/>
          <w:sz w:val="28"/>
          <w:szCs w:val="28"/>
          <w:shd w:val="clear" w:color="auto" w:fill="FFFFFF"/>
        </w:rPr>
        <w:t>元，公用经费26.52万元；2018年度财政支出预算数326.59万元，其中人员经费</w:t>
      </w:r>
      <w:r>
        <w:rPr>
          <w:rFonts w:hint="eastAsia" w:asciiTheme="minorEastAsia" w:hAnsiTheme="minorEastAsia" w:cstheme="minorEastAsia"/>
          <w:sz w:val="28"/>
          <w:szCs w:val="28"/>
        </w:rPr>
        <w:t>300.07万</w:t>
      </w:r>
      <w:r>
        <w:rPr>
          <w:rFonts w:hint="eastAsia" w:asciiTheme="minorEastAsia" w:hAnsiTheme="minorEastAsia" w:cstheme="minorEastAsia"/>
          <w:sz w:val="28"/>
          <w:szCs w:val="28"/>
          <w:shd w:val="clear" w:color="auto" w:fill="FFFFFF"/>
        </w:rPr>
        <w:t>元，公用经费26.52万元。2019收入预算数比上年增加50.81万元，2019支出预算数比上年增加50.81万元。</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1、收入与预算对比分析</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2019年全年总收入645.85万元。其中财政决算收入608.62万元，其他收入37.23万元。2019年全年决算总支出645.85万元，其中财政决算支出608.62万元，其他资金支出37.23万元。2019年度财政收入预算数377.4万元，财拔决算比预算多231.22万元，增幅61.27%，原因为学校教师和学生人数增加加大了工资及日常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sz w:val="28"/>
          <w:szCs w:val="28"/>
          <w:shd w:val="clear" w:color="auto" w:fill="FFFFFF"/>
        </w:rPr>
        <w:t>2019年全年总收入645.85万元。其中财政决算收入608.62元，其他收入37.23万元；2019年全年决算总支出645.85万元，其中财政决算支出608.62万元，其他资金支出37.23万元。</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pPr>
        <w:widowControl/>
        <w:shd w:val="clear" w:color="auto" w:fill="FFFFFF"/>
        <w:ind w:firstLine="480"/>
        <w:jc w:val="left"/>
        <w:rPr>
          <w:rFonts w:ascii="宋体" w:hAnsi="宋体" w:cs="宋体"/>
          <w:color w:val="333333"/>
          <w:kern w:val="0"/>
          <w:sz w:val="28"/>
          <w:szCs w:val="28"/>
        </w:rPr>
      </w:pPr>
      <w:r>
        <w:rPr>
          <w:rFonts w:hint="eastAsia" w:asciiTheme="minorEastAsia" w:hAnsiTheme="minorEastAsia" w:cstheme="minorEastAsia"/>
          <w:sz w:val="28"/>
          <w:szCs w:val="28"/>
          <w:shd w:val="clear" w:color="auto" w:fill="FFFFFF"/>
        </w:rPr>
        <w:t>2019年度“三公”经费4.06万，</w:t>
      </w:r>
      <w:r>
        <w:rPr>
          <w:rFonts w:hint="eastAsia" w:asciiTheme="minorEastAsia" w:hAnsiTheme="minorEastAsia" w:cstheme="minorEastAsia"/>
          <w:sz w:val="28"/>
          <w:szCs w:val="28"/>
        </w:rPr>
        <w:t>系学校教师各类各级培训费。2018年培训费为7.7万元，同比减少47.27%。</w:t>
      </w:r>
    </w:p>
    <w:p>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关于机关运行经费支出说明</w:t>
      </w:r>
    </w:p>
    <w:p>
      <w:pPr>
        <w:ind w:firstLine="537" w:firstLineChars="192"/>
        <w:rPr>
          <w:rFonts w:cs="仿宋" w:asciiTheme="minorEastAsia" w:hAnsiTheme="minorEastAsia"/>
          <w:sz w:val="28"/>
          <w:szCs w:val="28"/>
        </w:rPr>
      </w:pPr>
      <w:r>
        <w:rPr>
          <w:rFonts w:hint="eastAsia" w:asciiTheme="minorEastAsia" w:hAnsiTheme="minorEastAsia" w:cstheme="minorEastAsia"/>
          <w:color w:val="333333"/>
          <w:kern w:val="0"/>
          <w:sz w:val="28"/>
          <w:szCs w:val="28"/>
        </w:rPr>
        <w:t>本部门2019年度机关运行经费支出608.62万元，人员经费353.25万元用于发放工资福利，公用经费229.5万元其中：办公费7.58万元、印刷费1.67万元、水电费8.28、邮电费0.41万元、维修（护）费4.82万元、租赁费0.2万元、培训费4.06万元、专用材料费18.53劳务费164.50万元、工会经费4.15万元、福利费2.27万元、其他商品和服务支出13.03万元。</w:t>
      </w:r>
      <w:r>
        <w:rPr>
          <w:rFonts w:hint="eastAsia" w:cs="仿宋" w:asciiTheme="minorEastAsia" w:hAnsiTheme="minorEastAsia"/>
          <w:bCs/>
          <w:sz w:val="28"/>
          <w:szCs w:val="28"/>
        </w:rPr>
        <w:t>2018年支出227.35</w:t>
      </w:r>
      <w:r>
        <w:rPr>
          <w:rFonts w:hint="eastAsia" w:asciiTheme="minorEastAsia" w:hAnsiTheme="minorEastAsia"/>
          <w:sz w:val="28"/>
          <w:szCs w:val="28"/>
        </w:rPr>
        <w:t>万元；</w:t>
      </w:r>
      <w:r>
        <w:rPr>
          <w:rFonts w:hint="eastAsia" w:cs="仿宋" w:asciiTheme="minorEastAsia" w:hAnsiTheme="minorEastAsia"/>
          <w:bCs/>
          <w:sz w:val="28"/>
          <w:szCs w:val="28"/>
        </w:rPr>
        <w:t>对比增加2.15万元。因教职及学生人数的增加形成。</w:t>
      </w:r>
    </w:p>
    <w:p>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关于政府采购支出说明</w:t>
      </w:r>
    </w:p>
    <w:p>
      <w:pPr>
        <w:widowControl/>
        <w:shd w:val="clear" w:color="auto" w:fill="FFFFFF"/>
        <w:snapToGrid w:val="0"/>
        <w:spacing w:line="560" w:lineRule="atLeast"/>
        <w:ind w:left="640" w:leftChars="305"/>
        <w:jc w:val="left"/>
        <w:rPr>
          <w:rFonts w:asciiTheme="minorEastAsia" w:hAnsiTheme="minorEastAsia" w:cstheme="minorEastAsia"/>
          <w:b/>
          <w:bCs/>
          <w:sz w:val="28"/>
          <w:szCs w:val="28"/>
          <w:shd w:val="clear" w:color="auto" w:fill="FFFFFF"/>
        </w:rPr>
      </w:pPr>
      <w:r>
        <w:rPr>
          <w:rFonts w:hint="eastAsia" w:asciiTheme="minorEastAsia" w:hAnsiTheme="minorEastAsia" w:cstheme="minorEastAsia"/>
          <w:color w:val="333333"/>
          <w:kern w:val="0"/>
          <w:sz w:val="28"/>
          <w:szCs w:val="28"/>
        </w:rPr>
        <w:t>本部门2019年度政府采购支出总额20.08万元，其中：政府采购货物支出20.19万元、政府采购服务支出1.89万元。</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pPr>
        <w:spacing w:line="360" w:lineRule="auto"/>
        <w:ind w:firstLine="405"/>
        <w:jc w:val="left"/>
        <w:rPr>
          <w:rFonts w:ascii="宋体" w:hAnsi="宋体" w:eastAsia="宋体" w:cs="宋体"/>
          <w:sz w:val="28"/>
          <w:szCs w:val="28"/>
        </w:rPr>
      </w:pPr>
      <w:r>
        <w:rPr>
          <w:rFonts w:ascii="宋体" w:hAnsi="宋体" w:eastAsia="宋体" w:cs="宋体"/>
          <w:sz w:val="28"/>
          <w:szCs w:val="28"/>
        </w:rPr>
        <w:t>截止2019 年 12 月 31 日，</w:t>
      </w:r>
      <w:r>
        <w:rPr>
          <w:rFonts w:hint="eastAsia" w:ascii="宋体" w:hAnsi="宋体" w:eastAsia="宋体" w:cs="宋体"/>
          <w:sz w:val="28"/>
          <w:szCs w:val="28"/>
        </w:rPr>
        <w:t>固定资产原值369.35</w:t>
      </w:r>
      <w:r>
        <w:rPr>
          <w:rFonts w:ascii="宋体" w:hAnsi="宋体" w:eastAsia="宋体" w:cs="宋体"/>
          <w:sz w:val="28"/>
          <w:szCs w:val="28"/>
        </w:rPr>
        <w:t>万元</w:t>
      </w:r>
      <w:r>
        <w:rPr>
          <w:rFonts w:hint="eastAsia" w:ascii="宋体" w:hAnsi="宋体" w:eastAsia="宋体" w:cs="宋体"/>
          <w:sz w:val="28"/>
          <w:szCs w:val="28"/>
        </w:rPr>
        <w:t>，计提折旧270.13万元，净值99.22万元。</w:t>
      </w:r>
      <w:r>
        <w:rPr>
          <w:rFonts w:ascii="宋体" w:hAnsi="宋体" w:eastAsia="宋体" w:cs="宋体"/>
          <w:sz w:val="28"/>
          <w:szCs w:val="28"/>
        </w:rPr>
        <w:t>相比 2018 年，</w:t>
      </w:r>
      <w:r>
        <w:rPr>
          <w:rFonts w:hint="eastAsia" w:ascii="宋体" w:hAnsi="宋体" w:eastAsia="宋体" w:cs="宋体"/>
          <w:sz w:val="28"/>
          <w:szCs w:val="28"/>
        </w:rPr>
        <w:t>固定资产原值</w:t>
      </w:r>
      <w:r>
        <w:rPr>
          <w:rFonts w:ascii="宋体" w:hAnsi="宋体" w:eastAsia="宋体" w:cs="宋体"/>
          <w:sz w:val="28"/>
          <w:szCs w:val="28"/>
        </w:rPr>
        <w:t>增长了</w:t>
      </w:r>
      <w:r>
        <w:rPr>
          <w:rFonts w:hint="eastAsia" w:ascii="宋体" w:hAnsi="宋体" w:eastAsia="宋体" w:cs="宋体"/>
          <w:sz w:val="28"/>
          <w:szCs w:val="28"/>
        </w:rPr>
        <w:t>24.04</w:t>
      </w:r>
      <w:r>
        <w:rPr>
          <w:rFonts w:ascii="宋体" w:hAnsi="宋体" w:eastAsia="宋体" w:cs="宋体"/>
          <w:sz w:val="28"/>
          <w:szCs w:val="28"/>
        </w:rPr>
        <w:t>万元,增长了</w:t>
      </w:r>
      <w:r>
        <w:rPr>
          <w:rFonts w:hint="eastAsia" w:ascii="宋体" w:hAnsi="宋体" w:eastAsia="宋体" w:cs="宋体"/>
          <w:sz w:val="28"/>
          <w:szCs w:val="28"/>
        </w:rPr>
        <w:t>6.96</w:t>
      </w:r>
      <w:r>
        <w:rPr>
          <w:rFonts w:ascii="宋体" w:hAnsi="宋体" w:eastAsia="宋体" w:cs="宋体"/>
          <w:sz w:val="28"/>
          <w:szCs w:val="28"/>
        </w:rPr>
        <w:t>%。资产增长的主要因素为:学校添置固定资产24.04万元</w:t>
      </w:r>
    </w:p>
    <w:p>
      <w:pPr>
        <w:spacing w:line="360" w:lineRule="auto"/>
        <w:ind w:firstLine="405"/>
        <w:jc w:val="left"/>
        <w:rPr>
          <w:rFonts w:ascii="宋体" w:hAnsi="宋体" w:eastAsia="宋体" w:cs="宋体"/>
          <w:sz w:val="20"/>
        </w:rPr>
      </w:pPr>
    </w:p>
    <w:p>
      <w:pPr>
        <w:pStyle w:val="6"/>
        <w:widowControl/>
        <w:spacing w:beforeAutospacing="0" w:afterAutospacing="0"/>
        <w:ind w:firstLine="560"/>
        <w:rPr>
          <w:rFonts w:asciiTheme="minorEastAsia" w:hAnsiTheme="minorEastAsia" w:cstheme="minorEastAsia"/>
          <w:sz w:val="28"/>
          <w:szCs w:val="28"/>
          <w:shd w:val="clear" w:color="auto" w:fill="FFFFFF"/>
        </w:rPr>
      </w:pPr>
      <w:bookmarkStart w:id="0" w:name="_GoBack"/>
      <w:bookmarkEnd w:id="0"/>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639D421D"/>
    <w:multiLevelType w:val="multilevel"/>
    <w:tmpl w:val="639D421D"/>
    <w:lvl w:ilvl="0" w:tentative="0">
      <w:start w:val="1"/>
      <w:numFmt w:val="japaneseCounting"/>
      <w:lvlText w:val="（%1）"/>
      <w:lvlJc w:val="left"/>
      <w:pPr>
        <w:ind w:left="1495" w:hanging="85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5A91B32"/>
    <w:rsid w:val="000079F7"/>
    <w:rsid w:val="000C2EA0"/>
    <w:rsid w:val="000D050B"/>
    <w:rsid w:val="0010559D"/>
    <w:rsid w:val="001440D4"/>
    <w:rsid w:val="0016718B"/>
    <w:rsid w:val="001A701A"/>
    <w:rsid w:val="001C5253"/>
    <w:rsid w:val="002253EE"/>
    <w:rsid w:val="002F2E0D"/>
    <w:rsid w:val="003A001B"/>
    <w:rsid w:val="003C0DCC"/>
    <w:rsid w:val="004062F7"/>
    <w:rsid w:val="004064F1"/>
    <w:rsid w:val="004147E5"/>
    <w:rsid w:val="00420AFB"/>
    <w:rsid w:val="0045385B"/>
    <w:rsid w:val="00484BB3"/>
    <w:rsid w:val="004C4D5D"/>
    <w:rsid w:val="004D3B86"/>
    <w:rsid w:val="004D4883"/>
    <w:rsid w:val="004E288B"/>
    <w:rsid w:val="00507977"/>
    <w:rsid w:val="006256D2"/>
    <w:rsid w:val="006F67EC"/>
    <w:rsid w:val="007116E0"/>
    <w:rsid w:val="00812E7F"/>
    <w:rsid w:val="00895ECE"/>
    <w:rsid w:val="008D5DA0"/>
    <w:rsid w:val="008E6D25"/>
    <w:rsid w:val="009311D8"/>
    <w:rsid w:val="00A83E9A"/>
    <w:rsid w:val="00AB29AA"/>
    <w:rsid w:val="00AF7E96"/>
    <w:rsid w:val="00B1033F"/>
    <w:rsid w:val="00B8070A"/>
    <w:rsid w:val="00D441FB"/>
    <w:rsid w:val="00D8374B"/>
    <w:rsid w:val="00DC498D"/>
    <w:rsid w:val="00DE75A1"/>
    <w:rsid w:val="00F019E5"/>
    <w:rsid w:val="00F9167A"/>
    <w:rsid w:val="16F6279A"/>
    <w:rsid w:val="1CE10904"/>
    <w:rsid w:val="20425963"/>
    <w:rsid w:val="28385A6F"/>
    <w:rsid w:val="2ED40676"/>
    <w:rsid w:val="30920D9D"/>
    <w:rsid w:val="35687F4F"/>
    <w:rsid w:val="35A91B32"/>
    <w:rsid w:val="37333E90"/>
    <w:rsid w:val="385311FE"/>
    <w:rsid w:val="4D7C648F"/>
    <w:rsid w:val="55A925D9"/>
    <w:rsid w:val="571A201F"/>
    <w:rsid w:val="5CF6057B"/>
    <w:rsid w:val="610738E0"/>
    <w:rsid w:val="649C7F93"/>
    <w:rsid w:val="657A57B6"/>
    <w:rsid w:val="70884955"/>
    <w:rsid w:val="757E759E"/>
    <w:rsid w:val="76F76D0B"/>
    <w:rsid w:val="77AC7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FD7D7-0A2A-4F1A-AA76-128D813888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2300</Words>
  <Characters>492</Characters>
  <Lines>4</Lines>
  <Paragraphs>5</Paragraphs>
  <TotalTime>0</TotalTime>
  <ScaleCrop>false</ScaleCrop>
  <LinksUpToDate>false</LinksUpToDate>
  <CharactersWithSpaces>2787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2020-10-13T07:54:00Z</dcterms:created>
  <dc:creator>米</dc:creator>
  <cp:lastModifiedBy>盼</cp:lastModifiedBy>
  <dcterms:modified xsi:type="dcterms:W3CDTF">2021-05-17T08:10:46Z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