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bdr w:val="none" w:color="auto" w:sz="0" w:space="0"/>
          <w:shd w:val="clear" w:fill="FFFFFF"/>
          <w:lang w:eastAsia="zh-CN"/>
        </w:rPr>
        <w:t>科技局</w:t>
      </w:r>
      <w:r>
        <w:rPr>
          <w:rFonts w:hint="eastAsia" w:ascii="微软雅黑" w:hAnsi="微软雅黑" w:eastAsia="微软雅黑" w:cs="微软雅黑"/>
          <w:b/>
          <w:i w:val="0"/>
          <w:caps w:val="0"/>
          <w:color w:val="BC1010"/>
          <w:spacing w:val="0"/>
          <w:sz w:val="40"/>
          <w:szCs w:val="40"/>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黄石港区科技局</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第一部分:部门基本情况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一、部门主要职责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二、部门决算单位构成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第二部分: 部门2017年部门决算表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一、收入支出决算总表（表1）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二、收入决算表（表2）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三、支出决算表（表3）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四、财政拨款收入支出决算总表（表4）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五、一般公共预算财政拨款支出决算表（表5）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六、一般公共预算财政拨款基本支出决算表（表6）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七、一般公共预算财政拨款“三公”经费支出决算表（表7）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八、政府性基金预算财政拨款收入支出决算表（8）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第三部分：部门2017年部门决算情况说明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一、</w:t>
      </w:r>
      <w:r>
        <w:rPr>
          <w:rFonts w:hint="eastAsia" w:ascii="微软雅黑" w:hAnsi="微软雅黑" w:eastAsia="微软雅黑" w:cs="微软雅黑"/>
          <w:b w:val="0"/>
          <w:i w:val="0"/>
          <w:caps w:val="0"/>
          <w:color w:val="333333"/>
          <w:spacing w:val="0"/>
          <w:sz w:val="24"/>
          <w:szCs w:val="24"/>
          <w:shd w:val="clear" w:fill="FFFFFF"/>
        </w:rPr>
        <w:t>预算执行情况分析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二、</w:t>
      </w:r>
      <w:r>
        <w:rPr>
          <w:rFonts w:hint="eastAsia" w:ascii="微软雅黑" w:hAnsi="微软雅黑" w:eastAsia="微软雅黑" w:cs="微软雅黑"/>
          <w:b w:val="0"/>
          <w:i w:val="0"/>
          <w:caps w:val="0"/>
          <w:color w:val="333333"/>
          <w:spacing w:val="0"/>
          <w:sz w:val="24"/>
          <w:szCs w:val="24"/>
          <w:shd w:val="clear" w:fill="FFFFFF"/>
        </w:rPr>
        <w:t>关于“三公”经费支出说明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三、</w:t>
      </w:r>
      <w:r>
        <w:rPr>
          <w:rFonts w:hint="eastAsia" w:ascii="微软雅黑" w:hAnsi="微软雅黑" w:eastAsia="微软雅黑" w:cs="微软雅黑"/>
          <w:b w:val="0"/>
          <w:i w:val="0"/>
          <w:caps w:val="0"/>
          <w:color w:val="333333"/>
          <w:spacing w:val="0"/>
          <w:sz w:val="24"/>
          <w:szCs w:val="24"/>
          <w:shd w:val="clear" w:fill="FFFFFF"/>
        </w:rPr>
        <w:t>关于机关运行经费支出说明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关于政府采购支出说明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第四部分：名词解释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第一部分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部门概况</w:t>
      </w:r>
    </w:p>
    <w:p>
      <w:pPr>
        <w:spacing w:line="440" w:lineRule="exact"/>
        <w:ind w:firstLine="360" w:firstLineChars="150"/>
        <w:rPr>
          <w:rFonts w:hint="eastAsia" w:ascii="仿宋" w:hAnsi="仿宋" w:eastAsia="仿宋"/>
          <w:b/>
          <w:sz w:val="27"/>
          <w:szCs w:val="27"/>
        </w:rPr>
      </w:pPr>
      <w:r>
        <w:rPr>
          <w:rFonts w:hint="eastAsia" w:ascii="宋体" w:hAnsi="宋体" w:cs="宋体"/>
          <w:color w:val="333333"/>
          <w:kern w:val="0"/>
          <w:sz w:val="24"/>
        </w:rPr>
        <w:t>　</w:t>
      </w:r>
      <w:r>
        <w:rPr>
          <w:rFonts w:hint="eastAsia" w:ascii="仿宋" w:hAnsi="仿宋" w:eastAsia="仿宋" w:cs="宋体"/>
          <w:color w:val="333333"/>
          <w:kern w:val="0"/>
          <w:sz w:val="24"/>
        </w:rPr>
        <w:t>（</w:t>
      </w:r>
      <w:r>
        <w:rPr>
          <w:rFonts w:hint="eastAsia" w:ascii="仿宋" w:hAnsi="仿宋" w:eastAsia="仿宋"/>
          <w:sz w:val="27"/>
          <w:szCs w:val="27"/>
        </w:rPr>
        <w:t>一）</w:t>
      </w:r>
      <w:r>
        <w:rPr>
          <w:rFonts w:hint="eastAsia" w:ascii="仿宋" w:hAnsi="仿宋" w:eastAsia="仿宋"/>
          <w:b/>
          <w:sz w:val="27"/>
          <w:szCs w:val="27"/>
        </w:rPr>
        <w:t>主要职责</w:t>
      </w:r>
    </w:p>
    <w:p>
      <w:pPr>
        <w:spacing w:line="440" w:lineRule="exact"/>
        <w:ind w:firstLine="407" w:firstLineChars="150"/>
        <w:rPr>
          <w:rFonts w:hint="eastAsia" w:ascii="仿宋" w:hAnsi="仿宋" w:eastAsia="仿宋"/>
          <w:color w:val="000000"/>
          <w:spacing w:val="2"/>
          <w:sz w:val="28"/>
          <w:szCs w:val="28"/>
        </w:rPr>
      </w:pPr>
      <w:r>
        <w:rPr>
          <w:rFonts w:hint="eastAsia" w:ascii="仿宋" w:hAnsi="仿宋" w:eastAsia="仿宋"/>
          <w:b/>
          <w:sz w:val="27"/>
          <w:szCs w:val="27"/>
        </w:rPr>
        <w:t xml:space="preserve"> </w:t>
      </w:r>
      <w:r>
        <w:rPr>
          <w:rFonts w:hint="eastAsia" w:ascii="仿宋" w:hAnsi="仿宋" w:eastAsia="仿宋"/>
          <w:sz w:val="27"/>
          <w:szCs w:val="27"/>
        </w:rPr>
        <w:t xml:space="preserve"> </w:t>
      </w:r>
      <w:r>
        <w:rPr>
          <w:rFonts w:hint="eastAsia" w:ascii="仿宋" w:hAnsi="仿宋" w:eastAsia="仿宋"/>
          <w:color w:val="000000"/>
          <w:spacing w:val="2"/>
          <w:sz w:val="28"/>
          <w:szCs w:val="28"/>
        </w:rPr>
        <w:t>区科技局是管理全区科技工作的区政府组成部门。主要职责是贯彻落实党和国家、省、市有关科技工作的各项方针、政策和法律、法规；研究提出全区科技发展战略和科技促进经济与社会发展的重大问题；研究制订全区科技发展和科技促进经济与社会发展的政策和措施；研究提出推进全区科技体制改革的政策、措施；组织编制全区科技发展中长期规划和年度计划，编制并组织申报、实施国家、省、市重点科技项目计划；编制全区科技开发计划指南并指导实施；研究多渠道增加科技投入的措施，负责管理审批科技“三项费用”和科学事业费；组织提出全区高新技术发展战略与规划及相关的政策措施；负责全区科技成果管理、科技奖励、科技保密工作；归口管理全区对外科技合作与交流，研究制定全区对外科技交流合作计划并组织实施；组织开展日常性、群众性科普活动。推广先进技术，开展青少年科学技术教育活动，参与制定全区科普工作总体规划和工作计划，承办黄石港区科技活动周。</w:t>
      </w:r>
    </w:p>
    <w:p>
      <w:pPr>
        <w:spacing w:line="440" w:lineRule="exact"/>
        <w:ind w:firstLine="542" w:firstLineChars="200"/>
        <w:rPr>
          <w:rFonts w:hint="eastAsia" w:ascii="仿宋" w:hAnsi="仿宋" w:eastAsia="仿宋"/>
          <w:b/>
          <w:color w:val="000000"/>
          <w:spacing w:val="2"/>
          <w:sz w:val="28"/>
          <w:szCs w:val="28"/>
        </w:rPr>
      </w:pPr>
      <w:r>
        <w:rPr>
          <w:rFonts w:hint="eastAsia" w:ascii="仿宋" w:hAnsi="仿宋" w:eastAsia="仿宋"/>
          <w:b/>
          <w:sz w:val="27"/>
          <w:szCs w:val="27"/>
        </w:rPr>
        <w:t>（二）单位基本信息</w:t>
      </w:r>
      <w:r>
        <w:rPr>
          <w:rFonts w:hint="eastAsia" w:ascii="仿宋" w:hAnsi="仿宋" w:eastAsia="仿宋"/>
          <w:b/>
          <w:color w:val="000000"/>
          <w:spacing w:val="2"/>
          <w:sz w:val="28"/>
          <w:szCs w:val="28"/>
        </w:rPr>
        <w:t xml:space="preserve"> </w:t>
      </w:r>
    </w:p>
    <w:p>
      <w:pPr>
        <w:spacing w:line="440" w:lineRule="exact"/>
        <w:ind w:firstLine="568" w:firstLineChars="200"/>
        <w:rPr>
          <w:rFonts w:hint="eastAsia" w:ascii="仿宋" w:hAnsi="仿宋" w:eastAsia="仿宋"/>
          <w:color w:val="000000"/>
          <w:spacing w:val="2"/>
          <w:sz w:val="28"/>
          <w:szCs w:val="28"/>
        </w:rPr>
      </w:pPr>
      <w:r>
        <w:rPr>
          <w:rFonts w:hint="eastAsia" w:ascii="仿宋" w:hAnsi="仿宋" w:eastAsia="仿宋"/>
          <w:color w:val="000000"/>
          <w:spacing w:val="2"/>
          <w:sz w:val="28"/>
          <w:szCs w:val="28"/>
        </w:rPr>
        <w:t>区科技局与区科协合署办公，下属知识产权局。现有总人数7人。其中局长（兼科协主席）1人，副局长2人，领导班子成员3人。副处非领导1人，正科级干部1人，科员2人。</w:t>
      </w:r>
    </w:p>
    <w:p>
      <w:pPr>
        <w:ind w:firstLine="480"/>
        <w:rPr>
          <w:rFonts w:hint="eastAsia"/>
          <w:color w:val="333333"/>
          <w:sz w:val="28"/>
          <w:szCs w:val="28"/>
        </w:rPr>
      </w:pPr>
    </w:p>
    <w:p>
      <w:pPr>
        <w:widowControl/>
        <w:shd w:val="clear" w:color="auto" w:fill="FFFFFF"/>
        <w:jc w:val="left"/>
        <w:rPr>
          <w:rFonts w:hint="eastAsia" w:ascii="宋体" w:hAnsi="宋体" w:cs="宋体"/>
          <w:color w:val="333333"/>
          <w:kern w:val="0"/>
          <w:sz w:val="30"/>
          <w:szCs w:val="30"/>
        </w:rPr>
      </w:pPr>
      <w:r>
        <w:rPr>
          <w:rFonts w:hint="eastAsia" w:ascii="宋体" w:hAnsi="宋体" w:cs="宋体"/>
          <w:color w:val="333333"/>
          <w:kern w:val="0"/>
          <w:sz w:val="30"/>
          <w:szCs w:val="30"/>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bdr w:val="none" w:color="auto" w:sz="0" w:space="0"/>
          <w:shd w:val="clear" w:fill="FFFFFF"/>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第二部分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color w:val="333333"/>
          <w:sz w:val="24"/>
          <w:szCs w:val="24"/>
        </w:rPr>
        <w:sectPr>
          <w:pgSz w:w="16838" w:h="11906" w:orient="landscape"/>
          <w:pgMar w:top="1800" w:right="1440" w:bottom="1800" w:left="1440" w:header="851" w:footer="992" w:gutter="0"/>
          <w:cols w:space="425" w:num="1"/>
          <w:docGrid w:type="lines" w:linePitch="312" w:charSpace="0"/>
        </w:sectPr>
      </w:pPr>
      <w:r>
        <w:drawing>
          <wp:inline distT="0" distB="0" distL="114300" distR="114300">
            <wp:extent cx="5889625" cy="5269865"/>
            <wp:effectExtent l="0" t="0" r="15875" b="6985"/>
            <wp:docPr id="285" name="图片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图片 285"/>
                    <pic:cNvPicPr>
                      <a:picLocks noChangeAspect="1"/>
                    </pic:cNvPicPr>
                  </pic:nvPicPr>
                  <pic:blipFill>
                    <a:blip r:embed="rId4"/>
                    <a:stretch>
                      <a:fillRect/>
                    </a:stretch>
                  </pic:blipFill>
                  <pic:spPr>
                    <a:xfrm>
                      <a:off x="0" y="0"/>
                      <a:ext cx="5889625" cy="5269865"/>
                    </a:xfrm>
                    <a:prstGeom prst="rect">
                      <a:avLst/>
                    </a:prstGeom>
                    <a:noFill/>
                    <a:ln w="9525">
                      <a:noFill/>
                    </a:ln>
                  </pic:spPr>
                </pic:pic>
              </a:graphicData>
            </a:graphic>
          </wp:inline>
        </w:drawing>
      </w:r>
      <w:r>
        <w:drawing>
          <wp:inline distT="0" distB="0" distL="114300" distR="114300">
            <wp:extent cx="8852535" cy="2298065"/>
            <wp:effectExtent l="0" t="0" r="5715" b="6985"/>
            <wp:docPr id="286" name="图片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286"/>
                    <pic:cNvPicPr>
                      <a:picLocks noChangeAspect="1"/>
                    </pic:cNvPicPr>
                  </pic:nvPicPr>
                  <pic:blipFill>
                    <a:blip r:embed="rId5"/>
                    <a:stretch>
                      <a:fillRect/>
                    </a:stretch>
                  </pic:blipFill>
                  <pic:spPr>
                    <a:xfrm>
                      <a:off x="0" y="0"/>
                      <a:ext cx="8852535" cy="2298065"/>
                    </a:xfrm>
                    <a:prstGeom prst="rect">
                      <a:avLst/>
                    </a:prstGeom>
                    <a:noFill/>
                    <a:ln w="9525">
                      <a:noFill/>
                    </a:ln>
                  </pic:spPr>
                </pic:pic>
              </a:graphicData>
            </a:graphic>
          </wp:inline>
        </w:drawing>
      </w:r>
      <w:r>
        <w:drawing>
          <wp:inline distT="0" distB="0" distL="114300" distR="114300">
            <wp:extent cx="8858250" cy="2652395"/>
            <wp:effectExtent l="0" t="0" r="0" b="14605"/>
            <wp:docPr id="287" name="图片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图片 287"/>
                    <pic:cNvPicPr>
                      <a:picLocks noChangeAspect="1"/>
                    </pic:cNvPicPr>
                  </pic:nvPicPr>
                  <pic:blipFill>
                    <a:blip r:embed="rId6"/>
                    <a:stretch>
                      <a:fillRect/>
                    </a:stretch>
                  </pic:blipFill>
                  <pic:spPr>
                    <a:xfrm>
                      <a:off x="0" y="0"/>
                      <a:ext cx="8858250" cy="2652395"/>
                    </a:xfrm>
                    <a:prstGeom prst="rect">
                      <a:avLst/>
                    </a:prstGeom>
                    <a:noFill/>
                    <a:ln w="9525">
                      <a:noFill/>
                    </a:ln>
                  </pic:spPr>
                </pic:pic>
              </a:graphicData>
            </a:graphic>
          </wp:inline>
        </w:drawing>
      </w:r>
      <w:r>
        <w:drawing>
          <wp:inline distT="0" distB="0" distL="114300" distR="114300">
            <wp:extent cx="6457950" cy="5124450"/>
            <wp:effectExtent l="0" t="0" r="0" b="0"/>
            <wp:docPr id="288" name="图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288"/>
                    <pic:cNvPicPr>
                      <a:picLocks noChangeAspect="1"/>
                    </pic:cNvPicPr>
                  </pic:nvPicPr>
                  <pic:blipFill>
                    <a:blip r:embed="rId7"/>
                    <a:stretch>
                      <a:fillRect/>
                    </a:stretch>
                  </pic:blipFill>
                  <pic:spPr>
                    <a:xfrm>
                      <a:off x="0" y="0"/>
                      <a:ext cx="6457950" cy="5124450"/>
                    </a:xfrm>
                    <a:prstGeom prst="rect">
                      <a:avLst/>
                    </a:prstGeom>
                    <a:noFill/>
                    <a:ln w="9525">
                      <a:noFill/>
                    </a:ln>
                  </pic:spPr>
                </pic:pic>
              </a:graphicData>
            </a:graphic>
          </wp:inline>
        </w:drawing>
      </w:r>
      <w:r>
        <w:drawing>
          <wp:inline distT="0" distB="0" distL="114300" distR="114300">
            <wp:extent cx="5934075" cy="3152775"/>
            <wp:effectExtent l="0" t="0" r="9525" b="9525"/>
            <wp:docPr id="289" name="图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图片 289"/>
                    <pic:cNvPicPr>
                      <a:picLocks noChangeAspect="1"/>
                    </pic:cNvPicPr>
                  </pic:nvPicPr>
                  <pic:blipFill>
                    <a:blip r:embed="rId8"/>
                    <a:stretch>
                      <a:fillRect/>
                    </a:stretch>
                  </pic:blipFill>
                  <pic:spPr>
                    <a:xfrm>
                      <a:off x="0" y="0"/>
                      <a:ext cx="5934075" cy="3152775"/>
                    </a:xfrm>
                    <a:prstGeom prst="rect">
                      <a:avLst/>
                    </a:prstGeom>
                    <a:noFill/>
                    <a:ln w="9525">
                      <a:noFill/>
                    </a:ln>
                  </pic:spPr>
                </pic:pic>
              </a:graphicData>
            </a:graphic>
          </wp:inline>
        </w:drawing>
      </w:r>
      <w:r>
        <w:drawing>
          <wp:inline distT="0" distB="0" distL="114300" distR="114300">
            <wp:extent cx="8858885" cy="5034280"/>
            <wp:effectExtent l="0" t="0" r="18415" b="13970"/>
            <wp:docPr id="290" name="图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图片 290"/>
                    <pic:cNvPicPr>
                      <a:picLocks noChangeAspect="1"/>
                    </pic:cNvPicPr>
                  </pic:nvPicPr>
                  <pic:blipFill>
                    <a:blip r:embed="rId9"/>
                    <a:stretch>
                      <a:fillRect/>
                    </a:stretch>
                  </pic:blipFill>
                  <pic:spPr>
                    <a:xfrm>
                      <a:off x="0" y="0"/>
                      <a:ext cx="8858885" cy="5034280"/>
                    </a:xfrm>
                    <a:prstGeom prst="rect">
                      <a:avLst/>
                    </a:prstGeom>
                    <a:noFill/>
                    <a:ln w="9525">
                      <a:noFill/>
                    </a:ln>
                  </pic:spPr>
                </pic:pic>
              </a:graphicData>
            </a:graphic>
          </wp:inline>
        </w:drawing>
      </w:r>
      <w:r>
        <w:drawing>
          <wp:inline distT="0" distB="0" distL="114300" distR="114300">
            <wp:extent cx="8852535" cy="1779905"/>
            <wp:effectExtent l="0" t="0" r="5715" b="10795"/>
            <wp:docPr id="291" name="图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 291"/>
                    <pic:cNvPicPr>
                      <a:picLocks noChangeAspect="1"/>
                    </pic:cNvPicPr>
                  </pic:nvPicPr>
                  <pic:blipFill>
                    <a:blip r:embed="rId10"/>
                    <a:stretch>
                      <a:fillRect/>
                    </a:stretch>
                  </pic:blipFill>
                  <pic:spPr>
                    <a:xfrm>
                      <a:off x="0" y="0"/>
                      <a:ext cx="8852535" cy="1779905"/>
                    </a:xfrm>
                    <a:prstGeom prst="rect">
                      <a:avLst/>
                    </a:prstGeom>
                    <a:noFill/>
                    <a:ln w="9525">
                      <a:noFill/>
                    </a:ln>
                  </pic:spPr>
                </pic:pic>
              </a:graphicData>
            </a:graphic>
          </wp:inline>
        </w:drawing>
      </w:r>
      <w:r>
        <w:drawing>
          <wp:inline distT="0" distB="0" distL="114300" distR="114300">
            <wp:extent cx="8855710" cy="2178685"/>
            <wp:effectExtent l="0" t="0" r="2540" b="12065"/>
            <wp:docPr id="292" name="图片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 292"/>
                    <pic:cNvPicPr>
                      <a:picLocks noChangeAspect="1"/>
                    </pic:cNvPicPr>
                  </pic:nvPicPr>
                  <pic:blipFill>
                    <a:blip r:embed="rId11"/>
                    <a:stretch>
                      <a:fillRect/>
                    </a:stretch>
                  </pic:blipFill>
                  <pic:spPr>
                    <a:xfrm>
                      <a:off x="0" y="0"/>
                      <a:ext cx="8855710" cy="2178685"/>
                    </a:xfrm>
                    <a:prstGeom prst="rect">
                      <a:avLst/>
                    </a:prstGeom>
                    <a:noFill/>
                    <a:ln w="9525">
                      <a:noFill/>
                    </a:ln>
                  </pic:spPr>
                </pic:pic>
              </a:graphicData>
            </a:graphic>
          </wp:inline>
        </w:drawing>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第三部分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2017年部门决算情况说明</w:t>
      </w:r>
    </w:p>
    <w:p>
      <w:pPr>
        <w:widowControl/>
        <w:ind w:firstLine="556" w:firstLineChars="196"/>
        <w:rPr>
          <w:rFonts w:hint="eastAsia" w:ascii="仿宋" w:hAnsi="仿宋" w:eastAsia="仿宋"/>
          <w:color w:val="000000"/>
          <w:spacing w:val="2"/>
          <w:sz w:val="28"/>
          <w:szCs w:val="28"/>
        </w:rPr>
      </w:pPr>
      <w:r>
        <w:rPr>
          <w:rFonts w:hint="eastAsia" w:ascii="仿宋" w:hAnsi="仿宋" w:eastAsia="仿宋"/>
          <w:color w:val="000000"/>
          <w:spacing w:val="2"/>
          <w:sz w:val="28"/>
          <w:szCs w:val="28"/>
        </w:rPr>
        <w:t>2017年财政收入预算执行数731318.02元，其中人员经费572393元，公用经费158925.02元, 2017年财政支出预算执行数731318.02元，其中人员经费572393元，公用经费158925.02元；</w:t>
      </w:r>
    </w:p>
    <w:p>
      <w:pPr>
        <w:widowControl/>
        <w:ind w:firstLine="548" w:firstLineChars="196"/>
        <w:rPr>
          <w:rFonts w:hint="eastAsia" w:ascii="仿宋" w:hAnsi="仿宋" w:eastAsia="仿宋"/>
          <w:sz w:val="28"/>
          <w:szCs w:val="28"/>
        </w:rPr>
      </w:pPr>
      <w:r>
        <w:rPr>
          <w:rFonts w:hint="eastAsia" w:ascii="仿宋" w:hAnsi="仿宋" w:eastAsia="仿宋"/>
          <w:sz w:val="28"/>
          <w:szCs w:val="28"/>
        </w:rPr>
        <w:t>（一）</w:t>
      </w:r>
      <w:r>
        <w:rPr>
          <w:rFonts w:hint="eastAsia" w:ascii="仿宋" w:hAnsi="仿宋" w:eastAsia="仿宋"/>
          <w:b/>
          <w:sz w:val="28"/>
          <w:szCs w:val="28"/>
        </w:rPr>
        <w:t>预算执行情况分析</w:t>
      </w:r>
    </w:p>
    <w:p>
      <w:pPr>
        <w:widowControl/>
        <w:ind w:firstLine="556" w:firstLineChars="196"/>
        <w:rPr>
          <w:rFonts w:hint="eastAsia" w:ascii="仿宋" w:hAnsi="仿宋" w:eastAsia="仿宋"/>
          <w:color w:val="000000"/>
          <w:spacing w:val="2"/>
          <w:sz w:val="28"/>
          <w:szCs w:val="28"/>
        </w:rPr>
      </w:pPr>
      <w:r>
        <w:rPr>
          <w:rFonts w:hint="eastAsia" w:ascii="仿宋" w:hAnsi="仿宋" w:eastAsia="仿宋"/>
          <w:color w:val="000000"/>
          <w:spacing w:val="2"/>
          <w:sz w:val="28"/>
          <w:szCs w:val="28"/>
        </w:rPr>
        <w:t>2017年收入预算数执行比上年增加95533元.2017年支出预算数执行比上年增加95533元.</w:t>
      </w:r>
    </w:p>
    <w:p>
      <w:pPr>
        <w:widowControl/>
        <w:ind w:firstLine="279" w:firstLineChars="98"/>
        <w:rPr>
          <w:rFonts w:hint="eastAsia" w:ascii="仿宋" w:hAnsi="仿宋" w:eastAsia="仿宋"/>
          <w:b/>
          <w:color w:val="000000"/>
          <w:spacing w:val="2"/>
          <w:sz w:val="28"/>
          <w:szCs w:val="28"/>
        </w:rPr>
      </w:pPr>
      <w:r>
        <w:rPr>
          <w:rFonts w:hint="eastAsia" w:ascii="仿宋" w:hAnsi="仿宋" w:eastAsia="仿宋"/>
          <w:b/>
          <w:color w:val="000000"/>
          <w:spacing w:val="2"/>
          <w:sz w:val="28"/>
          <w:szCs w:val="28"/>
        </w:rPr>
        <w:t>1、收入支出与预算对比分析</w:t>
      </w:r>
    </w:p>
    <w:p>
      <w:pPr>
        <w:spacing w:line="440" w:lineRule="exact"/>
        <w:ind w:firstLine="568" w:firstLineChars="200"/>
        <w:rPr>
          <w:rFonts w:hint="eastAsia" w:ascii="仿宋" w:hAnsi="仿宋" w:eastAsia="仿宋"/>
          <w:color w:val="000000"/>
          <w:spacing w:val="2"/>
          <w:sz w:val="28"/>
          <w:szCs w:val="28"/>
        </w:rPr>
      </w:pPr>
      <w:r>
        <w:rPr>
          <w:rFonts w:hint="eastAsia" w:ascii="仿宋" w:hAnsi="仿宋" w:eastAsia="仿宋"/>
          <w:color w:val="000000"/>
          <w:spacing w:val="2"/>
          <w:sz w:val="28"/>
          <w:szCs w:val="28"/>
        </w:rPr>
        <w:t>2017年全年总收入2904116.58元,其中财拔款决算收入2886312.24元(基本支出行政运行2629112.24元,其它科学技术普及支出257200.00元 ,其它收入17804.34元, 2017年全年总支出3261914.5元,其中财拔款决算支出2886312.24元(基本支出行政运行2629112.24元, 其它科学技术普及支出257200.00元  ),其它支出375602.26元，2016年全年总收入2538521.00元,其中财拔款决算收入2278381.59元(基本支出行政运行1858381.59元, ,其它收入260139.41元, 2016年全年总支出2425187.63元,其中财拔款决算支出2278381.59元(基本支出行政运行1858381.59元),其它资金支出146806.04元,2017年财政预算数731318.02元，财拔决算比预算多1897794元,幅度为72%,原因为业务增加.</w:t>
      </w:r>
    </w:p>
    <w:p>
      <w:pPr>
        <w:spacing w:line="440" w:lineRule="exact"/>
        <w:ind w:firstLine="570" w:firstLineChars="200"/>
        <w:rPr>
          <w:rFonts w:hint="eastAsia" w:ascii="仿宋" w:hAnsi="仿宋" w:eastAsia="仿宋"/>
          <w:b/>
          <w:color w:val="000000"/>
          <w:spacing w:val="2"/>
          <w:sz w:val="28"/>
          <w:szCs w:val="28"/>
        </w:rPr>
      </w:pPr>
      <w:r>
        <w:rPr>
          <w:rFonts w:hint="eastAsia" w:ascii="仿宋" w:hAnsi="仿宋" w:eastAsia="仿宋"/>
          <w:b/>
          <w:color w:val="000000"/>
          <w:spacing w:val="2"/>
          <w:sz w:val="28"/>
          <w:szCs w:val="28"/>
        </w:rPr>
        <w:t>2、收入支出结构分析</w:t>
      </w:r>
    </w:p>
    <w:p>
      <w:pPr>
        <w:spacing w:line="440" w:lineRule="exact"/>
        <w:ind w:firstLine="568" w:firstLineChars="200"/>
        <w:rPr>
          <w:rFonts w:hint="eastAsia" w:ascii="仿宋" w:hAnsi="仿宋" w:eastAsia="仿宋"/>
          <w:color w:val="000000"/>
          <w:spacing w:val="2"/>
          <w:sz w:val="28"/>
          <w:szCs w:val="28"/>
        </w:rPr>
      </w:pPr>
      <w:r>
        <w:rPr>
          <w:rFonts w:hint="eastAsia" w:ascii="仿宋" w:hAnsi="仿宋" w:eastAsia="仿宋"/>
          <w:color w:val="000000"/>
          <w:spacing w:val="2"/>
          <w:sz w:val="28"/>
          <w:szCs w:val="28"/>
        </w:rPr>
        <w:t>2017年全年总收入2904116.58元,其中财拔款决算收入2886312.24元(基本支出行政运行2886312.24元, 其它科学技术普及支出257200.00元 ) ,其它收入275004.34元, 2017年全年总支出3261914.5元,其中财拔款决算支出2886312.24元(基本支出行政运行2629112.24元, 其它科学技术普及支出257200.00元),其它支出375602.26元，2017年财政预算数731318.02元，财拔决算比预算多,2154994.22元,幅度为74.6%,</w:t>
      </w:r>
    </w:p>
    <w:p>
      <w:pPr>
        <w:spacing w:line="440" w:lineRule="exact"/>
        <w:ind w:firstLine="570" w:firstLineChars="200"/>
        <w:rPr>
          <w:rFonts w:hint="eastAsia" w:ascii="仿宋" w:hAnsi="仿宋" w:eastAsia="仿宋"/>
          <w:b/>
          <w:color w:val="000000"/>
          <w:spacing w:val="2"/>
          <w:sz w:val="28"/>
          <w:szCs w:val="28"/>
        </w:rPr>
      </w:pPr>
      <w:r>
        <w:rPr>
          <w:rFonts w:hint="eastAsia" w:ascii="仿宋" w:hAnsi="仿宋" w:eastAsia="仿宋"/>
          <w:b/>
          <w:color w:val="000000"/>
          <w:spacing w:val="2"/>
          <w:sz w:val="28"/>
          <w:szCs w:val="28"/>
        </w:rPr>
        <w:t>3、支出按经济分类科目分析</w:t>
      </w:r>
    </w:p>
    <w:p>
      <w:pPr>
        <w:spacing w:line="440" w:lineRule="exact"/>
        <w:ind w:firstLine="560" w:firstLineChars="200"/>
        <w:rPr>
          <w:rFonts w:hint="eastAsia" w:ascii="仿宋" w:hAnsi="仿宋" w:eastAsia="仿宋"/>
          <w:color w:val="000000"/>
          <w:spacing w:val="2"/>
          <w:sz w:val="28"/>
          <w:szCs w:val="28"/>
        </w:rPr>
      </w:pPr>
      <w:r>
        <w:rPr>
          <w:rFonts w:hint="eastAsia" w:ascii="仿宋" w:hAnsi="仿宋" w:eastAsia="仿宋"/>
          <w:sz w:val="28"/>
          <w:szCs w:val="28"/>
        </w:rPr>
        <w:t>(1)三公经费支出情况: 2017年因公出国支出0元，公务车运行维护费0元，公务接待数为10249.8元，公务接待3个批次，接待人数115人；2016年决算公务车运行维护费6964.00元， 2016年决算公务接待数为2253.00元。(2)会议费支出情况: 2017年决算会议费为0万元, 2016年决算会议费为0万元(3)培训费支出情况：2017年决算培训费0元，2016年决算培训费0元(4)差旅费支出情况：</w:t>
      </w:r>
      <w:r>
        <w:rPr>
          <w:rFonts w:hint="eastAsia" w:ascii="仿宋" w:hAnsi="仿宋" w:eastAsia="仿宋"/>
          <w:color w:val="000000"/>
          <w:spacing w:val="2"/>
          <w:sz w:val="28"/>
          <w:szCs w:val="28"/>
        </w:rPr>
        <w:t>2017年决算差旅费为17166.08元，2016年决算差旅费为0元</w:t>
      </w:r>
    </w:p>
    <w:p>
      <w:pPr>
        <w:spacing w:line="440" w:lineRule="exact"/>
        <w:ind w:firstLine="570" w:firstLineChars="200"/>
        <w:rPr>
          <w:rFonts w:hint="eastAsia" w:ascii="仿宋" w:hAnsi="仿宋" w:eastAsia="仿宋"/>
          <w:b/>
          <w:color w:val="000000"/>
          <w:spacing w:val="2"/>
          <w:sz w:val="28"/>
          <w:szCs w:val="28"/>
        </w:rPr>
      </w:pPr>
      <w:r>
        <w:rPr>
          <w:rFonts w:hint="eastAsia" w:ascii="仿宋" w:hAnsi="仿宋" w:eastAsia="仿宋"/>
          <w:b/>
          <w:color w:val="000000"/>
          <w:spacing w:val="2"/>
          <w:sz w:val="28"/>
          <w:szCs w:val="28"/>
        </w:rPr>
        <w:t>4、财政拔款收入、支出分析</w:t>
      </w:r>
    </w:p>
    <w:p>
      <w:pPr>
        <w:spacing w:line="440" w:lineRule="exact"/>
        <w:ind w:firstLine="568" w:firstLineChars="200"/>
        <w:rPr>
          <w:rFonts w:hint="eastAsia" w:ascii="仿宋" w:hAnsi="仿宋" w:eastAsia="仿宋"/>
          <w:color w:val="000000"/>
          <w:spacing w:val="2"/>
          <w:sz w:val="28"/>
          <w:szCs w:val="28"/>
        </w:rPr>
      </w:pPr>
      <w:r>
        <w:rPr>
          <w:rFonts w:hint="eastAsia" w:ascii="仿宋" w:hAnsi="仿宋" w:eastAsia="仿宋"/>
          <w:color w:val="000000"/>
          <w:spacing w:val="2"/>
          <w:sz w:val="28"/>
          <w:szCs w:val="28"/>
        </w:rPr>
        <w:t>财拔款决算收入2886312.24元(基本支出行政运行2629112.24元, 其它科学技术普及支出257200.00元),其它收入17804.34元,财拔款决算支出2886312.24元(基本支出行政运行2629112.24元, 其它科学技术普及支出257200.00元),其它支出375602.26元，元，其中人员经费1021142.34元,公用经费1865169.9元。</w:t>
      </w:r>
    </w:p>
    <w:p>
      <w:pPr>
        <w:spacing w:line="440" w:lineRule="exact"/>
        <w:ind w:firstLine="570" w:firstLineChars="200"/>
        <w:rPr>
          <w:rFonts w:hint="eastAsia" w:ascii="仿宋" w:hAnsi="仿宋" w:eastAsia="仿宋"/>
          <w:b/>
          <w:color w:val="000000"/>
          <w:spacing w:val="2"/>
          <w:sz w:val="28"/>
          <w:szCs w:val="28"/>
        </w:rPr>
      </w:pPr>
      <w:r>
        <w:rPr>
          <w:rFonts w:hint="eastAsia" w:ascii="仿宋" w:hAnsi="仿宋" w:eastAsia="仿宋"/>
          <w:b/>
          <w:color w:val="000000"/>
          <w:spacing w:val="2"/>
          <w:sz w:val="28"/>
          <w:szCs w:val="28"/>
        </w:rPr>
        <w:t>5、年末结转和结余情况</w:t>
      </w:r>
    </w:p>
    <w:p>
      <w:pPr>
        <w:spacing w:line="440" w:lineRule="exact"/>
        <w:ind w:firstLine="426" w:firstLineChars="150"/>
        <w:rPr>
          <w:rFonts w:hint="eastAsia" w:ascii="仿宋" w:hAnsi="仿宋" w:eastAsia="仿宋"/>
          <w:color w:val="000000"/>
          <w:spacing w:val="2"/>
          <w:sz w:val="28"/>
          <w:szCs w:val="28"/>
        </w:rPr>
      </w:pPr>
      <w:r>
        <w:rPr>
          <w:rFonts w:hint="eastAsia" w:ascii="仿宋" w:hAnsi="仿宋" w:eastAsia="仿宋"/>
          <w:color w:val="000000"/>
          <w:spacing w:val="2"/>
          <w:sz w:val="28"/>
          <w:szCs w:val="28"/>
        </w:rPr>
        <w:t>年末总结余为606889.21元,其中财拔款结余为0元,其它资金结转结余为606889.21元.</w:t>
      </w:r>
    </w:p>
    <w:p>
      <w:pPr>
        <w:spacing w:line="440" w:lineRule="exact"/>
        <w:ind w:firstLine="419" w:firstLineChars="147"/>
        <w:rPr>
          <w:rFonts w:hint="eastAsia" w:ascii="仿宋" w:hAnsi="仿宋" w:eastAsia="仿宋"/>
          <w:b/>
          <w:color w:val="000000"/>
          <w:spacing w:val="2"/>
          <w:sz w:val="28"/>
          <w:szCs w:val="28"/>
        </w:rPr>
      </w:pPr>
      <w:r>
        <w:rPr>
          <w:rFonts w:hint="eastAsia" w:ascii="仿宋" w:hAnsi="仿宋" w:eastAsia="仿宋"/>
          <w:b/>
          <w:color w:val="000000"/>
          <w:spacing w:val="2"/>
          <w:sz w:val="28"/>
          <w:szCs w:val="28"/>
        </w:rPr>
        <w:t>6、资产负债情况分析</w:t>
      </w:r>
    </w:p>
    <w:p>
      <w:pPr>
        <w:spacing w:line="440" w:lineRule="exact"/>
        <w:ind w:firstLine="710" w:firstLineChars="250"/>
        <w:rPr>
          <w:rFonts w:hint="eastAsia" w:ascii="仿宋" w:hAnsi="仿宋" w:eastAsia="仿宋"/>
          <w:color w:val="000000"/>
          <w:spacing w:val="2"/>
          <w:sz w:val="28"/>
          <w:szCs w:val="28"/>
        </w:rPr>
      </w:pPr>
      <w:r>
        <w:rPr>
          <w:rFonts w:hint="eastAsia" w:ascii="仿宋" w:hAnsi="仿宋" w:eastAsia="仿宋"/>
          <w:color w:val="000000"/>
          <w:spacing w:val="2"/>
          <w:sz w:val="28"/>
          <w:szCs w:val="28"/>
        </w:rPr>
        <w:t>(一)资产负债结构情况</w:t>
      </w:r>
    </w:p>
    <w:p>
      <w:pPr>
        <w:spacing w:line="440" w:lineRule="exact"/>
        <w:ind w:firstLine="710" w:firstLineChars="250"/>
        <w:rPr>
          <w:rFonts w:hint="eastAsia" w:ascii="仿宋" w:hAnsi="仿宋" w:eastAsia="仿宋"/>
          <w:color w:val="000000"/>
          <w:spacing w:val="2"/>
          <w:sz w:val="28"/>
          <w:szCs w:val="28"/>
        </w:rPr>
      </w:pPr>
      <w:r>
        <w:rPr>
          <w:rFonts w:hint="eastAsia" w:ascii="仿宋" w:hAnsi="仿宋" w:eastAsia="仿宋"/>
          <w:color w:val="000000"/>
          <w:spacing w:val="2"/>
          <w:sz w:val="28"/>
          <w:szCs w:val="28"/>
        </w:rPr>
        <w:t>2017年年末资产类总额784661.21元， 年初1152093.13元,年末其他应收款为606889.21元，存货12220.00元,固定资产为164072元。负债类2017年年末总额0元， 年初33842元，年末其他应付款为0元, 财政拨款经费结余0元，其他资金经费结余606889.21元。资产基金177772元。</w:t>
      </w:r>
    </w:p>
    <w:p>
      <w:pPr>
        <w:spacing w:line="440" w:lineRule="exact"/>
        <w:ind w:firstLine="713" w:firstLineChars="250"/>
        <w:rPr>
          <w:rFonts w:hint="eastAsia" w:ascii="仿宋" w:hAnsi="仿宋" w:eastAsia="仿宋"/>
          <w:b/>
          <w:color w:val="000000"/>
          <w:spacing w:val="2"/>
          <w:sz w:val="28"/>
          <w:szCs w:val="28"/>
        </w:rPr>
      </w:pPr>
      <w:r>
        <w:rPr>
          <w:rFonts w:hint="eastAsia" w:ascii="仿宋" w:hAnsi="仿宋" w:eastAsia="仿宋"/>
          <w:b/>
          <w:color w:val="000000"/>
          <w:spacing w:val="2"/>
          <w:sz w:val="28"/>
          <w:szCs w:val="28"/>
        </w:rPr>
        <w:t>(二)资产负债对比分析</w:t>
      </w:r>
    </w:p>
    <w:p>
      <w:pPr>
        <w:spacing w:line="440" w:lineRule="exact"/>
        <w:ind w:firstLine="710" w:firstLineChars="250"/>
        <w:rPr>
          <w:rFonts w:hint="eastAsia" w:ascii="仿宋" w:hAnsi="仿宋" w:eastAsia="仿宋"/>
          <w:color w:val="000000"/>
          <w:spacing w:val="2"/>
          <w:sz w:val="28"/>
          <w:szCs w:val="28"/>
        </w:rPr>
      </w:pPr>
      <w:r>
        <w:rPr>
          <w:rFonts w:hint="eastAsia" w:ascii="仿宋" w:hAnsi="仿宋" w:eastAsia="仿宋"/>
          <w:color w:val="000000"/>
          <w:spacing w:val="2"/>
          <w:sz w:val="28"/>
          <w:szCs w:val="28"/>
        </w:rPr>
        <w:t xml:space="preserve">2017年年末资产类总额784661.21元，2016年年末资产类总额1152093.13元，2017年年末其他应收款为606889.21元，2016年年末其他应收款为998529.13元，2016年年末存货12220.00元, 2016年年末固定资产为139864.00元, ,负债类2017年年末总额0元， 年初33842元，年末其他应付款为0元，2016年年末负债类总额,33842元，2016年年末其他应付款为33842.00元, 2016年年末财政拨款经费结余0元，其他资金经费结余964687.13元。资产基金153564.00元。 </w:t>
      </w:r>
    </w:p>
    <w:p>
      <w:pPr>
        <w:spacing w:line="440" w:lineRule="exact"/>
        <w:ind w:firstLine="279" w:firstLineChars="98"/>
        <w:rPr>
          <w:rFonts w:ascii="仿宋" w:hAnsi="仿宋" w:eastAsia="仿宋"/>
          <w:b/>
          <w:spacing w:val="2"/>
          <w:sz w:val="28"/>
          <w:szCs w:val="28"/>
        </w:rPr>
      </w:pPr>
      <w:r>
        <w:rPr>
          <w:rFonts w:hint="eastAsia" w:ascii="仿宋" w:hAnsi="仿宋" w:eastAsia="仿宋"/>
          <w:b/>
          <w:spacing w:val="2"/>
          <w:sz w:val="28"/>
          <w:szCs w:val="28"/>
        </w:rPr>
        <w:t>7、决算收支增减变化情况</w:t>
      </w:r>
    </w:p>
    <w:p>
      <w:pPr>
        <w:spacing w:line="440" w:lineRule="exact"/>
        <w:ind w:firstLine="568" w:firstLineChars="200"/>
        <w:rPr>
          <w:rFonts w:ascii="仿宋" w:hAnsi="仿宋" w:eastAsia="仿宋"/>
          <w:spacing w:val="2"/>
          <w:sz w:val="28"/>
          <w:szCs w:val="28"/>
        </w:rPr>
      </w:pPr>
      <w:r>
        <w:rPr>
          <w:rFonts w:hint="eastAsia" w:ascii="仿宋" w:hAnsi="仿宋" w:eastAsia="仿宋"/>
          <w:spacing w:val="2"/>
          <w:sz w:val="28"/>
          <w:szCs w:val="28"/>
        </w:rPr>
        <w:t>（一）收入增减变化情况</w:t>
      </w:r>
    </w:p>
    <w:p>
      <w:pPr>
        <w:widowControl/>
        <w:ind w:firstLine="426" w:firstLineChars="150"/>
        <w:rPr>
          <w:rFonts w:ascii="仿宋" w:hAnsi="仿宋" w:eastAsia="仿宋"/>
          <w:spacing w:val="2"/>
          <w:sz w:val="28"/>
          <w:szCs w:val="28"/>
        </w:rPr>
      </w:pPr>
      <w:r>
        <w:rPr>
          <w:rFonts w:hint="eastAsia" w:ascii="仿宋" w:hAnsi="仿宋" w:eastAsia="仿宋"/>
          <w:spacing w:val="2"/>
          <w:sz w:val="28"/>
          <w:szCs w:val="28"/>
        </w:rPr>
        <w:t>1、</w:t>
      </w:r>
      <w:r>
        <w:rPr>
          <w:rFonts w:ascii="仿宋" w:hAnsi="仿宋" w:eastAsia="仿宋"/>
          <w:spacing w:val="2"/>
          <w:sz w:val="28"/>
          <w:szCs w:val="28"/>
        </w:rPr>
        <w:t>201</w:t>
      </w:r>
      <w:r>
        <w:rPr>
          <w:rFonts w:hint="eastAsia" w:ascii="仿宋" w:hAnsi="仿宋" w:eastAsia="仿宋"/>
          <w:spacing w:val="2"/>
          <w:sz w:val="28"/>
          <w:szCs w:val="28"/>
        </w:rPr>
        <w:t>7年全年总收入</w:t>
      </w:r>
      <w:r>
        <w:rPr>
          <w:rFonts w:hint="eastAsia" w:ascii="仿宋" w:hAnsi="仿宋" w:eastAsia="仿宋"/>
          <w:color w:val="000000"/>
          <w:spacing w:val="2"/>
          <w:sz w:val="28"/>
          <w:szCs w:val="28"/>
        </w:rPr>
        <w:t>2904116.58</w:t>
      </w:r>
      <w:r>
        <w:rPr>
          <w:rFonts w:hint="eastAsia" w:ascii="仿宋" w:hAnsi="仿宋" w:eastAsia="仿宋"/>
          <w:spacing w:val="2"/>
          <w:sz w:val="28"/>
          <w:szCs w:val="28"/>
        </w:rPr>
        <w:t>元</w:t>
      </w:r>
      <w:r>
        <w:rPr>
          <w:rFonts w:ascii="仿宋" w:hAnsi="仿宋" w:eastAsia="仿宋"/>
          <w:spacing w:val="2"/>
          <w:sz w:val="28"/>
          <w:szCs w:val="28"/>
        </w:rPr>
        <w:t>,201</w:t>
      </w:r>
      <w:r>
        <w:rPr>
          <w:rFonts w:hint="eastAsia" w:ascii="仿宋" w:hAnsi="仿宋" w:eastAsia="仿宋"/>
          <w:spacing w:val="2"/>
          <w:sz w:val="28"/>
          <w:szCs w:val="28"/>
        </w:rPr>
        <w:t>6年全年总收入2538521.00元，同比上年总收入增622795.58元，原因是科技局业务增加。</w:t>
      </w:r>
    </w:p>
    <w:p>
      <w:pPr>
        <w:spacing w:line="440" w:lineRule="exact"/>
        <w:ind w:firstLine="284" w:firstLineChars="100"/>
        <w:rPr>
          <w:rFonts w:ascii="仿宋" w:hAnsi="仿宋" w:eastAsia="仿宋"/>
          <w:spacing w:val="2"/>
          <w:sz w:val="28"/>
          <w:szCs w:val="28"/>
        </w:rPr>
      </w:pPr>
      <w:r>
        <w:rPr>
          <w:rFonts w:ascii="仿宋" w:hAnsi="仿宋" w:eastAsia="仿宋"/>
          <w:spacing w:val="2"/>
          <w:sz w:val="28"/>
          <w:szCs w:val="28"/>
        </w:rPr>
        <w:t>2</w:t>
      </w:r>
      <w:r>
        <w:rPr>
          <w:rFonts w:hint="eastAsia" w:ascii="仿宋" w:hAnsi="仿宋" w:eastAsia="仿宋"/>
          <w:spacing w:val="2"/>
          <w:sz w:val="28"/>
          <w:szCs w:val="28"/>
        </w:rPr>
        <w:t>、支出增减变化情况</w:t>
      </w:r>
    </w:p>
    <w:p>
      <w:pPr>
        <w:widowControl/>
        <w:ind w:firstLine="426" w:firstLineChars="150"/>
        <w:rPr>
          <w:rFonts w:ascii="仿宋" w:hAnsi="仿宋" w:eastAsia="仿宋"/>
          <w:spacing w:val="2"/>
          <w:sz w:val="28"/>
          <w:szCs w:val="28"/>
        </w:rPr>
      </w:pPr>
      <w:r>
        <w:rPr>
          <w:rFonts w:ascii="仿宋" w:hAnsi="仿宋" w:eastAsia="仿宋"/>
          <w:spacing w:val="2"/>
          <w:sz w:val="28"/>
          <w:szCs w:val="28"/>
        </w:rPr>
        <w:t>201</w:t>
      </w:r>
      <w:r>
        <w:rPr>
          <w:rFonts w:hint="eastAsia" w:ascii="仿宋" w:hAnsi="仿宋" w:eastAsia="仿宋"/>
          <w:spacing w:val="2"/>
          <w:sz w:val="28"/>
          <w:szCs w:val="28"/>
        </w:rPr>
        <w:t>7年全年支出</w:t>
      </w:r>
      <w:r>
        <w:rPr>
          <w:rFonts w:hint="eastAsia" w:ascii="仿宋" w:hAnsi="仿宋" w:eastAsia="仿宋"/>
          <w:color w:val="000000"/>
          <w:spacing w:val="2"/>
          <w:sz w:val="28"/>
          <w:szCs w:val="28"/>
        </w:rPr>
        <w:t>3261914.5</w:t>
      </w:r>
      <w:r>
        <w:rPr>
          <w:rFonts w:hint="eastAsia" w:ascii="仿宋" w:hAnsi="仿宋" w:eastAsia="仿宋"/>
          <w:spacing w:val="2"/>
          <w:sz w:val="28"/>
          <w:szCs w:val="28"/>
        </w:rPr>
        <w:t>元</w:t>
      </w:r>
      <w:r>
        <w:rPr>
          <w:rFonts w:ascii="仿宋" w:hAnsi="仿宋" w:eastAsia="仿宋"/>
          <w:spacing w:val="2"/>
          <w:sz w:val="28"/>
          <w:szCs w:val="28"/>
        </w:rPr>
        <w:t>, 201</w:t>
      </w:r>
      <w:r>
        <w:rPr>
          <w:rFonts w:hint="eastAsia" w:ascii="仿宋" w:hAnsi="仿宋" w:eastAsia="仿宋"/>
          <w:spacing w:val="2"/>
          <w:sz w:val="28"/>
          <w:szCs w:val="28"/>
        </w:rPr>
        <w:t>6年全年支出2425187.63元</w:t>
      </w:r>
      <w:r>
        <w:rPr>
          <w:rFonts w:ascii="仿宋" w:hAnsi="仿宋" w:eastAsia="仿宋"/>
          <w:spacing w:val="2"/>
          <w:sz w:val="28"/>
          <w:szCs w:val="28"/>
        </w:rPr>
        <w:t>,</w:t>
      </w:r>
      <w:r>
        <w:rPr>
          <w:rFonts w:hint="eastAsia" w:ascii="仿宋" w:hAnsi="仿宋" w:eastAsia="仿宋"/>
          <w:spacing w:val="2"/>
          <w:sz w:val="28"/>
          <w:szCs w:val="28"/>
        </w:rPr>
        <w:t>同比上年增加1093926.87元，原因是科技局业务增加开支。</w:t>
      </w:r>
    </w:p>
    <w:p>
      <w:pPr>
        <w:widowControl/>
        <w:shd w:val="clear" w:color="auto" w:fill="FFFFFF"/>
        <w:ind w:firstLine="480"/>
        <w:jc w:val="left"/>
        <w:rPr>
          <w:rFonts w:hint="eastAsia" w:ascii="仿宋" w:hAnsi="仿宋" w:eastAsia="仿宋"/>
          <w:b/>
          <w:sz w:val="28"/>
          <w:szCs w:val="28"/>
        </w:rPr>
      </w:pPr>
      <w:r>
        <w:rPr>
          <w:rFonts w:hint="eastAsia" w:ascii="仿宋" w:hAnsi="仿宋" w:eastAsia="仿宋"/>
          <w:b/>
          <w:sz w:val="28"/>
          <w:szCs w:val="28"/>
        </w:rPr>
        <w:t>（二） 关于“三公”经费支出说明</w:t>
      </w:r>
    </w:p>
    <w:p>
      <w:pPr>
        <w:spacing w:line="440" w:lineRule="exact"/>
        <w:ind w:firstLine="568" w:firstLineChars="200"/>
        <w:rPr>
          <w:rFonts w:hint="eastAsia" w:ascii="仿宋" w:hAnsi="仿宋" w:eastAsia="仿宋"/>
          <w:color w:val="000000"/>
          <w:spacing w:val="2"/>
          <w:sz w:val="28"/>
          <w:szCs w:val="28"/>
        </w:rPr>
      </w:pPr>
      <w:r>
        <w:rPr>
          <w:rFonts w:hint="eastAsia" w:ascii="仿宋" w:hAnsi="仿宋" w:eastAsia="仿宋"/>
          <w:color w:val="000000"/>
          <w:spacing w:val="2"/>
          <w:sz w:val="28"/>
          <w:szCs w:val="28"/>
        </w:rPr>
        <w:t>(1)三公经费支出情况: 2017年决算公务车运行维护费0元， 2017年决算公务接待数为10249.8元，2016年决算公务车运行维护费6964.00元， 2016年决算公务接待数为2253.00元。</w:t>
      </w:r>
    </w:p>
    <w:p>
      <w:pPr>
        <w:spacing w:line="440" w:lineRule="exact"/>
        <w:ind w:firstLine="568" w:firstLineChars="200"/>
        <w:rPr>
          <w:rFonts w:hint="eastAsia" w:ascii="仿宋" w:hAnsi="仿宋" w:eastAsia="仿宋"/>
          <w:color w:val="000000"/>
          <w:spacing w:val="2"/>
          <w:sz w:val="28"/>
          <w:szCs w:val="28"/>
        </w:rPr>
      </w:pPr>
      <w:r>
        <w:rPr>
          <w:rFonts w:hint="eastAsia" w:ascii="仿宋" w:hAnsi="仿宋" w:eastAsia="仿宋"/>
          <w:color w:val="000000"/>
          <w:spacing w:val="2"/>
          <w:sz w:val="28"/>
          <w:szCs w:val="28"/>
        </w:rPr>
        <w:t>(2)会议费支出情况: 2017年决算会议费为0万元, 2016年决算会议费为0万元</w:t>
      </w:r>
    </w:p>
    <w:p>
      <w:pPr>
        <w:spacing w:line="440" w:lineRule="exact"/>
        <w:ind w:firstLine="420" w:firstLineChars="150"/>
        <w:rPr>
          <w:rFonts w:hint="eastAsia" w:ascii="仿宋" w:hAnsi="仿宋" w:eastAsia="仿宋"/>
          <w:sz w:val="28"/>
          <w:szCs w:val="28"/>
        </w:rPr>
      </w:pPr>
      <w:r>
        <w:rPr>
          <w:rFonts w:hint="eastAsia" w:ascii="仿宋" w:hAnsi="仿宋" w:eastAsia="仿宋"/>
          <w:sz w:val="28"/>
          <w:szCs w:val="28"/>
        </w:rPr>
        <w:t>(3)培训费支出情况：2017年决算培训费0元，2016年决算培训费0元</w:t>
      </w:r>
    </w:p>
    <w:p>
      <w:pPr>
        <w:spacing w:line="440" w:lineRule="exact"/>
        <w:ind w:firstLine="560" w:firstLineChars="200"/>
        <w:rPr>
          <w:rFonts w:hint="eastAsia" w:ascii="仿宋" w:hAnsi="仿宋" w:eastAsia="仿宋"/>
          <w:color w:val="000000"/>
          <w:spacing w:val="2"/>
          <w:sz w:val="28"/>
          <w:szCs w:val="28"/>
        </w:rPr>
      </w:pPr>
      <w:r>
        <w:rPr>
          <w:rFonts w:hint="eastAsia" w:ascii="仿宋" w:hAnsi="仿宋" w:eastAsia="仿宋"/>
          <w:sz w:val="28"/>
          <w:szCs w:val="28"/>
        </w:rPr>
        <w:t>(4)差旅费支出情况：2017年决算差旅费为17166.08元，2016年决算差旅费为0元</w:t>
      </w:r>
    </w:p>
    <w:p>
      <w:pPr>
        <w:widowControl/>
        <w:shd w:val="clear" w:color="auto" w:fill="FFFFFF"/>
        <w:jc w:val="left"/>
        <w:rPr>
          <w:rFonts w:hint="eastAsia" w:ascii="仿宋" w:hAnsi="仿宋" w:eastAsia="仿宋"/>
          <w:b/>
          <w:sz w:val="28"/>
          <w:szCs w:val="28"/>
        </w:rPr>
      </w:pPr>
      <w:r>
        <w:rPr>
          <w:rFonts w:hint="eastAsia" w:ascii="仿宋" w:hAnsi="仿宋" w:eastAsia="仿宋"/>
          <w:sz w:val="28"/>
          <w:szCs w:val="28"/>
        </w:rPr>
        <w:t>　　</w:t>
      </w:r>
      <w:r>
        <w:rPr>
          <w:rFonts w:hint="eastAsia" w:ascii="仿宋" w:hAnsi="仿宋" w:eastAsia="仿宋"/>
          <w:b/>
          <w:sz w:val="28"/>
          <w:szCs w:val="28"/>
        </w:rPr>
        <w:t>（三）关于机关运行经费支出说明</w:t>
      </w:r>
    </w:p>
    <w:p>
      <w:pPr>
        <w:pStyle w:val="9"/>
        <w:rPr>
          <w:rFonts w:hint="eastAsia" w:eastAsia="仿宋"/>
          <w:sz w:val="28"/>
          <w:szCs w:val="28"/>
        </w:rPr>
      </w:pPr>
      <w:r>
        <w:rPr>
          <w:rFonts w:hint="eastAsia" w:eastAsia="仿宋" w:cs="Times New Roman"/>
          <w:sz w:val="28"/>
          <w:szCs w:val="28"/>
        </w:rPr>
        <w:t>2017年度机关运行经费支出186.51万元（与部门决算中行政单位和参照公务员法管理事业单位一般公共预算财政拨款基本支出中公用经费之和保持一致），比2016年增加（减少）149.77万元，增长（降低）24.54%。主要原因是：……（具体增减原因由部门根据实际情况填列）。机关运行经费支出口径应在专业名词解释中予以说明。</w:t>
      </w:r>
    </w:p>
    <w:p>
      <w:pPr>
        <w:widowControl/>
        <w:shd w:val="clear" w:color="auto" w:fill="FFFFFF"/>
        <w:jc w:val="left"/>
        <w:rPr>
          <w:rFonts w:hint="eastAsia" w:ascii="仿宋" w:hAnsi="仿宋" w:eastAsia="仿宋"/>
          <w:b/>
          <w:sz w:val="28"/>
          <w:szCs w:val="28"/>
        </w:rPr>
      </w:pPr>
      <w:r>
        <w:rPr>
          <w:rFonts w:hint="eastAsia" w:ascii="仿宋" w:hAnsi="仿宋" w:eastAsia="仿宋"/>
          <w:sz w:val="28"/>
          <w:szCs w:val="28"/>
        </w:rPr>
        <w:t>　　</w:t>
      </w:r>
      <w:r>
        <w:rPr>
          <w:rFonts w:hint="eastAsia" w:ascii="仿宋" w:hAnsi="仿宋" w:eastAsia="仿宋"/>
          <w:b/>
          <w:sz w:val="28"/>
          <w:szCs w:val="28"/>
        </w:rPr>
        <w:t>（四）关于政府采购支出说明</w:t>
      </w:r>
    </w:p>
    <w:p>
      <w:pPr>
        <w:widowControl/>
        <w:shd w:val="clear" w:color="auto" w:fill="FFFFFF"/>
        <w:ind w:firstLine="980" w:firstLineChars="350"/>
        <w:jc w:val="left"/>
        <w:rPr>
          <w:rFonts w:hint="eastAsia" w:ascii="仿宋" w:hAnsi="仿宋" w:eastAsia="仿宋"/>
          <w:sz w:val="28"/>
          <w:szCs w:val="28"/>
        </w:rPr>
      </w:pPr>
      <w:r>
        <w:rPr>
          <w:rFonts w:hint="eastAsia" w:ascii="仿宋" w:hAnsi="仿宋" w:eastAsia="仿宋"/>
          <w:sz w:val="28"/>
          <w:szCs w:val="28"/>
        </w:rPr>
        <w:t>无政府采购支出。</w:t>
      </w:r>
    </w:p>
    <w:p>
      <w:pPr>
        <w:widowControl/>
        <w:shd w:val="clear" w:color="auto" w:fill="FFFFFF"/>
        <w:jc w:val="left"/>
        <w:rPr>
          <w:rFonts w:hint="eastAsia" w:ascii="仿宋" w:hAnsi="仿宋" w:eastAsia="仿宋"/>
          <w:b/>
          <w:sz w:val="28"/>
          <w:szCs w:val="28"/>
        </w:rPr>
      </w:pPr>
      <w:r>
        <w:rPr>
          <w:rFonts w:hint="eastAsia" w:ascii="仿宋" w:hAnsi="仿宋" w:eastAsia="仿宋"/>
          <w:sz w:val="28"/>
          <w:szCs w:val="28"/>
        </w:rPr>
        <w:t>　　</w:t>
      </w:r>
      <w:r>
        <w:rPr>
          <w:rFonts w:hint="eastAsia" w:ascii="仿宋" w:hAnsi="仿宋" w:eastAsia="仿宋"/>
          <w:b/>
          <w:sz w:val="28"/>
          <w:szCs w:val="28"/>
        </w:rPr>
        <w:t>（五）关于国有资产占用情况说明</w:t>
      </w:r>
    </w:p>
    <w:p>
      <w:pPr>
        <w:widowControl/>
        <w:shd w:val="clear" w:color="auto" w:fill="FFFFFF"/>
        <w:jc w:val="left"/>
        <w:rPr>
          <w:rFonts w:ascii="仿宋" w:hAnsi="仿宋" w:eastAsia="仿宋"/>
          <w:sz w:val="28"/>
          <w:szCs w:val="28"/>
        </w:rPr>
      </w:pPr>
      <w:r>
        <w:rPr>
          <w:rFonts w:hint="eastAsia" w:ascii="仿宋" w:hAnsi="仿宋" w:eastAsia="仿宋"/>
          <w:sz w:val="28"/>
          <w:szCs w:val="28"/>
        </w:rPr>
        <w:t>截至2017年12月31日，本部门（单位）共有车辆0辆，其中，领导干部用车0辆、一般公务用车0辆、一般执法执勤用车0辆、特种专业技术用车0辆、其他用车0辆。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仿宋_GB2312" w:eastAsia="仿宋_GB2312"/>
          <w:sz w:val="27"/>
          <w:szCs w:val="27"/>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第四部分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一、财政补助收入：指县级财政当年拨付的资金。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二、其他收入：指除“财政拨款收入”、“上级补助收入”、“事业收入”、“经营收入”等以外的收入。主要是存款利息收入等。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三、年初结转和结余：指以前年度尚未完成、结转到本年按有关规定继续使用的资金。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四、一般公共服务（类）行政运行（项）：指县行政单位及参照公务员管理事业单位用于保障机构正常运行、开展日常工作的基本支出。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六、一般公共服务（类）机关服务（项）：指县</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黄石港区科技局</w:t>
      </w:r>
      <w:r>
        <w:rPr>
          <w:rFonts w:hint="eastAsia" w:ascii="微软雅黑" w:hAnsi="微软雅黑" w:eastAsia="微软雅黑" w:cs="微软雅黑"/>
          <w:b w:val="0"/>
          <w:i w:val="0"/>
          <w:caps w:val="0"/>
          <w:color w:val="333333"/>
          <w:spacing w:val="0"/>
          <w:sz w:val="24"/>
          <w:szCs w:val="24"/>
          <w:bdr w:val="none" w:color="auto" w:sz="0" w:space="0"/>
          <w:shd w:val="clear" w:fill="FFFFFF"/>
        </w:rPr>
        <w:t>服务中心为机关提供办公楼日常维修、维护等后勤保障服务的支出。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七、一般公共服务（类）其他一般公共服务支出（款）其他一般公共服务支出（项）：指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黄石港区科技局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用于其他一般公共服务方面的支出。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八、教育（类）普通教育（款）高等教育（项）：指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黄石港区科技局</w:t>
      </w:r>
      <w:r>
        <w:rPr>
          <w:rFonts w:hint="eastAsia" w:ascii="微软雅黑" w:hAnsi="微软雅黑" w:eastAsia="微软雅黑" w:cs="微软雅黑"/>
          <w:b w:val="0"/>
          <w:i w:val="0"/>
          <w:caps w:val="0"/>
          <w:color w:val="333333"/>
          <w:spacing w:val="0"/>
          <w:sz w:val="24"/>
          <w:szCs w:val="24"/>
          <w:bdr w:val="none" w:color="auto" w:sz="0" w:space="0"/>
          <w:shd w:val="clear" w:fill="FFFFFF"/>
        </w:rPr>
        <w:t>厅支持地方高校的重点发展和特色办学，组织专家对省属院校申报的建设规划和项目预算进行评审等相关工作的支出。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九、社会保障和就业(类)行政事业单位离退休（款）归口管理的行政单位离退休（项）：指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黄石港区科技局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用于离退休人员的支出、退休人员支出，以及提供管理服务工作的离退休干部处的支出。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十、社会保障和就业(类)行政事业单位离退休（款）其他行政事业单位离退休支出（项）：指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黄石港区科技局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用于离退休方面的其他支出。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十一、医疗卫生与计划生育（类）医疗保障（款）行政单位医疗（项）：指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黄石港区科技局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用于机关干部职工及离退休人员医疗方面的支出。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十二、住房保障（类）住房改革支出（款）购房补贴（项）：指按照相关住房分配货币化改革的政策规定和标准，对无房和住房未达标职工发放的住房分配货币化补贴资金。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十三、年末结转和结余：指本年度或以前年度预算安排、因客观条件发生变化无法按原计划实施，需要延迟到以后年度按有关规定继续使用的资金。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十四、基本支出：指为保障机构正常运转、完成日常工作任务而发生的人员支出（包括基本工资、津贴补贴等）和公用支出（包括办公费、水电费、邮电费、交通费、差旅费等）。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十五、项目支出：指在基本支出之外为完成特定行政任务和事业发展目标所发生的支出。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十六、“三公”经费：是指用财政拨款安排的因公出国（境）费、公务用车购置及运行维护费、公务接待费。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56809"/>
    <w:rsid w:val="0664587B"/>
    <w:rsid w:val="09FF39B4"/>
    <w:rsid w:val="0B821CB6"/>
    <w:rsid w:val="0F580F62"/>
    <w:rsid w:val="10157CA5"/>
    <w:rsid w:val="11411182"/>
    <w:rsid w:val="13FA6E94"/>
    <w:rsid w:val="1D3216D7"/>
    <w:rsid w:val="219E41B4"/>
    <w:rsid w:val="255E033E"/>
    <w:rsid w:val="27272230"/>
    <w:rsid w:val="27390172"/>
    <w:rsid w:val="2CCE2491"/>
    <w:rsid w:val="2F081AB6"/>
    <w:rsid w:val="35840005"/>
    <w:rsid w:val="401A2F36"/>
    <w:rsid w:val="408F5EDF"/>
    <w:rsid w:val="44064590"/>
    <w:rsid w:val="457D21A1"/>
    <w:rsid w:val="49D83A19"/>
    <w:rsid w:val="4A187DA8"/>
    <w:rsid w:val="4FCC39E6"/>
    <w:rsid w:val="507C1CF5"/>
    <w:rsid w:val="57193076"/>
    <w:rsid w:val="5EF27DB1"/>
    <w:rsid w:val="61773BFF"/>
    <w:rsid w:val="621B3808"/>
    <w:rsid w:val="67E4782B"/>
    <w:rsid w:val="6A5F0092"/>
    <w:rsid w:val="6FC62DF1"/>
    <w:rsid w:val="746766E2"/>
    <w:rsid w:val="74EA7B66"/>
    <w:rsid w:val="78186405"/>
    <w:rsid w:val="784C1E5B"/>
    <w:rsid w:val="796F54E7"/>
    <w:rsid w:val="7D417A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Indent"/>
    <w:basedOn w:val="1"/>
    <w:uiPriority w:val="0"/>
    <w:pPr>
      <w:spacing w:line="500" w:lineRule="exact"/>
      <w:ind w:firstLine="640" w:firstLineChars="200"/>
    </w:pPr>
    <w:rPr>
      <w:rFonts w:ascii="宋体"/>
      <w:sz w:val="32"/>
    </w:rPr>
  </w:style>
  <w:style w:type="paragraph" w:styleId="4">
    <w:name w:val="Plain Text"/>
    <w:basedOn w:val="1"/>
    <w:uiPriority w:val="0"/>
    <w:rPr>
      <w:rFonts w:ascii="宋体" w:hAnsi="Courier New" w:cs="Courier New"/>
      <w:szCs w:val="21"/>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正文缩进 + 首行缩进:  2 字符"/>
    <w:basedOn w:val="1"/>
    <w:uiPriority w:val="0"/>
    <w:pPr>
      <w:spacing w:line="560" w:lineRule="exact"/>
      <w:ind w:firstLine="640"/>
    </w:pPr>
    <w:rPr>
      <w:rFonts w:ascii="仿宋" w:hAnsi="仿宋" w:cs="宋体"/>
      <w:sz w:val="32"/>
      <w:szCs w:val="32"/>
    </w:rPr>
  </w:style>
  <w:style w:type="character" w:customStyle="1" w:styleId="10">
    <w:name w:val="ca-2"/>
    <w:basedOn w:val="6"/>
    <w:uiPriority w:val="0"/>
  </w:style>
  <w:style w:type="paragraph" w:customStyle="1"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ca-3"/>
    <w:basedOn w:val="6"/>
    <w:uiPriority w:val="0"/>
  </w:style>
  <w:style w:type="character" w:customStyle="1" w:styleId="13">
    <w:name w:val="apple-converted-space"/>
    <w:basedOn w:val="6"/>
    <w:uiPriority w:val="99"/>
  </w:style>
  <w:style w:type="paragraph" w:customStyle="1" w:styleId="14">
    <w:name w:val="pa-1"/>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侒靜啲喧嘩</cp:lastModifiedBy>
  <dcterms:modified xsi:type="dcterms:W3CDTF">2019-02-27T12:11:29Z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