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科技局2018年决算公开</w:t>
      </w: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黄石港区科技局2018年决算公开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部门2018年部门决算表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八、政府性基金预算财政拨款收入支出决算表（8）</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第三部分：部门2018年部门决算情况说明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201</w:t>
      </w:r>
      <w:r>
        <w:rPr>
          <w:rStyle w:val="11"/>
          <w:rFonts w:hint="eastAsia" w:ascii="微软雅黑" w:hAnsi="微软雅黑" w:eastAsia="微软雅黑" w:cs="微软雅黑"/>
          <w:color w:val="333333"/>
          <w:shd w:val="clear" w:color="auto" w:fill="FFFFFF"/>
          <w:lang w:val="en-US" w:eastAsia="zh-CN"/>
        </w:rPr>
        <w:t>8</w:t>
      </w:r>
      <w:r>
        <w:rPr>
          <w:rStyle w:val="11"/>
          <w:rFonts w:hint="eastAsia" w:ascii="微软雅黑" w:hAnsi="微软雅黑" w:eastAsia="微软雅黑" w:cs="微软雅黑"/>
          <w:color w:val="333333"/>
          <w:shd w:val="clear" w:color="auto" w:fill="FFFFFF"/>
        </w:rPr>
        <w:t>年部门决算</w:t>
      </w:r>
    </w:p>
    <w:p>
      <w:pPr>
        <w:pStyle w:val="8"/>
        <w:widowControl/>
        <w:numPr>
          <w:ilvl w:val="0"/>
          <w:numId w:val="1"/>
        </w:numPr>
        <w:spacing w:before="76" w:beforeAutospacing="0" w:after="76" w:afterAutospacing="0" w:line="450" w:lineRule="atLeast"/>
        <w:ind w:firstLine="420"/>
        <w:rPr>
          <w:rStyle w:val="11"/>
          <w:rFonts w:hint="eastAsia" w:ascii="微软雅黑" w:hAnsi="微软雅黑" w:eastAsia="微软雅黑" w:cs="微软雅黑"/>
          <w:b/>
          <w:bCs w:val="0"/>
          <w:color w:val="333333"/>
          <w:shd w:val="clear" w:color="auto" w:fill="FFFFFF"/>
        </w:rPr>
      </w:pPr>
      <w:r>
        <w:rPr>
          <w:rStyle w:val="11"/>
          <w:rFonts w:hint="eastAsia" w:ascii="微软雅黑" w:hAnsi="微软雅黑" w:eastAsia="微软雅黑" w:cs="微软雅黑"/>
          <w:b/>
          <w:bCs w:val="0"/>
          <w:color w:val="333333"/>
          <w:shd w:val="clear" w:color="auto" w:fill="FFFFFF"/>
        </w:rPr>
        <w:t>部门概况</w:t>
      </w:r>
    </w:p>
    <w:p>
      <w:pPr>
        <w:pStyle w:val="8"/>
        <w:keepNext w:val="0"/>
        <w:keepLines w:val="0"/>
        <w:pageBreakBefore w:val="0"/>
        <w:widowControl/>
        <w:numPr>
          <w:ilvl w:val="0"/>
          <w:numId w:val="0"/>
        </w:numPr>
        <w:kinsoku/>
        <w:wordWrap/>
        <w:overflowPunct/>
        <w:topLinePunct w:val="0"/>
        <w:autoSpaceDE/>
        <w:autoSpaceDN/>
        <w:bidi w:val="0"/>
        <w:adjustRightInd/>
        <w:snapToGrid/>
        <w:spacing w:before="76" w:beforeAutospacing="0" w:after="76" w:afterAutospacing="0" w:line="450" w:lineRule="atLeas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区科技局是管理全区科技工作的区政府组成部门。主要职责是贯彻落实党和国家、省、市有关科技工作的各项方针、政策和法律、法规；研究提出全区科技发展战略和科技促进经济与社会发展的重大问题；研究制订全区科技发展和科技促进经济与社会发展的政策和措施；研究提出推进全区科技体制改革的政策、措施；组织编制全区科技发展中长期规划和年度计划，编制并组织申报、实施国家、省、市重点科技项目计划；编制全区科技开发计划指南并指导实施；研究多渠道增加科技投入的措施，负责管理审批科技“三项费用”和科学事业费；组织提出全区高新技术发展战略与规划及相关的政策措施；负责全区科技成果管理、科技奖励、科技保密工作；归口管理全区对外科技合作与交流，研究制定全区对外科技交流合作计划并组织实施；组织开展日常性、群众性科普活动。推广先进技术，开展青少年科学技术教育活动，参与制定全区科普工作总体规划和工作计划，承办黄石港区科技活动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（二）单位基本信息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color w:val="333333"/>
          <w:kern w:val="0"/>
          <w:sz w:val="30"/>
          <w:szCs w:val="30"/>
        </w:rPr>
      </w:pPr>
      <w:r>
        <w:rPr>
          <w:rFonts w:hint="eastAsia" w:asciiTheme="minorEastAsia" w:hAnsiTheme="minorEastAsia" w:eastAsiaTheme="minorEastAsia" w:cstheme="minorEastAsia"/>
          <w:b w:val="0"/>
          <w:i w:val="0"/>
          <w:caps w:val="0"/>
          <w:color w:val="000000"/>
          <w:spacing w:val="0"/>
          <w:sz w:val="28"/>
          <w:szCs w:val="28"/>
          <w:shd w:val="clear" w:color="auto" w:fill="auto"/>
        </w:rPr>
        <w:t>区科技局与区科协合署办公，下属知识产权局。2018年实有人数7人。其中局长（兼科协主席）1人，副局长2人，领导班子成员3人。副处非领导1人，正科级干部1人，科员2人。</w:t>
      </w: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第二部分</w:t>
      </w:r>
      <w:r>
        <w:rPr>
          <w:rStyle w:val="11"/>
          <w:rFonts w:hint="eastAsia" w:ascii="微软雅黑" w:hAnsi="微软雅黑" w:eastAsia="微软雅黑" w:cs="微软雅黑"/>
          <w:color w:val="333333"/>
          <w:shd w:val="clear" w:color="auto" w:fill="FFFFFF"/>
          <w:lang w:val="en-US" w:eastAsia="zh-CN"/>
        </w:rPr>
        <w:t xml:space="preserve"> </w:t>
      </w:r>
      <w:r>
        <w:rPr>
          <w:rStyle w:val="11"/>
          <w:rFonts w:hint="eastAsia" w:ascii="微软雅黑" w:hAnsi="微软雅黑" w:eastAsia="微软雅黑" w:cs="微软雅黑"/>
          <w:color w:val="333333"/>
          <w:shd w:val="clear" w:color="auto" w:fill="FFFFFF"/>
          <w:lang w:eastAsia="zh-CN"/>
        </w:rPr>
        <w:t>部门</w:t>
      </w:r>
      <w:r>
        <w:rPr>
          <w:rStyle w:val="11"/>
          <w:rFonts w:hint="eastAsia" w:ascii="微软雅黑" w:hAnsi="微软雅黑" w:eastAsia="微软雅黑" w:cs="微软雅黑"/>
          <w:color w:val="333333"/>
          <w:shd w:val="clear" w:color="auto" w:fill="FFFFFF"/>
        </w:rPr>
        <w:t>2018年部门决算表</w:t>
      </w:r>
      <w:r>
        <w:drawing>
          <wp:inline distT="0" distB="0" distL="114300" distR="114300">
            <wp:extent cx="8809990" cy="4739005"/>
            <wp:effectExtent l="0" t="0" r="1016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09990" cy="4739005"/>
                    </a:xfrm>
                    <a:prstGeom prst="rect">
                      <a:avLst/>
                    </a:prstGeom>
                    <a:noFill/>
                    <a:ln>
                      <a:noFill/>
                    </a:ln>
                  </pic:spPr>
                </pic:pic>
              </a:graphicData>
            </a:graphic>
          </wp:inline>
        </w:drawing>
      </w:r>
      <w:r>
        <w:drawing>
          <wp:inline distT="0" distB="0" distL="114300" distR="114300">
            <wp:extent cx="8726805" cy="2466340"/>
            <wp:effectExtent l="0" t="0" r="1714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726805" cy="2466340"/>
                    </a:xfrm>
                    <a:prstGeom prst="rect">
                      <a:avLst/>
                    </a:prstGeom>
                    <a:noFill/>
                    <a:ln>
                      <a:noFill/>
                    </a:ln>
                  </pic:spPr>
                </pic:pic>
              </a:graphicData>
            </a:graphic>
          </wp:inline>
        </w:drawing>
      </w:r>
      <w:r>
        <w:drawing>
          <wp:inline distT="0" distB="0" distL="114300" distR="114300">
            <wp:extent cx="8743950" cy="24860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743950" cy="2486025"/>
                    </a:xfrm>
                    <a:prstGeom prst="rect">
                      <a:avLst/>
                    </a:prstGeom>
                    <a:noFill/>
                    <a:ln>
                      <a:noFill/>
                    </a:ln>
                  </pic:spPr>
                </pic:pic>
              </a:graphicData>
            </a:graphic>
          </wp:inline>
        </w:drawing>
      </w:r>
    </w:p>
    <w:p>
      <w:pPr>
        <w:pStyle w:val="8"/>
        <w:widowControl/>
        <w:spacing w:before="76" w:beforeAutospacing="0" w:after="76" w:afterAutospacing="0" w:line="450" w:lineRule="atLeast"/>
        <w:rPr>
          <w:rStyle w:val="11"/>
          <w:rFonts w:ascii="微软雅黑" w:hAnsi="微软雅黑" w:eastAsia="微软雅黑" w:cs="微软雅黑"/>
          <w:color w:val="333333"/>
          <w:shd w:val="clear" w:color="auto" w:fill="FFFFFF"/>
        </w:rPr>
      </w:pPr>
      <w:r>
        <w:drawing>
          <wp:inline distT="0" distB="0" distL="114300" distR="114300">
            <wp:extent cx="8648700" cy="5925820"/>
            <wp:effectExtent l="0" t="0" r="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648700" cy="5925820"/>
                    </a:xfrm>
                    <a:prstGeom prst="rect">
                      <a:avLst/>
                    </a:prstGeom>
                    <a:noFill/>
                    <a:ln>
                      <a:noFill/>
                    </a:ln>
                  </pic:spPr>
                </pic:pic>
              </a:graphicData>
            </a:graphic>
          </wp:inline>
        </w:drawing>
      </w:r>
    </w:p>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pPr>
      <w:r>
        <w:drawing>
          <wp:inline distT="0" distB="0" distL="114300" distR="114300">
            <wp:extent cx="8763000" cy="3790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763000" cy="3790950"/>
                    </a:xfrm>
                    <a:prstGeom prst="rect">
                      <a:avLst/>
                    </a:prstGeom>
                    <a:noFill/>
                    <a:ln>
                      <a:noFill/>
                    </a:ln>
                  </pic:spPr>
                </pic:pic>
              </a:graphicData>
            </a:graphic>
          </wp:inline>
        </w:drawing>
      </w:r>
    </w:p>
    <w:p>
      <w:pPr>
        <w:pStyle w:val="8"/>
        <w:widowControl/>
        <w:spacing w:before="76" w:beforeAutospacing="0" w:after="76" w:afterAutospacing="0" w:line="450" w:lineRule="atLeast"/>
      </w:pPr>
    </w:p>
    <w:p>
      <w:pPr>
        <w:pStyle w:val="8"/>
        <w:widowControl/>
        <w:spacing w:before="76" w:beforeAutospacing="0" w:after="76" w:afterAutospacing="0" w:line="450" w:lineRule="atLeast"/>
      </w:pPr>
      <w:r>
        <w:drawing>
          <wp:inline distT="0" distB="0" distL="114300" distR="114300">
            <wp:extent cx="8855075" cy="5314315"/>
            <wp:effectExtent l="0" t="0" r="317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855075" cy="5314315"/>
                    </a:xfrm>
                    <a:prstGeom prst="rect">
                      <a:avLst/>
                    </a:prstGeom>
                    <a:noFill/>
                    <a:ln>
                      <a:noFill/>
                    </a:ln>
                  </pic:spPr>
                </pic:pic>
              </a:graphicData>
            </a:graphic>
          </wp:inline>
        </w:drawing>
      </w:r>
    </w:p>
    <w:p>
      <w:pPr>
        <w:pStyle w:val="8"/>
        <w:widowControl/>
        <w:spacing w:before="76" w:beforeAutospacing="0" w:after="76" w:afterAutospacing="0" w:line="450" w:lineRule="atLeast"/>
      </w:pPr>
      <w:r>
        <w:drawing>
          <wp:inline distT="0" distB="0" distL="114300" distR="114300">
            <wp:extent cx="8856980" cy="2532380"/>
            <wp:effectExtent l="0" t="0" r="127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856980" cy="2532380"/>
                    </a:xfrm>
                    <a:prstGeom prst="rect">
                      <a:avLst/>
                    </a:prstGeom>
                    <a:noFill/>
                    <a:ln>
                      <a:noFill/>
                    </a:ln>
                  </pic:spPr>
                </pic:pic>
              </a:graphicData>
            </a:graphic>
          </wp:inline>
        </w:drawing>
      </w:r>
    </w:p>
    <w:p>
      <w:pPr>
        <w:pStyle w:val="8"/>
        <w:widowControl/>
        <w:spacing w:before="76" w:beforeAutospacing="0" w:after="76" w:afterAutospacing="0" w:line="450" w:lineRule="atLeast"/>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839200" cy="24860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8839200" cy="2486025"/>
                    </a:xfrm>
                    <a:prstGeom prst="rect">
                      <a:avLst/>
                    </a:prstGeom>
                    <a:noFill/>
                    <a:ln>
                      <a:noFill/>
                    </a:ln>
                  </pic:spPr>
                </pic:pic>
              </a:graphicData>
            </a:graphic>
          </wp:inline>
        </w:drawing>
      </w:r>
    </w:p>
    <w:p>
      <w:pPr>
        <w:pStyle w:val="8"/>
        <w:widowControl/>
        <w:spacing w:before="76" w:beforeAutospacing="0" w:after="76" w:afterAutospacing="0" w:line="450" w:lineRule="atLeast"/>
        <w:rPr>
          <w:color w:val="333333"/>
        </w:rPr>
      </w:pPr>
      <w:r>
        <w:rPr>
          <w:rStyle w:val="11"/>
          <w:rFonts w:hint="eastAsia" w:ascii="微软雅黑" w:hAnsi="微软雅黑" w:eastAsia="微软雅黑" w:cs="微软雅黑"/>
          <w:color w:val="333333"/>
          <w:shd w:val="clear" w:color="auto" w:fill="FFFFFF"/>
        </w:rPr>
        <w:t>第三部分2018年部门决算情况说明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2018年财政收入预算数844303元，其中人员经费675998元，公用经费168305元, 2018年财政支出预算数844303元，其中人员经费675998元，公用经费168305元； 2017年财政收入预算数731318.02元，其中人员经费572393元，公用经费158925.02元, 2017年财政支出预算数731318.02元，其中人员经费572393元，公用经费158925.02元；2018年收入预算数安排比上年增加112984.98元， 2018年支出预算数安排比上年增加112984.98元。</w:t>
      </w:r>
    </w:p>
    <w:p>
      <w:pPr>
        <w:widowControl/>
        <w:shd w:val="clear" w:color="auto" w:fill="FFFFFF"/>
        <w:ind w:firstLine="480"/>
        <w:jc w:val="left"/>
        <w:rPr>
          <w:rFonts w:hint="eastAsia" w:ascii="宋体" w:hAnsi="宋体" w:cs="宋体"/>
          <w:sz w:val="28"/>
          <w:szCs w:val="28"/>
          <w:lang w:eastAsia="zh-CN"/>
        </w:rPr>
      </w:pPr>
      <w:r>
        <w:rPr>
          <w:rFonts w:hint="eastAsia" w:ascii="宋体" w:hAnsi="宋体" w:cs="宋体"/>
          <w:sz w:val="28"/>
          <w:szCs w:val="28"/>
        </w:rPr>
        <w:t>2018年财政收入预算执行数2783677.97元，其中人员经费1004794.64元，公用经费1778883.33元, 2018年财政支出预算执行数2783677.97元，其中人员经费1004794.64元，公用经费1778883.33元；2017年财政收入预算执行数731318.02元，其中人员经费572393元，公用经费158925.02元, 2017年财政支出预算执行数731318.02元，其中人员经费572393元，公用经费158925.02元；2018年收入预算执行数比上年增加2052359.95元.2017年支出预算执行数比上年增加2052359.95元</w:t>
      </w:r>
      <w:r>
        <w:rPr>
          <w:rFonts w:hint="eastAsia" w:ascii="宋体" w:hAnsi="宋体" w:cs="宋体"/>
          <w:sz w:val="28"/>
          <w:szCs w:val="28"/>
          <w:lang w:eastAsia="zh-CN"/>
        </w:rPr>
        <w:t>。</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1、收入支出与预算对比分析</w:t>
      </w:r>
    </w:p>
    <w:p>
      <w:pPr>
        <w:widowControl/>
        <w:shd w:val="clear" w:color="auto" w:fill="FFFFFF"/>
        <w:ind w:firstLine="480"/>
        <w:jc w:val="left"/>
        <w:rPr>
          <w:rFonts w:hint="eastAsia" w:ascii="宋体" w:hAnsi="宋体" w:cs="宋体"/>
          <w:sz w:val="28"/>
          <w:szCs w:val="28"/>
          <w:lang w:eastAsia="zh-CN"/>
        </w:rPr>
      </w:pPr>
      <w:r>
        <w:rPr>
          <w:rFonts w:hint="eastAsia" w:ascii="宋体" w:hAnsi="宋体" w:cs="宋体"/>
          <w:sz w:val="28"/>
          <w:szCs w:val="28"/>
        </w:rPr>
        <w:t>2018年全年总收入2810895.10元,其中财拨款决算收入2783677.97元,其它收入27217.13元, 2018年全年总支出2975349.02元,其中财拨款决算支出2783677.97元,其它支出191671.05元；2018年财政预算数844303元，财拔决算比预算多1939374.97元,幅度为229.7%,原因为业务增加</w:t>
      </w:r>
      <w:r>
        <w:rPr>
          <w:rFonts w:hint="eastAsia" w:ascii="宋体" w:hAnsi="宋体" w:cs="宋体"/>
          <w:sz w:val="28"/>
          <w:szCs w:val="28"/>
          <w:lang w:eastAsia="zh-CN"/>
        </w:rPr>
        <w:t>。</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2、收入支出结构分析</w:t>
      </w:r>
    </w:p>
    <w:p>
      <w:pPr>
        <w:widowControl/>
        <w:shd w:val="clear" w:color="auto" w:fill="FFFFFF"/>
        <w:ind w:firstLine="480"/>
        <w:jc w:val="left"/>
        <w:rPr>
          <w:rFonts w:hint="eastAsia" w:ascii="宋体" w:hAnsi="宋体" w:cs="宋体" w:eastAsiaTheme="minorEastAsia"/>
          <w:sz w:val="28"/>
          <w:szCs w:val="28"/>
          <w:lang w:eastAsia="zh-CN"/>
        </w:rPr>
      </w:pPr>
      <w:r>
        <w:rPr>
          <w:rFonts w:hint="eastAsia" w:ascii="宋体" w:hAnsi="宋体" w:cs="宋体"/>
          <w:sz w:val="28"/>
          <w:szCs w:val="28"/>
        </w:rPr>
        <w:t>2018年全年总收入2810895.10元,其中财拨款决算收入2783677.97元,占总收入99%，其它收入27217.13元,咱总收入1%</w:t>
      </w:r>
      <w:r>
        <w:rPr>
          <w:rFonts w:hint="eastAsia" w:ascii="宋体" w:hAnsi="宋体" w:cs="宋体"/>
          <w:sz w:val="28"/>
          <w:szCs w:val="28"/>
          <w:lang w:eastAsia="zh-CN"/>
        </w:rPr>
        <w:t>；</w:t>
      </w:r>
      <w:r>
        <w:rPr>
          <w:rFonts w:hint="eastAsia" w:ascii="宋体" w:hAnsi="宋体" w:cs="宋体"/>
          <w:sz w:val="28"/>
          <w:szCs w:val="28"/>
        </w:rPr>
        <w:t>2018年全年总支出2975349.02元,其中财拨款决算支出2783677.97元,占总支出93.56%，其它支出191671.05元，占总支出6.44%；支出按以下分类说明</w:t>
      </w:r>
      <w:r>
        <w:rPr>
          <w:rFonts w:hint="eastAsia" w:ascii="宋体" w:hAnsi="宋体" w:cs="宋体"/>
          <w:sz w:val="28"/>
          <w:szCs w:val="28"/>
          <w:lang w:eastAsia="zh-CN"/>
        </w:rPr>
        <w:t>：</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lang w:eastAsia="zh-CN"/>
        </w:rPr>
        <w:t>①</w:t>
      </w:r>
      <w:r>
        <w:rPr>
          <w:rFonts w:hint="eastAsia" w:ascii="宋体" w:hAnsi="宋体" w:cs="宋体"/>
          <w:sz w:val="28"/>
          <w:szCs w:val="28"/>
        </w:rPr>
        <w:t>支出功能分类：总支出2975349.02元;其中行政运行科学技术管理事务支出2693139.02元，其他科学技术普及支出100000元，其他科学技术支出182210元。</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lang w:eastAsia="zh-CN"/>
        </w:rPr>
        <w:t>②</w:t>
      </w:r>
      <w:r>
        <w:rPr>
          <w:rFonts w:hint="eastAsia" w:ascii="宋体" w:hAnsi="宋体" w:cs="宋体"/>
          <w:sz w:val="28"/>
          <w:szCs w:val="28"/>
        </w:rPr>
        <w:t xml:space="preserve">支出性质分类：总支出2975349.02元，其中人员经费1064529.34元，公用经费1910819.68元; </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lang w:eastAsia="zh-CN"/>
        </w:rPr>
        <w:t>③</w:t>
      </w:r>
      <w:r>
        <w:rPr>
          <w:rFonts w:hint="eastAsia" w:ascii="宋体" w:hAnsi="宋体" w:cs="宋体"/>
          <w:sz w:val="28"/>
          <w:szCs w:val="28"/>
        </w:rPr>
        <w:t>支出经济分类：总支出2975349.02元，其中工资福利支出 1064529.34元，商品服务支出1907264.68元，对个人和家庭的补助支出0元，其它资本性支出3555元。</w:t>
      </w:r>
    </w:p>
    <w:p>
      <w:pPr>
        <w:widowControl/>
        <w:shd w:val="clear" w:color="auto" w:fill="FFFFFF"/>
        <w:jc w:val="left"/>
        <w:rPr>
          <w:rFonts w:hint="eastAsia" w:ascii="宋体" w:hAnsi="宋体" w:cs="宋体"/>
          <w:sz w:val="28"/>
          <w:szCs w:val="28"/>
        </w:rPr>
      </w:pP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（二） 关于“三公”经费支出说明</w:t>
      </w:r>
    </w:p>
    <w:p>
      <w:pPr>
        <w:widowControl/>
        <w:shd w:val="clear" w:color="auto" w:fill="FFFFFF"/>
        <w:snapToGrid w:val="0"/>
        <w:spacing w:line="560" w:lineRule="atLeast"/>
        <w:ind w:firstLine="562"/>
        <w:jc w:val="left"/>
        <w:rPr>
          <w:rFonts w:hint="eastAsia" w:ascii="宋体" w:hAnsi="宋体" w:cs="宋体"/>
          <w:sz w:val="28"/>
          <w:szCs w:val="28"/>
        </w:rPr>
      </w:pPr>
      <w:r>
        <w:rPr>
          <w:rFonts w:hint="eastAsia" w:ascii="宋体" w:hAnsi="宋体" w:cs="宋体"/>
          <w:sz w:val="28"/>
          <w:szCs w:val="28"/>
        </w:rPr>
        <w:t>三公经费支出情况: 2018年决算公务车运行维护费0元，预算数为0万元； 2018年决算公务接待数为1662元，预算数为1662元</w:t>
      </w:r>
      <w:r>
        <w:rPr>
          <w:rFonts w:hint="eastAsia" w:ascii="宋体" w:hAnsi="宋体" w:cs="宋体"/>
          <w:sz w:val="28"/>
          <w:szCs w:val="28"/>
          <w:lang w:eastAsia="zh-CN"/>
        </w:rPr>
        <w:t>，</w:t>
      </w:r>
      <w:r>
        <w:rPr>
          <w:rFonts w:hint="eastAsia" w:ascii="宋体" w:hAnsi="宋体" w:cs="宋体"/>
          <w:color w:val="333333"/>
          <w:kern w:val="0"/>
          <w:sz w:val="28"/>
          <w:szCs w:val="28"/>
        </w:rPr>
        <w:t>全年累计发生国内接待</w:t>
      </w:r>
      <w:r>
        <w:rPr>
          <w:rFonts w:hint="eastAsia" w:ascii="宋体" w:hAnsi="宋体" w:cs="宋体"/>
          <w:color w:val="333333"/>
          <w:kern w:val="0"/>
          <w:sz w:val="28"/>
          <w:szCs w:val="28"/>
          <w:lang w:val="en-US" w:eastAsia="zh-CN"/>
        </w:rPr>
        <w:t>8</w:t>
      </w:r>
      <w:r>
        <w:rPr>
          <w:rFonts w:hint="eastAsia" w:ascii="宋体" w:hAnsi="宋体" w:cs="宋体"/>
          <w:color w:val="333333"/>
          <w:kern w:val="0"/>
          <w:sz w:val="28"/>
          <w:szCs w:val="28"/>
        </w:rPr>
        <w:t>批次共</w:t>
      </w:r>
      <w:r>
        <w:rPr>
          <w:rFonts w:hint="eastAsia" w:ascii="宋体" w:hAnsi="宋体" w:cs="宋体"/>
          <w:color w:val="333333"/>
          <w:kern w:val="0"/>
          <w:sz w:val="28"/>
          <w:szCs w:val="28"/>
          <w:lang w:val="en-US" w:eastAsia="zh-CN"/>
        </w:rPr>
        <w:t>85</w:t>
      </w:r>
      <w:bookmarkStart w:id="0" w:name="_GoBack"/>
      <w:bookmarkEnd w:id="0"/>
      <w:r>
        <w:rPr>
          <w:rFonts w:hint="eastAsia" w:ascii="宋体" w:hAnsi="宋体" w:cs="宋体"/>
          <w:color w:val="333333"/>
          <w:kern w:val="0"/>
          <w:sz w:val="28"/>
          <w:szCs w:val="28"/>
        </w:rPr>
        <w:t>人</w:t>
      </w:r>
      <w:r>
        <w:rPr>
          <w:rFonts w:hint="eastAsia" w:ascii="宋体" w:hAnsi="宋体" w:cs="宋体"/>
          <w:sz w:val="28"/>
          <w:szCs w:val="28"/>
        </w:rPr>
        <w:t>；2018年因公出国（境）费为0元，预算数为0元。2017年决算公务车运行维护费0元，预算数为0万元； 2017年决算公务接待数为10249.8元，预算数为10249.8元；2017年因公出国（境）费为0元，预算数为0元。会议费支出情况: 2018年决算会议费为20391.38元,2017年决算会议费为0元</w:t>
      </w:r>
      <w:r>
        <w:rPr>
          <w:rFonts w:hint="eastAsia" w:ascii="宋体" w:hAnsi="宋体" w:cs="宋体"/>
          <w:sz w:val="28"/>
          <w:szCs w:val="28"/>
          <w:lang w:eastAsia="zh-CN"/>
        </w:rPr>
        <w:t>；</w:t>
      </w:r>
      <w:r>
        <w:rPr>
          <w:rFonts w:hint="eastAsia" w:ascii="宋体" w:hAnsi="宋体" w:cs="宋体"/>
          <w:sz w:val="28"/>
          <w:szCs w:val="28"/>
        </w:rPr>
        <w:t>培训费支出情况：2018年决算培训费0元，2017年决算培训费0元</w:t>
      </w:r>
      <w:r>
        <w:rPr>
          <w:rFonts w:hint="eastAsia" w:ascii="宋体" w:hAnsi="宋体" w:cs="宋体"/>
          <w:sz w:val="28"/>
          <w:szCs w:val="28"/>
          <w:lang w:eastAsia="zh-CN"/>
        </w:rPr>
        <w:t>。</w:t>
      </w:r>
      <w:r>
        <w:rPr>
          <w:rFonts w:hint="eastAsia" w:ascii="宋体" w:hAnsi="宋体" w:cs="宋体"/>
          <w:sz w:val="28"/>
          <w:szCs w:val="28"/>
        </w:rPr>
        <w:t>　　</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（三）关于机关运行经费支出说明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2018年机关运行经费支出1778883.33元, 2017年机关运行经费支出1,865,169.90元,同比上年增加-86286.57元，同比上年增加-4.63%，原因是科技局缩减开支。</w:t>
      </w:r>
    </w:p>
    <w:p>
      <w:pPr>
        <w:widowControl/>
        <w:shd w:val="clear" w:color="auto" w:fill="FFFFFF"/>
        <w:ind w:firstLine="281" w:firstLineChars="100"/>
        <w:jc w:val="left"/>
        <w:rPr>
          <w:rFonts w:hint="eastAsia" w:ascii="宋体" w:hAnsi="宋体" w:cs="宋体"/>
          <w:b/>
          <w:bCs/>
          <w:sz w:val="28"/>
          <w:szCs w:val="28"/>
        </w:rPr>
      </w:pPr>
      <w:r>
        <w:rPr>
          <w:rFonts w:hint="eastAsia" w:ascii="宋体" w:hAnsi="宋体" w:cs="宋体"/>
          <w:b/>
          <w:bCs/>
          <w:sz w:val="28"/>
          <w:szCs w:val="28"/>
        </w:rPr>
        <w:t>（四）关于政府采购支出说明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无政府采购支出。</w:t>
      </w:r>
    </w:p>
    <w:p>
      <w:pPr>
        <w:widowControl/>
        <w:shd w:val="clear" w:color="auto" w:fill="FFFFFF"/>
        <w:ind w:firstLine="281" w:firstLineChars="100"/>
        <w:jc w:val="left"/>
        <w:rPr>
          <w:rFonts w:hint="eastAsia" w:ascii="宋体" w:hAnsi="宋体" w:cs="宋体"/>
          <w:b/>
          <w:bCs/>
          <w:sz w:val="28"/>
          <w:szCs w:val="28"/>
        </w:rPr>
      </w:pPr>
      <w:r>
        <w:rPr>
          <w:rFonts w:hint="eastAsia" w:ascii="宋体" w:hAnsi="宋体" w:cs="宋体"/>
          <w:b/>
          <w:bCs/>
          <w:sz w:val="28"/>
          <w:szCs w:val="28"/>
        </w:rPr>
        <w:t>（五）关于国有资产占用情况说明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截至201</w:t>
      </w:r>
      <w:r>
        <w:rPr>
          <w:rFonts w:hint="eastAsia" w:ascii="宋体" w:hAnsi="宋体" w:cs="宋体"/>
          <w:sz w:val="28"/>
          <w:szCs w:val="28"/>
          <w:lang w:val="en-US" w:eastAsia="zh-CN"/>
        </w:rPr>
        <w:t>8</w:t>
      </w:r>
      <w:r>
        <w:rPr>
          <w:rFonts w:hint="eastAsia" w:ascii="宋体" w:hAnsi="宋体" w:cs="宋体"/>
          <w:sz w:val="28"/>
          <w:szCs w:val="28"/>
        </w:rPr>
        <w:t>年12月31日，本部门（单位）共有车辆0辆，其中，领导干部用车0辆、一般公务用车0辆、一般执法执勤用车0辆、特种专业技术用车0辆、其他用车0辆。</w:t>
      </w: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第四部分名词解释</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一、财政补助收入：指县级财政当年拨付的资金。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二、其他收入：指除“财政拨款收入”、“上级补助收入”、“事业收入”、“经营收入”等以外的收入。主要是存款利息收入等。</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三、年初结转和结余：指以前年度尚未完成、结转到本年按有关规定继续使用的资金。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六、一般公共服务（类）机关服务（项）：指县黄石港区科技局服务中心为机关提供办公楼日常维修、维护等后勤保障服务的支出。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七、一般公共服务（类）其他一般公共服务支出（款）其他一般公共服务支出（项）：指黄石港区科技局用于其他一般公共服务方面的支出。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八、教育（类）普通教育（款）高等教育（项）：指黄石港区科技局厅支持地方高校的重点发展和特色办学，组织专家对省属院校申报的建设规划和项目预算进行评审等相关工作的支出。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九、社会保障和就业(类)行政事业单位离退休（款）归口管理的行政单位离退休（项）：指黄石港区科技局用于离退休人员的支出、退休人员支出，以及提供管理服务工作的离退休干部处的支出。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十、社会保障和就业(类)行政事业单位离退休（款）其他行政事业单位离退休支出（项）：指黄石港区科技局用于离退休方面的其他支出。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十一、医疗卫生与计划生育（类）医疗保障（款）行政单位医疗（项）：指黄石港区科技局用于机关干部职工及离退休人员医疗方面的支出。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十五、项目支出：指在基本支出之外为完成特定行政任务和事业发展目标所发生的支出。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5629"/>
    <w:multiLevelType w:val="singleLevel"/>
    <w:tmpl w:val="236E5629"/>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29"/>
    <w:rsid w:val="0008118F"/>
    <w:rsid w:val="00254083"/>
    <w:rsid w:val="003A560C"/>
    <w:rsid w:val="003B3D08"/>
    <w:rsid w:val="00457173"/>
    <w:rsid w:val="007C3829"/>
    <w:rsid w:val="007C7022"/>
    <w:rsid w:val="00852A39"/>
    <w:rsid w:val="00876560"/>
    <w:rsid w:val="008A22CA"/>
    <w:rsid w:val="008A53D1"/>
    <w:rsid w:val="00A70FC0"/>
    <w:rsid w:val="00CB7553"/>
    <w:rsid w:val="00D33438"/>
    <w:rsid w:val="00D41D96"/>
    <w:rsid w:val="00D5418C"/>
    <w:rsid w:val="01956809"/>
    <w:rsid w:val="0664587B"/>
    <w:rsid w:val="09FF39B4"/>
    <w:rsid w:val="0B821CB6"/>
    <w:rsid w:val="0F580F62"/>
    <w:rsid w:val="10157CA5"/>
    <w:rsid w:val="106E5F7E"/>
    <w:rsid w:val="11411182"/>
    <w:rsid w:val="13FA6E94"/>
    <w:rsid w:val="15AA2D21"/>
    <w:rsid w:val="1D3216D7"/>
    <w:rsid w:val="219E41B4"/>
    <w:rsid w:val="255E033E"/>
    <w:rsid w:val="27272230"/>
    <w:rsid w:val="27390172"/>
    <w:rsid w:val="2782791E"/>
    <w:rsid w:val="2CCE2491"/>
    <w:rsid w:val="2F081AB6"/>
    <w:rsid w:val="30EE6CA3"/>
    <w:rsid w:val="35840005"/>
    <w:rsid w:val="401A2F36"/>
    <w:rsid w:val="408F5EDF"/>
    <w:rsid w:val="44064590"/>
    <w:rsid w:val="457D21A1"/>
    <w:rsid w:val="49D83A19"/>
    <w:rsid w:val="4A187DA8"/>
    <w:rsid w:val="4D5A2399"/>
    <w:rsid w:val="4FCC39E6"/>
    <w:rsid w:val="507C1CF5"/>
    <w:rsid w:val="54184293"/>
    <w:rsid w:val="57193076"/>
    <w:rsid w:val="5EF27DB1"/>
    <w:rsid w:val="61773BFF"/>
    <w:rsid w:val="621B3808"/>
    <w:rsid w:val="67E4782B"/>
    <w:rsid w:val="6A5F0092"/>
    <w:rsid w:val="6FC62DF1"/>
    <w:rsid w:val="746766E2"/>
    <w:rsid w:val="74EA7B66"/>
    <w:rsid w:val="78186405"/>
    <w:rsid w:val="784C1E5B"/>
    <w:rsid w:val="795C4EE8"/>
    <w:rsid w:val="796F54E7"/>
    <w:rsid w:val="7D417A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10"/>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10"/>
    <w:qFormat/>
    <w:uiPriority w:val="0"/>
  </w:style>
  <w:style w:type="character" w:customStyle="1" w:styleId="16">
    <w:name w:val="apple-converted-space"/>
    <w:basedOn w:val="10"/>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10"/>
    <w:link w:val="7"/>
    <w:qFormat/>
    <w:uiPriority w:val="0"/>
    <w:rPr>
      <w:rFonts w:asciiTheme="minorHAnsi" w:hAnsiTheme="minorHAnsi" w:eastAsiaTheme="minorEastAsia" w:cstheme="minorBidi"/>
      <w:kern w:val="2"/>
      <w:sz w:val="18"/>
      <w:szCs w:val="18"/>
    </w:rPr>
  </w:style>
  <w:style w:type="character" w:customStyle="1" w:styleId="19">
    <w:name w:val="页脚 Char"/>
    <w:basedOn w:val="10"/>
    <w:link w:val="6"/>
    <w:qFormat/>
    <w:uiPriority w:val="0"/>
    <w:rPr>
      <w:rFonts w:asciiTheme="minorHAnsi" w:hAnsiTheme="minorHAnsi" w:eastAsiaTheme="minorEastAsia" w:cstheme="minorBidi"/>
      <w:kern w:val="2"/>
      <w:sz w:val="18"/>
      <w:szCs w:val="18"/>
    </w:rPr>
  </w:style>
  <w:style w:type="character" w:customStyle="1" w:styleId="20">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17</Pages>
  <Words>733</Words>
  <Characters>4180</Characters>
  <Lines>34</Lines>
  <Paragraphs>9</Paragraphs>
  <TotalTime>1</TotalTime>
  <ScaleCrop>false</ScaleCrop>
  <LinksUpToDate>false</LinksUpToDate>
  <CharactersWithSpaces>4904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asd</cp:lastModifiedBy>
  <dcterms:modified xsi:type="dcterms:W3CDTF">2020-08-11T09:01:13Z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