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060000" w:fill="FFFFFF"/>
        <w:spacing w:beforeAutospacing="0" w:after="375" w:afterAutospacing="0" w:line="450" w:lineRule="atLeast"/>
        <w:jc w:val="center"/>
        <w:rPr>
          <w:rFonts w:hint="default" w:ascii="微软雅黑" w:hAnsi="微软雅黑" w:eastAsia="微软雅黑" w:cs="微软雅黑"/>
          <w:color w:val="BC1010"/>
          <w:sz w:val="40"/>
          <w:szCs w:val="40"/>
          <w:shd w:val="clear" w:color="090000" w:fill="FFFFFF"/>
        </w:rPr>
      </w:pPr>
    </w:p>
    <w:p>
      <w:pPr>
        <w:pStyle w:val="2"/>
        <w:widowControl/>
        <w:shd w:val="clear" w:color="060000"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090000" w:fill="FFFFFF"/>
        </w:rPr>
        <w:t>老干局2018年决算公开</w:t>
      </w:r>
    </w:p>
    <w:p>
      <w:pPr>
        <w:pStyle w:val="17"/>
        <w:spacing w:before="76" w:beforeAutospacing="0" w:after="76" w:afterAutospacing="0" w:line="450" w:lineRule="atLeast"/>
        <w:ind w:firstLine="420"/>
        <w:jc w:val="center"/>
        <w:rPr>
          <w:color w:val="333333"/>
          <w:szCs w:val="24"/>
        </w:rPr>
      </w:pPr>
      <w:r>
        <w:rPr>
          <w:rStyle w:val="8"/>
          <w:rFonts w:hint="eastAsia" w:ascii="微软雅黑" w:hAnsi="微软雅黑" w:eastAsia="微软雅黑" w:cs="微软雅黑"/>
          <w:color w:val="333333"/>
          <w:szCs w:val="24"/>
          <w:shd w:val="clear" w:color="090000" w:fill="FFFFFF"/>
        </w:rPr>
        <w:t>黄石港区老干局2018年决算公开</w:t>
      </w:r>
    </w:p>
    <w:p>
      <w:pPr>
        <w:pStyle w:val="17"/>
        <w:spacing w:before="76" w:beforeAutospacing="0" w:after="76" w:afterAutospacing="0" w:line="450" w:lineRule="atLeast"/>
        <w:ind w:firstLine="420"/>
        <w:jc w:val="center"/>
        <w:rPr>
          <w:color w:val="333333"/>
          <w:szCs w:val="24"/>
        </w:rPr>
      </w:pPr>
      <w:r>
        <w:rPr>
          <w:rFonts w:hint="eastAsia" w:ascii="微软雅黑" w:hAnsi="微软雅黑" w:eastAsia="微软雅黑" w:cs="微软雅黑"/>
          <w:color w:val="333333"/>
          <w:szCs w:val="24"/>
          <w:shd w:val="clear" w:color="090000" w:fill="FFFFFF"/>
        </w:rPr>
        <w:t>目  录</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第一部分:部门基本情况</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一、部门主要职责</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二、部门决算单位构成</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第二部分: 部门2018年部门决算表</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一、收入支出决算总表（表1）</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二、收入决算表（表2）</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三、支出决算表（表3）</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四、财政拨款收入支出决算总表（表4）</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五、一般公共预算财政拨款支出决算表（表5）</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六、一般公共预算财政拨款基本支出决算表（表6）</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七、一般公共预算财政拨款“三公”经费支出决算表（表7）</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八、政府性基金预算财政拨款收入支出决算表（8）</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第三部分：部门2018年部门决算情况说明</w:t>
      </w:r>
    </w:p>
    <w:p>
      <w:pPr>
        <w:pStyle w:val="17"/>
        <w:spacing w:before="76" w:beforeAutospacing="0" w:after="76" w:afterAutospacing="0" w:line="450" w:lineRule="atLeast"/>
        <w:ind w:firstLine="420"/>
        <w:rPr>
          <w:rFonts w:ascii="微软雅黑" w:hAnsi="微软雅黑" w:eastAsia="微软雅黑" w:cs="微软雅黑"/>
          <w:color w:val="333333"/>
          <w:szCs w:val="24"/>
          <w:shd w:val="clear" w:color="080000" w:fill="FFFFFF"/>
        </w:rPr>
      </w:pPr>
      <w:r>
        <w:rPr>
          <w:rFonts w:hint="eastAsia" w:ascii="微软雅黑" w:hAnsi="微软雅黑" w:eastAsia="微软雅黑" w:cs="微软雅黑"/>
          <w:color w:val="333333"/>
          <w:szCs w:val="24"/>
          <w:shd w:val="clear" w:color="080000" w:fill="FFFFFF"/>
        </w:rPr>
        <w:t>一、预算执行情况分析</w:t>
      </w:r>
    </w:p>
    <w:p>
      <w:pPr>
        <w:pStyle w:val="17"/>
        <w:spacing w:before="76" w:beforeAutospacing="0" w:after="76" w:afterAutospacing="0" w:line="450" w:lineRule="atLeast"/>
        <w:ind w:firstLine="420"/>
        <w:rPr>
          <w:rFonts w:ascii="微软雅黑" w:hAnsi="微软雅黑" w:eastAsia="微软雅黑" w:cs="微软雅黑"/>
          <w:color w:val="333333"/>
          <w:szCs w:val="24"/>
          <w:shd w:val="clear" w:color="080000" w:fill="FFFFFF"/>
        </w:rPr>
      </w:pPr>
      <w:r>
        <w:rPr>
          <w:rFonts w:hint="eastAsia" w:ascii="微软雅黑" w:hAnsi="微软雅黑" w:eastAsia="微软雅黑" w:cs="微软雅黑"/>
          <w:color w:val="333333"/>
          <w:szCs w:val="24"/>
          <w:shd w:val="clear" w:color="080000" w:fill="FFFFFF"/>
        </w:rPr>
        <w:t>二、关于“三公”经费支出说明</w:t>
      </w:r>
    </w:p>
    <w:p>
      <w:pPr>
        <w:pStyle w:val="17"/>
        <w:spacing w:before="76" w:beforeAutospacing="0" w:after="76" w:afterAutospacing="0" w:line="450" w:lineRule="atLeast"/>
        <w:ind w:firstLine="420"/>
        <w:rPr>
          <w:rFonts w:ascii="微软雅黑" w:hAnsi="微软雅黑" w:eastAsia="微软雅黑" w:cs="微软雅黑"/>
          <w:color w:val="333333"/>
          <w:szCs w:val="24"/>
          <w:shd w:val="clear" w:color="080000" w:fill="FFFFFF"/>
        </w:rPr>
      </w:pPr>
      <w:r>
        <w:rPr>
          <w:rFonts w:hint="eastAsia" w:ascii="微软雅黑" w:hAnsi="微软雅黑" w:eastAsia="微软雅黑" w:cs="微软雅黑"/>
          <w:color w:val="333333"/>
          <w:szCs w:val="24"/>
          <w:shd w:val="clear" w:color="080000" w:fill="FFFFFF"/>
        </w:rPr>
        <w:t>三、关于机关运行经费支出说明</w:t>
      </w:r>
    </w:p>
    <w:p>
      <w:pPr>
        <w:pStyle w:val="17"/>
        <w:spacing w:before="76" w:beforeAutospacing="0" w:after="76" w:afterAutospacing="0" w:line="450" w:lineRule="atLeast"/>
        <w:ind w:firstLine="420"/>
        <w:rPr>
          <w:rFonts w:ascii="微软雅黑" w:hAnsi="微软雅黑" w:eastAsia="微软雅黑" w:cs="微软雅黑"/>
          <w:color w:val="333333"/>
          <w:szCs w:val="24"/>
          <w:shd w:val="clear" w:color="080000" w:fill="FFFFFF"/>
        </w:rPr>
      </w:pPr>
      <w:r>
        <w:rPr>
          <w:rFonts w:hint="eastAsia" w:ascii="微软雅黑" w:hAnsi="微软雅黑" w:eastAsia="微软雅黑" w:cs="微软雅黑"/>
          <w:color w:val="333333"/>
          <w:szCs w:val="24"/>
          <w:shd w:val="clear" w:color="080000" w:fill="FFFFFF"/>
        </w:rPr>
        <w:t>四、关于政府采购支出说明</w:t>
      </w:r>
    </w:p>
    <w:p>
      <w:pPr>
        <w:pStyle w:val="17"/>
        <w:spacing w:before="76" w:beforeAutospacing="0" w:after="76" w:afterAutospacing="0" w:line="450" w:lineRule="atLeast"/>
        <w:ind w:firstLine="420"/>
        <w:rPr>
          <w:rFonts w:hint="eastAsia" w:ascii="微软雅黑" w:hAnsi="微软雅黑" w:eastAsia="微软雅黑" w:cs="微软雅黑"/>
          <w:color w:val="333333"/>
          <w:szCs w:val="24"/>
          <w:shd w:val="clear" w:color="080000" w:fill="FFFFFF"/>
        </w:rPr>
      </w:pPr>
      <w:r>
        <w:rPr>
          <w:rFonts w:hint="eastAsia" w:ascii="微软雅黑" w:hAnsi="微软雅黑" w:eastAsia="微软雅黑" w:cs="微软雅黑"/>
          <w:color w:val="333333"/>
          <w:szCs w:val="24"/>
          <w:shd w:val="clear" w:color="080000" w:fill="FFFFFF"/>
        </w:rPr>
        <w:t>五、关于国有资产占用情况说明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color w:val="333333"/>
          <w:szCs w:val="24"/>
          <w:shd w:val="clear" w:color="080000"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第四部分：名词解释 </w:t>
      </w:r>
    </w:p>
    <w:p>
      <w:pPr>
        <w:ind w:firstLine="480"/>
        <w:rPr>
          <w:rFonts w:ascii="微软雅黑" w:hAnsi="微软雅黑" w:eastAsia="微软雅黑" w:cs="微软雅黑"/>
          <w:b/>
          <w:bCs/>
          <w:color w:val="000000" w:themeColor="text1"/>
          <w:sz w:val="28"/>
          <w:szCs w:val="28"/>
        </w:rPr>
      </w:pPr>
    </w:p>
    <w:p>
      <w:pPr>
        <w:ind w:firstLine="480"/>
        <w:rPr>
          <w:rFonts w:ascii="微软雅黑" w:hAnsi="微软雅黑" w:eastAsia="微软雅黑" w:cs="微软雅黑"/>
          <w:b/>
          <w:bCs/>
          <w:color w:val="000000" w:themeColor="text1"/>
          <w:sz w:val="28"/>
          <w:szCs w:val="28"/>
        </w:rPr>
      </w:pPr>
    </w:p>
    <w:p>
      <w:pPr>
        <w:ind w:firstLine="480"/>
        <w:rPr>
          <w:rFonts w:ascii="微软雅黑" w:hAnsi="微软雅黑" w:eastAsia="微软雅黑" w:cs="微软雅黑"/>
          <w:b/>
          <w:bCs/>
          <w:color w:val="000000" w:themeColor="text1"/>
          <w:sz w:val="28"/>
          <w:szCs w:val="28"/>
        </w:rPr>
      </w:pPr>
    </w:p>
    <w:p>
      <w:pPr>
        <w:ind w:firstLine="480"/>
        <w:rPr>
          <w:rFonts w:ascii="微软雅黑" w:hAnsi="微软雅黑" w:eastAsia="微软雅黑" w:cs="微软雅黑"/>
          <w:b/>
          <w:bCs/>
          <w:color w:val="000000" w:themeColor="text1"/>
          <w:sz w:val="28"/>
          <w:szCs w:val="28"/>
        </w:rPr>
      </w:pPr>
    </w:p>
    <w:p>
      <w:pPr>
        <w:pStyle w:val="17"/>
        <w:spacing w:before="76" w:beforeAutospacing="0" w:after="76" w:afterAutospacing="0" w:line="450" w:lineRule="atLeast"/>
        <w:jc w:val="center"/>
        <w:rPr>
          <w:color w:val="333333"/>
          <w:szCs w:val="24"/>
        </w:rPr>
      </w:pPr>
      <w:r>
        <w:rPr>
          <w:rStyle w:val="8"/>
          <w:rFonts w:hint="eastAsia" w:ascii="微软雅黑" w:hAnsi="微软雅黑" w:eastAsia="微软雅黑" w:cs="微软雅黑"/>
          <w:color w:val="333333"/>
          <w:szCs w:val="24"/>
          <w:shd w:val="clear" w:color="090000" w:fill="FFFFFF"/>
        </w:rPr>
        <w:t>2018年部门决算</w:t>
      </w:r>
    </w:p>
    <w:p>
      <w:pPr>
        <w:pStyle w:val="17"/>
        <w:spacing w:before="76" w:beforeAutospacing="0" w:after="76" w:afterAutospacing="0" w:line="450" w:lineRule="atLeast"/>
        <w:ind w:firstLine="420"/>
        <w:rPr>
          <w:color w:val="333333"/>
          <w:szCs w:val="24"/>
        </w:rPr>
      </w:pPr>
      <w:r>
        <w:rPr>
          <w:rStyle w:val="8"/>
          <w:rFonts w:hint="eastAsia" w:ascii="微软雅黑" w:hAnsi="微软雅黑" w:eastAsia="微软雅黑" w:cs="微软雅黑"/>
          <w:color w:val="333333"/>
          <w:szCs w:val="24"/>
          <w:shd w:val="clear" w:color="090000" w:fill="FFFFFF"/>
        </w:rPr>
        <w:t>第一部分部门概况</w:t>
      </w:r>
    </w:p>
    <w:p>
      <w:pPr>
        <w:widowControl/>
        <w:shd w:val="clear" w:color="auto" w:fill="FFFFFF"/>
        <w:ind w:firstLine="48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rPr>
        <w:t>（</w:t>
      </w:r>
      <w:r>
        <w:rPr>
          <w:rFonts w:hint="eastAsia" w:asciiTheme="minorEastAsia" w:hAnsiTheme="minorEastAsia" w:eastAsiaTheme="minorEastAsia" w:cstheme="minorEastAsia"/>
          <w:sz w:val="28"/>
          <w:szCs w:val="28"/>
        </w:rPr>
        <w:t>一）主要职责</w:t>
      </w:r>
    </w:p>
    <w:p>
      <w:pPr>
        <w:pStyle w:val="10"/>
        <w:ind w:left="284" w:firstLine="600" w:firstLineChars="200"/>
        <w:rPr>
          <w:rFonts w:asciiTheme="minorEastAsia" w:hAnsiTheme="minorEastAsia" w:eastAsiaTheme="minorEastAsia" w:cstheme="minorEastAsia"/>
          <w:color w:val="000000" w:themeColor="text1"/>
          <w:sz w:val="30"/>
          <w:szCs w:val="30"/>
          <w:shd w:val="clear" w:color="auto" w:fill="FFFFFF"/>
        </w:rPr>
      </w:pPr>
      <w:r>
        <w:rPr>
          <w:rFonts w:hint="eastAsia" w:asciiTheme="minorEastAsia" w:hAnsiTheme="minorEastAsia" w:eastAsiaTheme="minorEastAsia" w:cstheme="minorEastAsia"/>
          <w:color w:val="000000" w:themeColor="text1"/>
          <w:sz w:val="30"/>
          <w:szCs w:val="30"/>
          <w:shd w:val="clear" w:color="auto" w:fill="FFFFFF"/>
        </w:rPr>
        <w:t>黄石港区老干部局座落于黄石市磁湖路180号黄石港区政府大楼内，肃属于黄石市黄石港区。负责作的职能部门。主要职能：贯彻执行党和国家关于老干部的工作方针，政策研究，制定切合区情况的具体落实办法和措施；做好老干部的信访接待和处理、返馈工作；组织老干部开展各种文娱活动；负责全区老干部工作政策业务的指导和检查工作，督促有关部门单位落实好老干部的政治生活待遇。</w:t>
      </w:r>
    </w:p>
    <w:p>
      <w:pPr>
        <w:widowControl/>
        <w:shd w:val="clear" w:color="auto" w:fill="FFFFFF"/>
        <w:ind w:firstLine="300" w:firstLineChars="100"/>
        <w:jc w:val="left"/>
        <w:rPr>
          <w:rFonts w:ascii="宋体" w:hAnsi="宋体" w:cs="宋体"/>
          <w:color w:val="333333"/>
          <w:kern w:val="0"/>
          <w:sz w:val="30"/>
          <w:szCs w:val="30"/>
        </w:rPr>
      </w:pPr>
      <w:r>
        <w:rPr>
          <w:rFonts w:hint="eastAsia" w:ascii="仿宋_GB2312" w:eastAsia="仿宋_GB2312"/>
          <w:sz w:val="30"/>
          <w:szCs w:val="30"/>
        </w:rPr>
        <w:t>（二）单位基本信息(机构设置等</w:t>
      </w:r>
      <w:r>
        <w:rPr>
          <w:rFonts w:hint="eastAsia" w:ascii="宋体" w:hAnsi="宋体" w:cs="宋体"/>
          <w:color w:val="333333"/>
          <w:kern w:val="0"/>
          <w:sz w:val="30"/>
          <w:szCs w:val="30"/>
        </w:rPr>
        <w:t>)</w:t>
      </w:r>
    </w:p>
    <w:p>
      <w:pPr>
        <w:pStyle w:val="10"/>
        <w:ind w:left="284" w:firstLine="600" w:firstLineChars="200"/>
        <w:rPr>
          <w:rFonts w:asciiTheme="minorEastAsia" w:hAnsiTheme="minorEastAsia" w:eastAsiaTheme="minorEastAsia" w:cstheme="minorEastAsia"/>
          <w:color w:val="000000" w:themeColor="text1"/>
          <w:sz w:val="30"/>
          <w:szCs w:val="30"/>
          <w:shd w:val="clear" w:color="auto" w:fill="FFFFFF"/>
        </w:rPr>
      </w:pPr>
      <w:r>
        <w:rPr>
          <w:rFonts w:hint="eastAsia" w:asciiTheme="minorEastAsia" w:hAnsiTheme="minorEastAsia" w:eastAsiaTheme="minorEastAsia" w:cstheme="minorEastAsia"/>
          <w:color w:val="000000" w:themeColor="text1"/>
          <w:sz w:val="30"/>
          <w:szCs w:val="30"/>
          <w:shd w:val="clear" w:color="auto" w:fill="FFFFFF"/>
        </w:rPr>
        <w:t>黄石港区老干部局内设办公室、老年大学、老干部活动中心、分别负责上述职责和机关日常事务。</w:t>
      </w:r>
    </w:p>
    <w:p>
      <w:pPr>
        <w:widowControl/>
        <w:shd w:val="clear" w:color="auto" w:fill="FFFFFF"/>
        <w:ind w:firstLine="300" w:firstLineChars="100"/>
        <w:jc w:val="left"/>
        <w:rPr>
          <w:rFonts w:ascii="仿宋_GB2312" w:eastAsia="仿宋_GB2312"/>
          <w:sz w:val="30"/>
          <w:szCs w:val="30"/>
        </w:rPr>
      </w:pPr>
      <w:r>
        <w:rPr>
          <w:rFonts w:hint="eastAsia" w:ascii="仿宋_GB2312" w:eastAsia="仿宋_GB2312"/>
          <w:sz w:val="30"/>
          <w:szCs w:val="30"/>
        </w:rPr>
        <w:t>（三）人员情况</w:t>
      </w:r>
    </w:p>
    <w:p>
      <w:pPr>
        <w:pStyle w:val="10"/>
        <w:ind w:left="284" w:firstLine="600" w:firstLineChars="200"/>
        <w:rPr>
          <w:rFonts w:asciiTheme="minorEastAsia" w:hAnsiTheme="minorEastAsia" w:eastAsiaTheme="minorEastAsia" w:cstheme="minorEastAsia"/>
          <w:color w:val="000000" w:themeColor="text1"/>
          <w:sz w:val="30"/>
          <w:szCs w:val="30"/>
          <w:shd w:val="clear" w:color="auto" w:fill="FFFFFF"/>
        </w:rPr>
      </w:pPr>
      <w:r>
        <w:rPr>
          <w:rFonts w:hint="eastAsia" w:asciiTheme="minorEastAsia" w:hAnsiTheme="minorEastAsia" w:eastAsiaTheme="minorEastAsia" w:cstheme="minorEastAsia"/>
          <w:color w:val="000000" w:themeColor="text1"/>
          <w:sz w:val="30"/>
          <w:szCs w:val="30"/>
          <w:shd w:val="clear" w:color="auto" w:fill="FFFFFF"/>
        </w:rPr>
        <w:t>在职在编2个，行政编1人；事业编1人。无变化。</w:t>
      </w:r>
    </w:p>
    <w:p>
      <w:pPr>
        <w:pStyle w:val="10"/>
        <w:ind w:left="284" w:firstLine="600" w:firstLineChars="200"/>
        <w:rPr>
          <w:rFonts w:asciiTheme="minorEastAsia" w:hAnsiTheme="minorEastAsia" w:eastAsiaTheme="minorEastAsia" w:cstheme="minorEastAsia"/>
          <w:color w:val="000000" w:themeColor="text1"/>
          <w:sz w:val="30"/>
          <w:szCs w:val="30"/>
          <w:shd w:val="clear" w:color="auto" w:fill="FFFFFF"/>
        </w:rPr>
      </w:pPr>
    </w:p>
    <w:p>
      <w:pPr>
        <w:pStyle w:val="6"/>
        <w:widowControl/>
        <w:spacing w:before="76" w:beforeAutospacing="0" w:after="76" w:afterAutospacing="0" w:line="450" w:lineRule="atLeast"/>
      </w:pPr>
      <w:r>
        <w:rPr>
          <w:rStyle w:val="8"/>
          <w:rFonts w:hint="eastAsia" w:ascii="微软雅黑" w:hAnsi="微软雅黑" w:eastAsia="微软雅黑" w:cs="微软雅黑"/>
          <w:color w:val="333333"/>
          <w:szCs w:val="24"/>
          <w:shd w:val="clear" w:color="auto" w:fill="FFFFFF"/>
        </w:rPr>
        <w:t>第二部分部门2018年部门决算表</w:t>
      </w:r>
      <w:r>
        <w:drawing>
          <wp:inline distT="0" distB="0" distL="0" distR="0">
            <wp:extent cx="8777605" cy="5537200"/>
            <wp:effectExtent l="0" t="0" r="4445" b="635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4"/>
                    <a:srcRect t="2187" r="967"/>
                    <a:stretch>
                      <a:fillRect/>
                    </a:stretch>
                  </pic:blipFill>
                  <pic:spPr>
                    <a:xfrm>
                      <a:off x="0" y="0"/>
                      <a:ext cx="8777605" cy="5537200"/>
                    </a:xfrm>
                    <a:prstGeom prst="rect">
                      <a:avLst/>
                    </a:prstGeom>
                    <a:noFill/>
                    <a:ln w="9525">
                      <a:noFill/>
                      <a:miter lim="800000"/>
                      <a:headEnd/>
                      <a:tailEnd/>
                    </a:ln>
                  </pic:spPr>
                </pic:pic>
              </a:graphicData>
            </a:graphic>
          </wp:inline>
        </w:drawing>
      </w:r>
      <w:r>
        <w:drawing>
          <wp:inline distT="0" distB="0" distL="0" distR="0">
            <wp:extent cx="8759190" cy="2979420"/>
            <wp:effectExtent l="0" t="0" r="3810" b="1143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5"/>
                    <a:srcRect/>
                    <a:stretch>
                      <a:fillRect/>
                    </a:stretch>
                  </pic:blipFill>
                  <pic:spPr>
                    <a:xfrm>
                      <a:off x="0" y="0"/>
                      <a:ext cx="8759190" cy="2979481"/>
                    </a:xfrm>
                    <a:prstGeom prst="rect">
                      <a:avLst/>
                    </a:prstGeom>
                    <a:noFill/>
                    <a:ln w="9525">
                      <a:noFill/>
                      <a:miter lim="800000"/>
                      <a:headEnd/>
                      <a:tailEnd/>
                    </a:ln>
                  </pic:spPr>
                </pic:pic>
              </a:graphicData>
            </a:graphic>
          </wp:inline>
        </w:drawing>
      </w:r>
      <w:r>
        <w:drawing>
          <wp:inline distT="0" distB="0" distL="0" distR="0">
            <wp:extent cx="8740140" cy="3081020"/>
            <wp:effectExtent l="0" t="0" r="3810" b="508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6"/>
                    <a:srcRect/>
                    <a:stretch>
                      <a:fillRect/>
                    </a:stretch>
                  </pic:blipFill>
                  <pic:spPr>
                    <a:xfrm>
                      <a:off x="0" y="0"/>
                      <a:ext cx="8740140" cy="3081425"/>
                    </a:xfrm>
                    <a:prstGeom prst="rect">
                      <a:avLst/>
                    </a:prstGeom>
                    <a:noFill/>
                    <a:ln w="9525">
                      <a:noFill/>
                      <a:miter lim="800000"/>
                      <a:headEnd/>
                      <a:tailEnd/>
                    </a:ln>
                  </pic:spPr>
                </pic:pic>
              </a:graphicData>
            </a:graphic>
          </wp:inline>
        </w:drawing>
      </w:r>
      <w:r>
        <w:drawing>
          <wp:inline distT="0" distB="0" distL="114300" distR="114300">
            <wp:extent cx="8856980" cy="6653530"/>
            <wp:effectExtent l="0" t="0" r="127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8856980" cy="6653530"/>
                    </a:xfrm>
                    <a:prstGeom prst="rect">
                      <a:avLst/>
                    </a:prstGeom>
                    <a:noFill/>
                    <a:ln>
                      <a:noFill/>
                    </a:ln>
                  </pic:spPr>
                </pic:pic>
              </a:graphicData>
            </a:graphic>
          </wp:inline>
        </w:drawing>
      </w:r>
    </w:p>
    <w:p>
      <w:pPr>
        <w:pStyle w:val="6"/>
        <w:widowControl/>
        <w:spacing w:before="76" w:beforeAutospacing="0" w:after="76" w:afterAutospacing="0" w:line="450" w:lineRule="atLeast"/>
        <w:jc w:val="both"/>
      </w:pPr>
      <w:r>
        <w:drawing>
          <wp:inline distT="0" distB="0" distL="114300" distR="114300">
            <wp:extent cx="8781415" cy="3457575"/>
            <wp:effectExtent l="0" t="0" r="63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8781415" cy="3457575"/>
                    </a:xfrm>
                    <a:prstGeom prst="rect">
                      <a:avLst/>
                    </a:prstGeom>
                    <a:noFill/>
                    <a:ln>
                      <a:noFill/>
                    </a:ln>
                  </pic:spPr>
                </pic:pic>
              </a:graphicData>
            </a:graphic>
          </wp:inline>
        </w:drawing>
      </w:r>
    </w:p>
    <w:p>
      <w:pPr>
        <w:pStyle w:val="6"/>
        <w:widowControl/>
        <w:spacing w:before="76" w:beforeAutospacing="0" w:after="76" w:afterAutospacing="0" w:line="450" w:lineRule="atLeast"/>
        <w:jc w:val="both"/>
      </w:pPr>
      <w:r>
        <w:drawing>
          <wp:inline distT="0" distB="0" distL="114300" distR="114300">
            <wp:extent cx="8750300" cy="540067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8750300" cy="5400675"/>
                    </a:xfrm>
                    <a:prstGeom prst="rect">
                      <a:avLst/>
                    </a:prstGeom>
                    <a:noFill/>
                    <a:ln>
                      <a:noFill/>
                    </a:ln>
                  </pic:spPr>
                </pic:pic>
              </a:graphicData>
            </a:graphic>
          </wp:inline>
        </w:drawing>
      </w:r>
    </w:p>
    <w:p>
      <w:pPr>
        <w:pStyle w:val="6"/>
        <w:widowControl/>
        <w:spacing w:before="76" w:beforeAutospacing="0" w:after="76" w:afterAutospacing="0" w:line="450" w:lineRule="atLeast"/>
        <w:jc w:val="both"/>
        <w:rPr>
          <w:rFonts w:ascii="微软雅黑" w:hAnsi="微软雅黑" w:eastAsia="微软雅黑" w:cs="微软雅黑"/>
          <w:color w:val="333333"/>
          <w:szCs w:val="24"/>
          <w:shd w:val="clear" w:color="auto" w:fill="FFFFFF"/>
        </w:rPr>
      </w:pPr>
      <w:r>
        <w:drawing>
          <wp:inline distT="0" distB="0" distL="114300" distR="114300">
            <wp:extent cx="8777605" cy="3025775"/>
            <wp:effectExtent l="0" t="0" r="444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8777605" cy="3025775"/>
                    </a:xfrm>
                    <a:prstGeom prst="rect">
                      <a:avLst/>
                    </a:prstGeom>
                    <a:noFill/>
                    <a:ln>
                      <a:noFill/>
                    </a:ln>
                  </pic:spPr>
                </pic:pic>
              </a:graphicData>
            </a:graphic>
          </wp:inline>
        </w:drawing>
      </w:r>
      <w:r>
        <w:rPr>
          <w:rFonts w:ascii="微软雅黑" w:hAnsi="微软雅黑" w:eastAsia="微软雅黑" w:cs="微软雅黑"/>
          <w:color w:val="333333"/>
          <w:szCs w:val="24"/>
          <w:shd w:val="clear" w:color="auto" w:fill="FFFFFF"/>
        </w:rPr>
        <w:drawing>
          <wp:inline distT="0" distB="0" distL="0" distR="0">
            <wp:extent cx="8863330" cy="2721610"/>
            <wp:effectExtent l="1905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11"/>
                    <a:srcRect/>
                    <a:stretch>
                      <a:fillRect/>
                    </a:stretch>
                  </pic:blipFill>
                  <pic:spPr>
                    <a:xfrm>
                      <a:off x="0" y="0"/>
                      <a:ext cx="8863330" cy="2722243"/>
                    </a:xfrm>
                    <a:prstGeom prst="rect">
                      <a:avLst/>
                    </a:prstGeom>
                    <a:noFill/>
                    <a:ln w="9525">
                      <a:noFill/>
                      <a:miter lim="800000"/>
                      <a:headEnd/>
                      <a:tailEnd/>
                    </a:ln>
                  </pic:spPr>
                </pic:pic>
              </a:graphicData>
            </a:graphic>
          </wp:inline>
        </w:drawing>
      </w:r>
    </w:p>
    <w:p>
      <w:pPr>
        <w:pStyle w:val="6"/>
        <w:widowControl/>
        <w:spacing w:before="76" w:beforeAutospacing="0" w:after="76" w:afterAutospacing="0" w:line="450" w:lineRule="atLeast"/>
        <w:jc w:val="both"/>
        <w:rPr>
          <w:rFonts w:ascii="微软雅黑" w:hAnsi="微软雅黑" w:eastAsia="微软雅黑" w:cs="微软雅黑"/>
          <w:color w:val="333333"/>
          <w:szCs w:val="24"/>
          <w:shd w:val="clear" w:color="auto" w:fill="FFFFFF"/>
        </w:rPr>
      </w:pPr>
    </w:p>
    <w:p>
      <w:pPr>
        <w:pStyle w:val="6"/>
        <w:widowControl/>
        <w:numPr>
          <w:ilvl w:val="0"/>
          <w:numId w:val="1"/>
        </w:numPr>
        <w:spacing w:before="76" w:beforeAutospacing="0" w:after="76" w:afterAutospacing="0" w:line="450" w:lineRule="atLeast"/>
        <w:ind w:firstLine="420"/>
        <w:rPr>
          <w:rStyle w:val="8"/>
          <w:rFonts w:ascii="微软雅黑" w:hAnsi="微软雅黑" w:eastAsia="微软雅黑" w:cs="微软雅黑"/>
          <w:color w:val="333333"/>
          <w:szCs w:val="24"/>
          <w:shd w:val="clear" w:color="auto" w:fill="FFFFFF"/>
        </w:rPr>
      </w:pPr>
      <w:r>
        <w:rPr>
          <w:rStyle w:val="8"/>
          <w:rFonts w:hint="eastAsia" w:ascii="微软雅黑" w:hAnsi="微软雅黑" w:eastAsia="微软雅黑" w:cs="微软雅黑"/>
          <w:color w:val="333333"/>
          <w:szCs w:val="24"/>
          <w:shd w:val="clear" w:color="auto" w:fill="FFFFFF"/>
        </w:rPr>
        <w:t>2018年部门决算情况说明</w:t>
      </w:r>
    </w:p>
    <w:p>
      <w:pPr>
        <w:ind w:left="529" w:leftChars="252"/>
        <w:jc w:val="left"/>
        <w:rPr>
          <w:rFonts w:asciiTheme="minorEastAsia" w:hAnsiTheme="minorEastAsia" w:eastAsiaTheme="minorEastAsia" w:cstheme="minorEastAsia"/>
          <w:b/>
          <w:bCs/>
          <w:color w:val="000000" w:themeColor="text1"/>
          <w:sz w:val="32"/>
          <w:szCs w:val="32"/>
          <w:shd w:val="clear" w:color="auto" w:fill="FFFFFF"/>
        </w:rPr>
      </w:pPr>
      <w:r>
        <w:rPr>
          <w:rFonts w:hint="eastAsia" w:asciiTheme="minorEastAsia" w:hAnsiTheme="minorEastAsia" w:eastAsiaTheme="minorEastAsia" w:cstheme="minorEastAsia"/>
          <w:b/>
          <w:bCs/>
          <w:color w:val="000000" w:themeColor="text1"/>
          <w:sz w:val="28"/>
          <w:szCs w:val="28"/>
          <w:shd w:val="clear" w:color="auto" w:fill="FFFFFF"/>
        </w:rPr>
        <w:t>（一）预算执行情况分析</w:t>
      </w:r>
    </w:p>
    <w:p>
      <w:pPr>
        <w:ind w:firstLine="560" w:firstLineChars="200"/>
        <w:jc w:val="left"/>
        <w:rPr>
          <w:rFonts w:asciiTheme="minorEastAsia" w:hAnsiTheme="minorEastAsia" w:eastAsiaTheme="minorEastAsia" w:cstheme="minorEastAsia"/>
          <w:color w:val="000000" w:themeColor="text1"/>
          <w:sz w:val="28"/>
          <w:szCs w:val="28"/>
          <w:shd w:val="clear" w:color="auto" w:fill="FFFFFF"/>
        </w:rPr>
      </w:pPr>
      <w:r>
        <w:rPr>
          <w:rFonts w:hint="eastAsia" w:asciiTheme="minorEastAsia" w:hAnsiTheme="minorEastAsia" w:eastAsiaTheme="minorEastAsia" w:cstheme="minorEastAsia"/>
          <w:sz w:val="28"/>
          <w:szCs w:val="28"/>
        </w:rPr>
        <w:t>2018年财政收入预算数1899678元，其中人员经费266755元，公用经费1632923元, 2018年财政支出预算数1899678元，其中人员经费266755元，公用经费1632923元,2017年财政收入预算数3667068元，其中人员经费311903元，公用经费3355165元,2017年财政支出预算数3667068元，其中人员经费311903元，公用经费3355165元, 2018年收入预算数安排比上年减少1767390元，2018年支出预算数安排比上年减少1767390元。</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1、收入支出与预算对比分析</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2018年全年总收入4767679.19元,其中财拨决算收入4389437.16元,其它收入378242.03元,2018年全年决算总支出4781819.99元,其中财拨决算支出4506119.99元,其它资金支出275700元,2018年财政预算数4170111.04元，财拔决算比预算多219326.12元,幅度为5.2%,原因为开展离退休老干部文娱活动增加。</w:t>
      </w:r>
      <w:r>
        <w:rPr>
          <w:rFonts w:hint="eastAsia" w:asciiTheme="minorEastAsia" w:hAnsiTheme="minorEastAsia" w:eastAsiaTheme="minorEastAsia" w:cstheme="minorEastAsia"/>
          <w:sz w:val="28"/>
          <w:szCs w:val="28"/>
        </w:rPr>
        <w:br w:type="textWrapping"/>
      </w:r>
      <w:r>
        <w:rPr>
          <w:rFonts w:asciiTheme="minorEastAsia" w:hAnsiTheme="minorEastAsia" w:eastAsiaTheme="minorEastAsia" w:cstheme="minorEastAsia"/>
          <w:color w:val="000000" w:themeColor="text1"/>
          <w:sz w:val="28"/>
          <w:szCs w:val="28"/>
          <w:shd w:val="clear" w:color="auto" w:fill="FFFFFF"/>
        </w:rPr>
        <w:t>2、收入支出结构分析</w:t>
      </w:r>
      <w:r>
        <w:rPr>
          <w:rFonts w:asciiTheme="minorEastAsia" w:hAnsiTheme="minorEastAsia" w:eastAsiaTheme="minorEastAsia" w:cstheme="minorEastAsia"/>
          <w:color w:val="000000" w:themeColor="text1"/>
          <w:sz w:val="28"/>
          <w:szCs w:val="28"/>
          <w:shd w:val="clear" w:color="auto" w:fill="FFFFFF"/>
        </w:rPr>
        <w:br w:type="textWrapping"/>
      </w:r>
      <w:r>
        <w:rPr>
          <w:rFonts w:asciiTheme="minorEastAsia" w:hAnsiTheme="minorEastAsia" w:eastAsiaTheme="minorEastAsia" w:cstheme="minorEastAsia"/>
          <w:color w:val="000000" w:themeColor="text1"/>
          <w:sz w:val="28"/>
          <w:szCs w:val="28"/>
          <w:shd w:val="clear" w:color="auto" w:fill="FFFFFF"/>
        </w:rPr>
        <w:t>（1）2018年全年总收入</w:t>
      </w:r>
      <w:r>
        <w:rPr>
          <w:rFonts w:hint="eastAsia" w:asciiTheme="minorEastAsia" w:hAnsiTheme="minorEastAsia" w:eastAsiaTheme="minorEastAsia" w:cstheme="minorEastAsia"/>
          <w:color w:val="000000" w:themeColor="text1"/>
          <w:sz w:val="28"/>
          <w:szCs w:val="28"/>
          <w:shd w:val="clear" w:color="auto" w:fill="FFFFFF"/>
        </w:rPr>
        <w:t>4767679.19</w:t>
      </w:r>
      <w:r>
        <w:rPr>
          <w:rFonts w:asciiTheme="minorEastAsia" w:hAnsiTheme="minorEastAsia" w:eastAsiaTheme="minorEastAsia" w:cstheme="minorEastAsia"/>
          <w:color w:val="000000" w:themeColor="text1"/>
          <w:sz w:val="28"/>
          <w:szCs w:val="28"/>
          <w:shd w:val="clear" w:color="auto" w:fill="FFFFFF"/>
        </w:rPr>
        <w:t>元,其中财</w:t>
      </w:r>
      <w:r>
        <w:rPr>
          <w:rFonts w:hint="eastAsia" w:asciiTheme="minorEastAsia" w:hAnsiTheme="minorEastAsia" w:eastAsiaTheme="minorEastAsia" w:cstheme="minorEastAsia"/>
          <w:color w:val="000000" w:themeColor="text1"/>
          <w:sz w:val="28"/>
          <w:szCs w:val="28"/>
          <w:shd w:val="clear" w:color="auto" w:fill="FFFFFF"/>
        </w:rPr>
        <w:t>拨</w:t>
      </w:r>
      <w:r>
        <w:rPr>
          <w:rFonts w:asciiTheme="minorEastAsia" w:hAnsiTheme="minorEastAsia" w:eastAsiaTheme="minorEastAsia" w:cstheme="minorEastAsia"/>
          <w:color w:val="000000" w:themeColor="text1"/>
          <w:sz w:val="28"/>
          <w:szCs w:val="28"/>
          <w:shd w:val="clear" w:color="auto" w:fill="FFFFFF"/>
        </w:rPr>
        <w:t>决算收入</w:t>
      </w:r>
      <w:r>
        <w:rPr>
          <w:rFonts w:hint="eastAsia" w:asciiTheme="minorEastAsia" w:hAnsiTheme="minorEastAsia" w:eastAsiaTheme="minorEastAsia" w:cstheme="minorEastAsia"/>
          <w:color w:val="000000" w:themeColor="text1"/>
          <w:sz w:val="28"/>
          <w:szCs w:val="28"/>
          <w:shd w:val="clear" w:color="auto" w:fill="FFFFFF"/>
        </w:rPr>
        <w:t>4389437.16</w:t>
      </w:r>
      <w:r>
        <w:rPr>
          <w:rFonts w:asciiTheme="minorEastAsia" w:hAnsiTheme="minorEastAsia" w:eastAsiaTheme="minorEastAsia" w:cstheme="minorEastAsia"/>
          <w:color w:val="000000" w:themeColor="text1"/>
          <w:sz w:val="28"/>
          <w:szCs w:val="28"/>
          <w:shd w:val="clear" w:color="auto" w:fill="FFFFFF"/>
        </w:rPr>
        <w:t>元,其它收入</w:t>
      </w:r>
      <w:r>
        <w:rPr>
          <w:rFonts w:hint="eastAsia" w:asciiTheme="minorEastAsia" w:hAnsiTheme="minorEastAsia" w:eastAsiaTheme="minorEastAsia" w:cstheme="minorEastAsia"/>
          <w:color w:val="000000" w:themeColor="text1"/>
          <w:sz w:val="28"/>
          <w:szCs w:val="28"/>
          <w:shd w:val="clear" w:color="auto" w:fill="FFFFFF"/>
        </w:rPr>
        <w:t>378242.03</w:t>
      </w:r>
      <w:r>
        <w:rPr>
          <w:rFonts w:asciiTheme="minorEastAsia" w:hAnsiTheme="minorEastAsia" w:eastAsiaTheme="minorEastAsia" w:cstheme="minorEastAsia"/>
          <w:color w:val="000000" w:themeColor="text1"/>
          <w:sz w:val="28"/>
          <w:szCs w:val="28"/>
          <w:shd w:val="clear" w:color="auto" w:fill="FFFFFF"/>
        </w:rPr>
        <w:t>元。</w:t>
      </w:r>
      <w:r>
        <w:rPr>
          <w:rFonts w:asciiTheme="minorEastAsia" w:hAnsiTheme="minorEastAsia" w:eastAsiaTheme="minorEastAsia" w:cstheme="minorEastAsia"/>
          <w:color w:val="000000" w:themeColor="text1"/>
          <w:sz w:val="28"/>
          <w:szCs w:val="28"/>
          <w:shd w:val="clear" w:color="auto" w:fill="FFFFFF"/>
        </w:rPr>
        <w:br w:type="textWrapping"/>
      </w:r>
      <w:r>
        <w:rPr>
          <w:rFonts w:asciiTheme="minorEastAsia" w:hAnsiTheme="minorEastAsia" w:eastAsiaTheme="minorEastAsia" w:cstheme="minorEastAsia"/>
          <w:color w:val="000000" w:themeColor="text1"/>
          <w:sz w:val="28"/>
          <w:szCs w:val="28"/>
          <w:shd w:val="clear" w:color="auto" w:fill="FFFFFF"/>
        </w:rPr>
        <w:t>（2）2018年全年决算总支出</w:t>
      </w:r>
      <w:r>
        <w:rPr>
          <w:rFonts w:hint="eastAsia" w:asciiTheme="minorEastAsia" w:hAnsiTheme="minorEastAsia" w:eastAsiaTheme="minorEastAsia" w:cstheme="minorEastAsia"/>
          <w:color w:val="000000" w:themeColor="text1"/>
          <w:sz w:val="28"/>
          <w:szCs w:val="28"/>
          <w:shd w:val="clear" w:color="auto" w:fill="FFFFFF"/>
        </w:rPr>
        <w:t>4767679.19</w:t>
      </w:r>
      <w:r>
        <w:rPr>
          <w:rFonts w:asciiTheme="minorEastAsia" w:hAnsiTheme="minorEastAsia" w:eastAsiaTheme="minorEastAsia" w:cstheme="minorEastAsia"/>
          <w:color w:val="000000" w:themeColor="text1"/>
          <w:sz w:val="28"/>
          <w:szCs w:val="28"/>
          <w:shd w:val="clear" w:color="auto" w:fill="FFFFFF"/>
        </w:rPr>
        <w:t>元,其中财</w:t>
      </w:r>
      <w:r>
        <w:rPr>
          <w:rFonts w:hint="eastAsia" w:asciiTheme="minorEastAsia" w:hAnsiTheme="minorEastAsia" w:eastAsiaTheme="minorEastAsia" w:cstheme="minorEastAsia"/>
          <w:color w:val="000000" w:themeColor="text1"/>
          <w:sz w:val="28"/>
          <w:szCs w:val="28"/>
          <w:shd w:val="clear" w:color="auto" w:fill="FFFFFF"/>
        </w:rPr>
        <w:t>拨</w:t>
      </w:r>
      <w:r>
        <w:rPr>
          <w:rFonts w:asciiTheme="minorEastAsia" w:hAnsiTheme="minorEastAsia" w:eastAsiaTheme="minorEastAsia" w:cstheme="minorEastAsia"/>
          <w:color w:val="000000" w:themeColor="text1"/>
          <w:sz w:val="28"/>
          <w:szCs w:val="28"/>
          <w:shd w:val="clear" w:color="auto" w:fill="FFFFFF"/>
        </w:rPr>
        <w:t>决算支出</w:t>
      </w:r>
      <w:r>
        <w:rPr>
          <w:rFonts w:hint="eastAsia" w:asciiTheme="minorEastAsia" w:hAnsiTheme="minorEastAsia" w:eastAsiaTheme="minorEastAsia" w:cstheme="minorEastAsia"/>
          <w:color w:val="000000" w:themeColor="text1"/>
          <w:sz w:val="28"/>
          <w:szCs w:val="28"/>
          <w:shd w:val="clear" w:color="auto" w:fill="FFFFFF"/>
        </w:rPr>
        <w:t>4389437.16</w:t>
      </w:r>
      <w:r>
        <w:rPr>
          <w:rFonts w:asciiTheme="minorEastAsia" w:hAnsiTheme="minorEastAsia" w:eastAsiaTheme="minorEastAsia" w:cstheme="minorEastAsia"/>
          <w:color w:val="000000" w:themeColor="text1"/>
          <w:sz w:val="28"/>
          <w:szCs w:val="28"/>
          <w:shd w:val="clear" w:color="auto" w:fill="FFFFFF"/>
        </w:rPr>
        <w:t>元,其它资金支出</w:t>
      </w:r>
      <w:r>
        <w:rPr>
          <w:rFonts w:hint="eastAsia" w:asciiTheme="minorEastAsia" w:hAnsiTheme="minorEastAsia" w:eastAsiaTheme="minorEastAsia" w:cstheme="minorEastAsia"/>
          <w:color w:val="000000" w:themeColor="text1"/>
          <w:sz w:val="28"/>
          <w:szCs w:val="28"/>
          <w:shd w:val="clear" w:color="auto" w:fill="FFFFFF"/>
        </w:rPr>
        <w:t>275700</w:t>
      </w:r>
      <w:r>
        <w:rPr>
          <w:rFonts w:asciiTheme="minorEastAsia" w:hAnsiTheme="minorEastAsia" w:eastAsiaTheme="minorEastAsia" w:cstheme="minorEastAsia"/>
          <w:color w:val="000000" w:themeColor="text1"/>
          <w:sz w:val="28"/>
          <w:szCs w:val="28"/>
          <w:shd w:val="clear" w:color="auto" w:fill="FFFFFF"/>
        </w:rPr>
        <w:t>元，支出按以下分类说明：</w:t>
      </w:r>
      <w:r>
        <w:rPr>
          <w:rFonts w:asciiTheme="minorEastAsia" w:hAnsiTheme="minorEastAsia" w:eastAsiaTheme="minorEastAsia" w:cstheme="minorEastAsia"/>
          <w:color w:val="000000" w:themeColor="text1"/>
          <w:sz w:val="28"/>
          <w:szCs w:val="28"/>
          <w:shd w:val="clear" w:color="auto" w:fill="FFFFFF"/>
        </w:rPr>
        <w:br w:type="textWrapping"/>
      </w:r>
      <w:r>
        <w:rPr>
          <w:rFonts w:asciiTheme="minorEastAsia" w:hAnsiTheme="minorEastAsia" w:eastAsiaTheme="minorEastAsia" w:cstheme="minorEastAsia"/>
          <w:color w:val="000000" w:themeColor="text1"/>
          <w:sz w:val="28"/>
          <w:szCs w:val="28"/>
          <w:shd w:val="clear" w:color="auto" w:fill="FFFFFF"/>
        </w:rPr>
        <w:t>①支出功能分类：</w:t>
      </w:r>
      <w:r>
        <w:rPr>
          <w:rFonts w:hint="eastAsia" w:asciiTheme="minorEastAsia" w:hAnsiTheme="minorEastAsia" w:eastAsiaTheme="minorEastAsia" w:cstheme="minorEastAsia"/>
          <w:color w:val="000000" w:themeColor="text1"/>
          <w:sz w:val="28"/>
          <w:szCs w:val="28"/>
          <w:shd w:val="clear" w:color="auto" w:fill="FFFFFF"/>
        </w:rPr>
        <w:t>4767679.19</w:t>
      </w:r>
      <w:r>
        <w:rPr>
          <w:rFonts w:asciiTheme="minorEastAsia" w:hAnsiTheme="minorEastAsia" w:eastAsiaTheme="minorEastAsia" w:cstheme="minorEastAsia"/>
          <w:color w:val="000000" w:themeColor="text1"/>
          <w:sz w:val="28"/>
          <w:szCs w:val="28"/>
          <w:shd w:val="clear" w:color="auto" w:fill="FFFFFF"/>
        </w:rPr>
        <w:t>元; 政府办公厅（室）及相关机构事务</w:t>
      </w:r>
      <w:r>
        <w:rPr>
          <w:rFonts w:hint="eastAsia" w:asciiTheme="minorEastAsia" w:hAnsiTheme="minorEastAsia" w:eastAsiaTheme="minorEastAsia" w:cstheme="minorEastAsia"/>
          <w:color w:val="000000" w:themeColor="text1"/>
          <w:sz w:val="28"/>
          <w:szCs w:val="28"/>
          <w:shd w:val="clear" w:color="auto" w:fill="FFFFFF"/>
        </w:rPr>
        <w:t>4767679.19</w:t>
      </w:r>
      <w:r>
        <w:rPr>
          <w:rFonts w:asciiTheme="minorEastAsia" w:hAnsiTheme="minorEastAsia" w:eastAsiaTheme="minorEastAsia" w:cstheme="minorEastAsia"/>
          <w:color w:val="000000" w:themeColor="text1"/>
          <w:sz w:val="28"/>
          <w:szCs w:val="28"/>
          <w:shd w:val="clear" w:color="auto" w:fill="FFFFFF"/>
        </w:rPr>
        <w:t>元</w:t>
      </w:r>
      <w:r>
        <w:rPr>
          <w:rFonts w:asciiTheme="minorEastAsia" w:hAnsiTheme="minorEastAsia" w:eastAsiaTheme="minorEastAsia" w:cstheme="minorEastAsia"/>
          <w:color w:val="000000" w:themeColor="text1"/>
          <w:sz w:val="28"/>
          <w:szCs w:val="28"/>
          <w:shd w:val="clear" w:color="auto" w:fill="FFFFFF"/>
        </w:rPr>
        <w:br w:type="textWrapping"/>
      </w:r>
      <w:r>
        <w:rPr>
          <w:rFonts w:asciiTheme="minorEastAsia" w:hAnsiTheme="minorEastAsia" w:eastAsiaTheme="minorEastAsia" w:cstheme="minorEastAsia"/>
          <w:color w:val="000000" w:themeColor="text1"/>
          <w:sz w:val="28"/>
          <w:szCs w:val="28"/>
          <w:shd w:val="clear" w:color="auto" w:fill="FFFFFF"/>
        </w:rPr>
        <w:t>②支出性质分类：</w:t>
      </w:r>
      <w:r>
        <w:rPr>
          <w:rFonts w:hint="eastAsia" w:asciiTheme="minorEastAsia" w:hAnsiTheme="minorEastAsia" w:eastAsiaTheme="minorEastAsia" w:cstheme="minorEastAsia"/>
          <w:color w:val="000000" w:themeColor="text1"/>
          <w:sz w:val="28"/>
          <w:szCs w:val="28"/>
          <w:shd w:val="clear" w:color="auto" w:fill="FFFFFF"/>
        </w:rPr>
        <w:t>4767679.19</w:t>
      </w:r>
      <w:r>
        <w:rPr>
          <w:rFonts w:asciiTheme="minorEastAsia" w:hAnsiTheme="minorEastAsia" w:eastAsiaTheme="minorEastAsia" w:cstheme="minorEastAsia"/>
          <w:color w:val="000000" w:themeColor="text1"/>
          <w:sz w:val="28"/>
          <w:szCs w:val="28"/>
          <w:shd w:val="clear" w:color="auto" w:fill="FFFFFF"/>
        </w:rPr>
        <w:t>元，其中人员经费</w:t>
      </w:r>
      <w:r>
        <w:rPr>
          <w:rFonts w:hint="eastAsia" w:asciiTheme="minorEastAsia" w:hAnsiTheme="minorEastAsia" w:eastAsiaTheme="minorEastAsia" w:cstheme="minorEastAsia"/>
          <w:color w:val="000000" w:themeColor="text1"/>
          <w:sz w:val="28"/>
          <w:szCs w:val="28"/>
          <w:shd w:val="clear" w:color="auto" w:fill="FFFFFF"/>
        </w:rPr>
        <w:t>1107972.76</w:t>
      </w:r>
      <w:r>
        <w:rPr>
          <w:rFonts w:asciiTheme="minorEastAsia" w:hAnsiTheme="minorEastAsia" w:eastAsiaTheme="minorEastAsia" w:cstheme="minorEastAsia"/>
          <w:color w:val="000000" w:themeColor="text1"/>
          <w:sz w:val="28"/>
          <w:szCs w:val="28"/>
          <w:shd w:val="clear" w:color="auto" w:fill="FFFFFF"/>
        </w:rPr>
        <w:t>元，公用经费</w:t>
      </w:r>
      <w:r>
        <w:rPr>
          <w:rFonts w:hint="eastAsia" w:asciiTheme="minorEastAsia" w:hAnsiTheme="minorEastAsia" w:eastAsiaTheme="minorEastAsia" w:cstheme="minorEastAsia"/>
          <w:color w:val="000000" w:themeColor="text1"/>
          <w:sz w:val="28"/>
          <w:szCs w:val="28"/>
          <w:shd w:val="clear" w:color="auto" w:fill="FFFFFF"/>
        </w:rPr>
        <w:t>1549127.98</w:t>
      </w:r>
      <w:r>
        <w:rPr>
          <w:rFonts w:asciiTheme="minorEastAsia" w:hAnsiTheme="minorEastAsia" w:eastAsiaTheme="minorEastAsia" w:cstheme="minorEastAsia"/>
          <w:color w:val="000000" w:themeColor="text1"/>
          <w:sz w:val="28"/>
          <w:szCs w:val="28"/>
          <w:shd w:val="clear" w:color="auto" w:fill="FFFFFF"/>
        </w:rPr>
        <w:t>元</w:t>
      </w:r>
      <w:r>
        <w:rPr>
          <w:rFonts w:asciiTheme="minorEastAsia" w:hAnsiTheme="minorEastAsia" w:eastAsiaTheme="minorEastAsia" w:cstheme="minorEastAsia"/>
          <w:color w:val="000000" w:themeColor="text1"/>
          <w:sz w:val="28"/>
          <w:szCs w:val="28"/>
          <w:shd w:val="clear" w:color="auto" w:fill="FFFFFF"/>
        </w:rPr>
        <w:br w:type="textWrapping"/>
      </w:r>
      <w:r>
        <w:rPr>
          <w:rFonts w:asciiTheme="minorEastAsia" w:hAnsiTheme="minorEastAsia" w:eastAsiaTheme="minorEastAsia" w:cstheme="minorEastAsia"/>
          <w:color w:val="000000" w:themeColor="text1"/>
          <w:sz w:val="28"/>
          <w:szCs w:val="28"/>
          <w:shd w:val="clear" w:color="auto" w:fill="FFFFFF"/>
        </w:rPr>
        <w:t>③支出经济分类：</w:t>
      </w:r>
      <w:r>
        <w:rPr>
          <w:rFonts w:hint="eastAsia" w:asciiTheme="minorEastAsia" w:hAnsiTheme="minorEastAsia" w:eastAsiaTheme="minorEastAsia" w:cstheme="minorEastAsia"/>
          <w:color w:val="000000" w:themeColor="text1"/>
          <w:sz w:val="28"/>
          <w:szCs w:val="28"/>
          <w:shd w:val="clear" w:color="auto" w:fill="FFFFFF"/>
        </w:rPr>
        <w:t>4767679.19</w:t>
      </w:r>
      <w:r>
        <w:rPr>
          <w:rFonts w:asciiTheme="minorEastAsia" w:hAnsiTheme="minorEastAsia" w:eastAsiaTheme="minorEastAsia" w:cstheme="minorEastAsia"/>
          <w:color w:val="000000" w:themeColor="text1"/>
          <w:sz w:val="28"/>
          <w:szCs w:val="28"/>
          <w:shd w:val="clear" w:color="auto" w:fill="FFFFFF"/>
        </w:rPr>
        <w:t>元，其中工资福利支出 </w:t>
      </w:r>
      <w:r>
        <w:rPr>
          <w:rFonts w:hint="eastAsia" w:asciiTheme="minorEastAsia" w:hAnsiTheme="minorEastAsia" w:eastAsiaTheme="minorEastAsia" w:cstheme="minorEastAsia"/>
          <w:color w:val="000000" w:themeColor="text1"/>
          <w:sz w:val="28"/>
          <w:szCs w:val="28"/>
          <w:shd w:val="clear" w:color="auto" w:fill="FFFFFF"/>
        </w:rPr>
        <w:t>1107972.76</w:t>
      </w:r>
      <w:r>
        <w:rPr>
          <w:rFonts w:asciiTheme="minorEastAsia" w:hAnsiTheme="minorEastAsia" w:eastAsiaTheme="minorEastAsia" w:cstheme="minorEastAsia"/>
          <w:color w:val="000000" w:themeColor="text1"/>
          <w:sz w:val="28"/>
          <w:szCs w:val="28"/>
          <w:shd w:val="clear" w:color="auto" w:fill="FFFFFF"/>
        </w:rPr>
        <w:t>元，商品服务支出</w:t>
      </w:r>
      <w:r>
        <w:rPr>
          <w:rFonts w:hint="eastAsia" w:asciiTheme="minorEastAsia" w:hAnsiTheme="minorEastAsia" w:eastAsiaTheme="minorEastAsia" w:cstheme="minorEastAsia"/>
          <w:color w:val="000000" w:themeColor="text1"/>
          <w:sz w:val="28"/>
          <w:szCs w:val="28"/>
          <w:shd w:val="clear" w:color="auto" w:fill="FFFFFF"/>
        </w:rPr>
        <w:t>1549127.98</w:t>
      </w:r>
      <w:r>
        <w:rPr>
          <w:rFonts w:asciiTheme="minorEastAsia" w:hAnsiTheme="minorEastAsia" w:eastAsiaTheme="minorEastAsia" w:cstheme="minorEastAsia"/>
          <w:color w:val="000000" w:themeColor="text1"/>
          <w:sz w:val="28"/>
          <w:szCs w:val="28"/>
          <w:shd w:val="clear" w:color="auto" w:fill="FFFFFF"/>
        </w:rPr>
        <w:t>元，对个人和家庭的补助支出</w:t>
      </w:r>
      <w:r>
        <w:rPr>
          <w:rFonts w:hint="eastAsia" w:asciiTheme="minorEastAsia" w:hAnsiTheme="minorEastAsia" w:eastAsiaTheme="minorEastAsia" w:cstheme="minorEastAsia"/>
          <w:color w:val="000000" w:themeColor="text1"/>
          <w:sz w:val="28"/>
          <w:szCs w:val="28"/>
          <w:shd w:val="clear" w:color="auto" w:fill="FFFFFF"/>
        </w:rPr>
        <w:t>2110578.45</w:t>
      </w:r>
      <w:r>
        <w:rPr>
          <w:rFonts w:asciiTheme="minorEastAsia" w:hAnsiTheme="minorEastAsia" w:eastAsiaTheme="minorEastAsia" w:cstheme="minorEastAsia"/>
          <w:color w:val="000000" w:themeColor="text1"/>
          <w:sz w:val="28"/>
          <w:szCs w:val="28"/>
          <w:shd w:val="clear" w:color="auto" w:fill="FFFFFF"/>
        </w:rPr>
        <w:t>元，其它资本性支出</w:t>
      </w:r>
      <w:r>
        <w:rPr>
          <w:rFonts w:hint="eastAsia" w:asciiTheme="minorEastAsia" w:hAnsiTheme="minorEastAsia" w:eastAsiaTheme="minorEastAsia" w:cstheme="minorEastAsia"/>
          <w:color w:val="000000" w:themeColor="text1"/>
          <w:sz w:val="28"/>
          <w:szCs w:val="28"/>
          <w:shd w:val="clear" w:color="auto" w:fill="FFFFFF"/>
        </w:rPr>
        <w:t>0</w:t>
      </w:r>
      <w:r>
        <w:rPr>
          <w:rFonts w:asciiTheme="minorEastAsia" w:hAnsiTheme="minorEastAsia" w:eastAsiaTheme="minorEastAsia" w:cstheme="minorEastAsia"/>
          <w:color w:val="000000" w:themeColor="text1"/>
          <w:sz w:val="28"/>
          <w:szCs w:val="28"/>
          <w:shd w:val="clear" w:color="auto" w:fill="FFFFFF"/>
        </w:rPr>
        <w:t>元。</w:t>
      </w:r>
    </w:p>
    <w:p>
      <w:pPr>
        <w:ind w:firstLine="562" w:firstLineChars="20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（二）关于“三公”经费支出说明</w:t>
      </w:r>
    </w:p>
    <w:p>
      <w:pPr>
        <w:pStyle w:val="13"/>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本年度三公经费中，公务接待费用支出0元。出国及车辆均无支出。</w:t>
      </w:r>
    </w:p>
    <w:p>
      <w:pPr>
        <w:pStyle w:val="13"/>
        <w:spacing w:line="240" w:lineRule="auto"/>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（三）关于机关运行经费支出说明</w:t>
      </w:r>
    </w:p>
    <w:p>
      <w:pPr>
        <w:pStyle w:val="13"/>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2018年度机关运行经费支出438.94万元，其中：人员经费110.8万元；日常公用经费154.91万元；日常公用经费包括：办公费22.37万元、印刷费0.61万元、邮电费0.12万元、差旅费0.82万元、物业费1万元、培训费0万元、公务招待0万元、劳务费9.72万元、其他1.92万元。2018年度机关运行经费支出比年初预算数417.01万元增加21.93万元，增长15.26%。主要原因是：涨幅原因为本年度补发、补交以前年度工资及社保费用以及开展老干部活动经费支出上涨。</w:t>
      </w:r>
    </w:p>
    <w:p>
      <w:pPr>
        <w:pStyle w:val="13"/>
        <w:spacing w:line="240" w:lineRule="auto"/>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（四）关于政府采购支出说明</w:t>
      </w:r>
    </w:p>
    <w:p>
      <w:pPr>
        <w:pStyle w:val="13"/>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本年无政府采购支出。</w:t>
      </w:r>
    </w:p>
    <w:p>
      <w:pPr>
        <w:pStyle w:val="13"/>
        <w:spacing w:line="240" w:lineRule="auto"/>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（五）关于国有资产占用情况说明</w:t>
      </w:r>
    </w:p>
    <w:p>
      <w:pPr>
        <w:pStyle w:val="13"/>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本单位无公车和大型设备。</w:t>
      </w:r>
    </w:p>
    <w:p>
      <w:pPr>
        <w:spacing w:line="560" w:lineRule="exact"/>
        <w:ind w:firstLine="570" w:firstLineChars="200"/>
        <w:rPr>
          <w:rFonts w:hint="eastAsia" w:asciiTheme="minorEastAsia" w:hAnsiTheme="minorEastAsia" w:eastAsiaTheme="minorEastAsia" w:cstheme="minorEastAsia"/>
          <w:b/>
          <w:bCs/>
          <w:color w:val="000000"/>
          <w:spacing w:val="2"/>
          <w:sz w:val="28"/>
          <w:szCs w:val="28"/>
          <w:lang w:val="en-US" w:eastAsia="zh-CN"/>
        </w:rPr>
      </w:pPr>
      <w:r>
        <w:rPr>
          <w:rFonts w:hint="eastAsia" w:asciiTheme="minorEastAsia" w:hAnsiTheme="minorEastAsia" w:eastAsiaTheme="minorEastAsia" w:cstheme="minorEastAsia"/>
          <w:b/>
          <w:bCs/>
          <w:color w:val="000000"/>
          <w:spacing w:val="2"/>
          <w:sz w:val="28"/>
          <w:szCs w:val="28"/>
          <w:lang w:val="en-US" w:eastAsia="zh-CN"/>
        </w:rPr>
        <w:t>（六）重点绩效评价结果等预算绩效情况说明</w:t>
      </w:r>
    </w:p>
    <w:p>
      <w:pPr>
        <w:pStyle w:val="13"/>
        <w:spacing w:line="24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 根据预算绩效管理要求，我单位组织2018年度一般公共预算项目支出全面开展绩效自评，共涉及项目3个，资金19万元。 2018年项目资金投入19万元，已使用19万元，使用率100%。使用从评价结果看，项目立项程序完整、规范，预算执行及时、有效，绩效目标得到较好实现，绩效管理水平不断提高，绩效指标体系建设逐渐丰富和完善。</w:t>
      </w:r>
      <w:bookmarkStart w:id="0" w:name="_GoBack"/>
      <w:bookmarkEnd w:id="0"/>
    </w:p>
    <w:p>
      <w:pPr>
        <w:pStyle w:val="13"/>
        <w:spacing w:line="240" w:lineRule="auto"/>
        <w:ind w:firstLine="560" w:firstLineChars="200"/>
        <w:rPr>
          <w:rFonts w:hint="eastAsia" w:asciiTheme="minorEastAsia" w:hAnsiTheme="minorEastAsia" w:eastAsiaTheme="minorEastAsia" w:cstheme="minorEastAsia"/>
          <w:sz w:val="28"/>
          <w:szCs w:val="28"/>
        </w:rPr>
      </w:pPr>
    </w:p>
    <w:p>
      <w:pPr>
        <w:pStyle w:val="13"/>
        <w:spacing w:line="240" w:lineRule="auto"/>
        <w:ind w:firstLine="600" w:firstLineChars="200"/>
        <w:rPr>
          <w:rFonts w:asciiTheme="minorEastAsia" w:hAnsiTheme="minorEastAsia" w:eastAsiaTheme="minorEastAsia" w:cstheme="minorEastAsia"/>
          <w:sz w:val="30"/>
          <w:szCs w:val="30"/>
        </w:rPr>
      </w:pPr>
    </w:p>
    <w:p>
      <w:pPr>
        <w:pStyle w:val="13"/>
        <w:spacing w:line="240" w:lineRule="auto"/>
        <w:ind w:firstLine="600" w:firstLineChars="200"/>
        <w:rPr>
          <w:rFonts w:asciiTheme="minorEastAsia" w:hAnsiTheme="minorEastAsia" w:eastAsiaTheme="minorEastAsia" w:cstheme="minorEastAsia"/>
          <w:sz w:val="30"/>
          <w:szCs w:val="30"/>
        </w:rPr>
      </w:pPr>
    </w:p>
    <w:p>
      <w:pPr>
        <w:pStyle w:val="6"/>
        <w:widowControl/>
        <w:spacing w:before="76" w:beforeAutospacing="0" w:after="76" w:afterAutospacing="0" w:line="450" w:lineRule="atLeast"/>
        <w:ind w:firstLine="420"/>
        <w:rPr>
          <w:color w:val="333333"/>
          <w:szCs w:val="24"/>
        </w:rPr>
      </w:pPr>
      <w:r>
        <w:rPr>
          <w:rStyle w:val="8"/>
          <w:rFonts w:hint="eastAsia" w:ascii="微软雅黑" w:hAnsi="微软雅黑" w:eastAsia="微软雅黑" w:cs="微软雅黑"/>
          <w:color w:val="333333"/>
          <w:szCs w:val="24"/>
          <w:shd w:val="clear" w:color="auto" w:fill="FFFFFF"/>
        </w:rPr>
        <w:t>第四部分名词解释</w:t>
      </w:r>
    </w:p>
    <w:p>
      <w:pPr>
        <w:pStyle w:val="13"/>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一、财政补助收入：指县级财政当年拨付的资金。</w:t>
      </w:r>
    </w:p>
    <w:p>
      <w:pPr>
        <w:pStyle w:val="13"/>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二、其他收入：指除“财政拨款收入”、“上级补助收入”、“事业收入”、“经营收入”等以外的收入。主要是存款利息收入等。</w:t>
      </w:r>
    </w:p>
    <w:p>
      <w:pPr>
        <w:pStyle w:val="13"/>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三、年初结转和结余：指以前年度尚未完成、结转到本年按有关规定继续使用的资金。</w:t>
      </w:r>
    </w:p>
    <w:p>
      <w:pPr>
        <w:pStyle w:val="13"/>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四、一般公共服务（类）行政运行（项）：指县行政单位及参照公务员管理事业单位用于保障机构正常运行、开展日常工作的基本支出。</w:t>
      </w:r>
    </w:p>
    <w:p>
      <w:pPr>
        <w:pStyle w:val="13"/>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pStyle w:val="13"/>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六、一般公共服务（类）机关服务（项）：指县黄石港区人大服务中心为机关提供办公楼日常维修、维护等后勤保障服务的支出。</w:t>
      </w:r>
    </w:p>
    <w:p>
      <w:pPr>
        <w:pStyle w:val="13"/>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七、一般公共服务（类）其他一般公共服务支出（款）其他一般公共服务支出（项）：指黄石港区人大用于其他一般公共服务方面的支出。</w:t>
      </w:r>
    </w:p>
    <w:p>
      <w:pPr>
        <w:pStyle w:val="13"/>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八、教育（类）普通教育（款）高等教育（项）：指黄石港区人大厅支持地方高校的重点发展和特色办学，组织专家对省属院校申报的建设规划和项目预算进行评审等相关工作的支出。</w:t>
      </w:r>
    </w:p>
    <w:p>
      <w:pPr>
        <w:pStyle w:val="13"/>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九、社会保障和就业(类)行政事业单位离退休（款）归口管理的行政单位离退休（项）：指黄石港区人大用于离退休人员的支出、退休人员支出，以及提供管理服务工作的离退休干部处的支出。</w:t>
      </w:r>
    </w:p>
    <w:p>
      <w:pPr>
        <w:pStyle w:val="13"/>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十、社会保障和就业(类)行政事业单位离退休（款）其他行政事业单位离退休支出（项）：指黄石港区人大用于离退休方面的其他支出。</w:t>
      </w:r>
    </w:p>
    <w:p>
      <w:pPr>
        <w:pStyle w:val="13"/>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十一、医疗卫生与计划生育（类）医疗保障（款）行政单位医疗（项）：指黄石港区人大用于机关干部职工及离退休人员医疗方面的支出。</w:t>
      </w:r>
    </w:p>
    <w:p>
      <w:pPr>
        <w:pStyle w:val="13"/>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十二、住房保障（类）住房改革支出（款）购房补贴（项）：指按照相关住房分配货币化改革的政策规定和标准，对无房和住房未达标职工发放的住房分配货币化补贴资金。</w:t>
      </w:r>
    </w:p>
    <w:p>
      <w:pPr>
        <w:pStyle w:val="13"/>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十三、年末结转和结余：指本年度或以前年度预算安排、因客观条件发生变化无法按原计划实施，需要延迟到以后年度按有关规定继续使用的资金。</w:t>
      </w:r>
    </w:p>
    <w:p>
      <w:pPr>
        <w:pStyle w:val="13"/>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十四、基本支出：指为保障机构正常运转、完成日常工作任务而发生的人员支出（包括基本工资、津贴补贴等）和公用支出（包括办公费、水电费、邮电费、交通费、差旅费等）。</w:t>
      </w:r>
    </w:p>
    <w:p>
      <w:pPr>
        <w:pStyle w:val="13"/>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十五、项目支出：指在基本支出之外为完成特定行政任务和事业发展目标所发生的支出。</w:t>
      </w:r>
    </w:p>
    <w:p>
      <w:pPr>
        <w:pStyle w:val="13"/>
        <w:spacing w:line="24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十六、“三公”经费：是指用财政拨款安排的因公出国（境）费、公务用车购置及运行维护费、公务接待费。</w:t>
      </w:r>
    </w:p>
    <w:p>
      <w:pPr>
        <w:pStyle w:val="13"/>
        <w:spacing w:line="240" w:lineRule="auto"/>
        <w:ind w:firstLine="560" w:firstLineChars="200"/>
        <w:rPr>
          <w:rFonts w:asciiTheme="minorEastAsia" w:hAnsiTheme="minorEastAsia" w:eastAsiaTheme="minorEastAsia" w:cstheme="minorEastAsia"/>
          <w:sz w:val="28"/>
          <w:szCs w:val="28"/>
        </w:rPr>
      </w:pPr>
    </w:p>
    <w:sectPr>
      <w:pgSz w:w="16838" w:h="11906" w:orient="landscape"/>
      <w:pgMar w:top="1020" w:right="1440" w:bottom="567"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875F9"/>
    <w:multiLevelType w:val="singleLevel"/>
    <w:tmpl w:val="8AA875F9"/>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6B960CD"/>
    <w:rsid w:val="00007444"/>
    <w:rsid w:val="001F4A83"/>
    <w:rsid w:val="002703D9"/>
    <w:rsid w:val="003A3488"/>
    <w:rsid w:val="003A51F7"/>
    <w:rsid w:val="003C6949"/>
    <w:rsid w:val="00590282"/>
    <w:rsid w:val="005F589D"/>
    <w:rsid w:val="006818F4"/>
    <w:rsid w:val="006D57CE"/>
    <w:rsid w:val="006E541D"/>
    <w:rsid w:val="008B4BF5"/>
    <w:rsid w:val="00914BCC"/>
    <w:rsid w:val="009E74D0"/>
    <w:rsid w:val="00A4435D"/>
    <w:rsid w:val="00A51EF5"/>
    <w:rsid w:val="00AB26E3"/>
    <w:rsid w:val="00AF52FE"/>
    <w:rsid w:val="00B579A1"/>
    <w:rsid w:val="00BA23FC"/>
    <w:rsid w:val="00C46659"/>
    <w:rsid w:val="00CC282C"/>
    <w:rsid w:val="00DD1BCD"/>
    <w:rsid w:val="15EA3E0C"/>
    <w:rsid w:val="16B960CD"/>
    <w:rsid w:val="182154E2"/>
    <w:rsid w:val="20B50831"/>
    <w:rsid w:val="22347A2E"/>
    <w:rsid w:val="24E56094"/>
    <w:rsid w:val="273E5209"/>
    <w:rsid w:val="2C9D448D"/>
    <w:rsid w:val="49A56D91"/>
    <w:rsid w:val="593E216B"/>
    <w:rsid w:val="5A9C347A"/>
    <w:rsid w:val="6F0C46B7"/>
    <w:rsid w:val="712235FF"/>
    <w:rsid w:val="71BF2DF5"/>
    <w:rsid w:val="71DE56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5"/>
    <w:basedOn w:val="1"/>
    <w:next w:val="1"/>
    <w:qFormat/>
    <w:uiPriority w:val="0"/>
    <w:pPr>
      <w:spacing w:beforeAutospacing="1" w:afterAutospacing="1"/>
      <w:jc w:val="left"/>
      <w:outlineLvl w:val="4"/>
    </w:pPr>
    <w:rPr>
      <w:rFonts w:hint="eastAsia" w:ascii="宋体" w:hAnsi="宋体" w:cs="宋体"/>
      <w:b/>
      <w:kern w:val="0"/>
      <w:sz w:val="20"/>
      <w:szCs w:val="20"/>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6"/>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10">
    <w:name w:val="pa-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1">
    <w:name w:val="ca-2"/>
    <w:basedOn w:val="7"/>
    <w:qFormat/>
    <w:uiPriority w:val="0"/>
  </w:style>
  <w:style w:type="character" w:customStyle="1" w:styleId="12">
    <w:name w:val="ca-3"/>
    <w:basedOn w:val="7"/>
    <w:qFormat/>
    <w:uiPriority w:val="0"/>
  </w:style>
  <w:style w:type="paragraph" w:customStyle="1" w:styleId="13">
    <w:name w:val="正文缩进 + 首行缩进:  2 字符"/>
    <w:basedOn w:val="1"/>
    <w:qFormat/>
    <w:uiPriority w:val="0"/>
    <w:pPr>
      <w:spacing w:line="560" w:lineRule="exact"/>
      <w:ind w:firstLine="640"/>
    </w:pPr>
    <w:rPr>
      <w:rFonts w:ascii="仿宋" w:hAnsi="仿宋" w:eastAsia="仿宋" w:cs="宋体"/>
      <w:sz w:val="32"/>
      <w:szCs w:val="20"/>
    </w:rPr>
  </w:style>
  <w:style w:type="character" w:customStyle="1" w:styleId="14">
    <w:name w:val="页眉 Char"/>
    <w:basedOn w:val="7"/>
    <w:link w:val="5"/>
    <w:qFormat/>
    <w:uiPriority w:val="0"/>
    <w:rPr>
      <w:rFonts w:ascii="Calibri" w:hAnsi="Calibri" w:cs="Calibri"/>
      <w:kern w:val="2"/>
      <w:sz w:val="18"/>
      <w:szCs w:val="18"/>
    </w:rPr>
  </w:style>
  <w:style w:type="character" w:customStyle="1" w:styleId="15">
    <w:name w:val="页脚 Char"/>
    <w:basedOn w:val="7"/>
    <w:link w:val="4"/>
    <w:qFormat/>
    <w:uiPriority w:val="0"/>
    <w:rPr>
      <w:rFonts w:ascii="Calibri" w:hAnsi="Calibri" w:cs="Calibri"/>
      <w:kern w:val="2"/>
      <w:sz w:val="18"/>
      <w:szCs w:val="18"/>
    </w:rPr>
  </w:style>
  <w:style w:type="character" w:customStyle="1" w:styleId="16">
    <w:name w:val="批注框文本 Char"/>
    <w:basedOn w:val="7"/>
    <w:link w:val="3"/>
    <w:qFormat/>
    <w:uiPriority w:val="0"/>
    <w:rPr>
      <w:rFonts w:ascii="Calibri" w:hAnsi="Calibri" w:cs="Calibri"/>
      <w:kern w:val="2"/>
      <w:sz w:val="18"/>
      <w:szCs w:val="18"/>
    </w:rPr>
  </w:style>
  <w:style w:type="paragraph" w:customStyle="1" w:styleId="17">
    <w:name w:val="普通(网站)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425</Words>
  <Characters>2429</Characters>
  <Lines>20</Lines>
  <Paragraphs>5</Paragraphs>
  <TotalTime>1</TotalTime>
  <ScaleCrop>false</ScaleCrop>
  <LinksUpToDate>false</LinksUpToDate>
  <CharactersWithSpaces>2849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2019-09-05T00:29:00Z</dcterms:created>
  <dc:creator>米</dc:creator>
  <cp:lastModifiedBy>Administrator</cp:lastModifiedBy>
  <dcterms:modified xsi:type="dcterms:W3CDTF">2021-05-26T02:49:48Z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