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民政局</w:t>
      </w:r>
      <w:r>
        <w:rPr>
          <w:rFonts w:hint="eastAsia" w:ascii="微软雅黑" w:hAnsi="微软雅黑" w:eastAsia="微软雅黑" w:cs="微软雅黑"/>
          <w:b/>
          <w:i w:val="0"/>
          <w:caps w:val="0"/>
          <w:color w:val="BC1010"/>
          <w:spacing w:val="0"/>
          <w:sz w:val="40"/>
          <w:szCs w:val="40"/>
          <w:shd w:val="clear" w:fill="FFFFFF"/>
        </w:rPr>
        <w:t>201</w:t>
      </w:r>
      <w:r>
        <w:rPr>
          <w:rFonts w:hint="eastAsia" w:ascii="微软雅黑" w:hAnsi="微软雅黑" w:eastAsia="微软雅黑" w:cs="微软雅黑"/>
          <w:b/>
          <w:i w:val="0"/>
          <w:caps w:val="0"/>
          <w:color w:val="BC1010"/>
          <w:spacing w:val="0"/>
          <w:sz w:val="40"/>
          <w:szCs w:val="40"/>
          <w:shd w:val="clear" w:fill="FFFFFF"/>
          <w:lang w:val="en-US" w:eastAsia="zh-CN"/>
        </w:rPr>
        <w:t>8</w:t>
      </w:r>
      <w:r>
        <w:rPr>
          <w:rFonts w:hint="eastAsia" w:ascii="微软雅黑" w:hAnsi="微软雅黑" w:eastAsia="微软雅黑" w:cs="微软雅黑"/>
          <w:b/>
          <w:i w:val="0"/>
          <w:caps w:val="0"/>
          <w:color w:val="BC1010"/>
          <w:spacing w:val="0"/>
          <w:sz w:val="40"/>
          <w:szCs w:val="40"/>
          <w:shd w:val="clear" w:fill="FFFFFF"/>
        </w:rPr>
        <w:t>年决算公开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黄石港区民政局</w:t>
      </w:r>
      <w:r>
        <w:rPr>
          <w:rStyle w:val="7"/>
          <w:rFonts w:hint="eastAsia" w:ascii="微软雅黑" w:hAnsi="微软雅黑" w:eastAsia="微软雅黑" w:cs="微软雅黑"/>
          <w:i w:val="0"/>
          <w:caps w:val="0"/>
          <w:color w:val="333333"/>
          <w:spacing w:val="0"/>
          <w:sz w:val="24"/>
          <w:szCs w:val="24"/>
          <w:shd w:val="clear" w:fill="FFFFFF"/>
        </w:rPr>
        <w:t>201</w:t>
      </w:r>
      <w:r>
        <w:rPr>
          <w:rStyle w:val="7"/>
          <w:rFonts w:hint="eastAsia" w:ascii="微软雅黑" w:hAnsi="微软雅黑" w:eastAsia="微软雅黑" w:cs="微软雅黑"/>
          <w:i w:val="0"/>
          <w:caps w:val="0"/>
          <w:color w:val="333333"/>
          <w:spacing w:val="0"/>
          <w:sz w:val="24"/>
          <w:szCs w:val="24"/>
          <w:shd w:val="clear" w:fill="FFFFFF"/>
          <w:lang w:val="en-US" w:eastAsia="zh-CN"/>
        </w:rPr>
        <w:t>8</w:t>
      </w:r>
      <w:r>
        <w:rPr>
          <w:rStyle w:val="7"/>
          <w:rFonts w:hint="eastAsia" w:ascii="微软雅黑" w:hAnsi="微软雅黑" w:eastAsia="微软雅黑" w:cs="微软雅黑"/>
          <w:i w:val="0"/>
          <w:caps w:val="0"/>
          <w:color w:val="333333"/>
          <w:spacing w:val="0"/>
          <w:sz w:val="24"/>
          <w:szCs w:val="24"/>
          <w:shd w:val="clear" w:fill="FFFFFF"/>
        </w:rPr>
        <w:t>年决算公开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第一部分:部门基本情况</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一、部门主要职责</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二、部门决算单位构成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第二部分: 部门201</w:t>
      </w:r>
      <w:r>
        <w:rPr>
          <w:rFonts w:hint="eastAsia" w:ascii="微软雅黑" w:hAnsi="微软雅黑" w:eastAsia="微软雅黑" w:cs="微软雅黑"/>
          <w:b w:val="0"/>
          <w:i w:val="0"/>
          <w:caps w:val="0"/>
          <w:color w:val="333333"/>
          <w:spacing w:val="0"/>
          <w:sz w:val="24"/>
          <w:szCs w:val="24"/>
          <w:shd w:val="clear" w:color="090000" w:fill="FFFFFF"/>
          <w:lang w:val="en-US" w:eastAsia="zh-CN"/>
        </w:rPr>
        <w:t>8</w:t>
      </w:r>
      <w:r>
        <w:rPr>
          <w:rFonts w:hint="eastAsia" w:ascii="微软雅黑" w:hAnsi="微软雅黑" w:eastAsia="微软雅黑" w:cs="微软雅黑"/>
          <w:b w:val="0"/>
          <w:i w:val="0"/>
          <w:caps w:val="0"/>
          <w:color w:val="333333"/>
          <w:spacing w:val="0"/>
          <w:sz w:val="24"/>
          <w:szCs w:val="24"/>
          <w:shd w:val="clear" w:color="090000" w:fill="FFFFFF"/>
        </w:rPr>
        <w:t>年部门决算表</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一、收入支出决算总表（表1）</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二、收入决算表（表2）</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三、支出决算表（表3）</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四、财政拨款收入支出决算总表（表4）</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五、一般公共预算财政拨款支出决算表（表5）</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六、一般公共预算财政拨款基本支出决算表（表6）</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七、一般公共预算财政拨款“三公”经费支出决算表（表7）</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八、政府性基金预算财政拨款收入支出决算表（8）</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第三部分：部门201</w:t>
      </w:r>
      <w:r>
        <w:rPr>
          <w:rFonts w:hint="eastAsia" w:ascii="微软雅黑" w:hAnsi="微软雅黑" w:eastAsia="微软雅黑" w:cs="微软雅黑"/>
          <w:b w:val="0"/>
          <w:i w:val="0"/>
          <w:caps w:val="0"/>
          <w:color w:val="333333"/>
          <w:spacing w:val="0"/>
          <w:sz w:val="24"/>
          <w:szCs w:val="24"/>
          <w:shd w:val="clear" w:color="090000" w:fill="FFFFFF"/>
          <w:lang w:val="en-US" w:eastAsia="zh-CN"/>
        </w:rPr>
        <w:t>8</w:t>
      </w:r>
      <w:r>
        <w:rPr>
          <w:rFonts w:hint="eastAsia" w:ascii="微软雅黑" w:hAnsi="微软雅黑" w:eastAsia="微软雅黑" w:cs="微软雅黑"/>
          <w:b w:val="0"/>
          <w:i w:val="0"/>
          <w:caps w:val="0"/>
          <w:color w:val="333333"/>
          <w:spacing w:val="0"/>
          <w:sz w:val="24"/>
          <w:szCs w:val="24"/>
          <w:shd w:val="clear" w:color="090000" w:fill="FFFFFF"/>
        </w:rPr>
        <w:t>年部门决算情况说明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一、</w:t>
      </w:r>
      <w:r>
        <w:rPr>
          <w:rFonts w:hint="eastAsia" w:ascii="微软雅黑" w:hAnsi="微软雅黑" w:eastAsia="微软雅黑" w:cs="微软雅黑"/>
          <w:b w:val="0"/>
          <w:i w:val="0"/>
          <w:caps w:val="0"/>
          <w:color w:val="333333"/>
          <w:spacing w:val="0"/>
          <w:sz w:val="24"/>
          <w:szCs w:val="24"/>
          <w:shd w:val="clear" w:color="080000" w:fill="FFFFFF"/>
        </w:rPr>
        <w:t>预算执行情况分析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二、</w:t>
      </w:r>
      <w:r>
        <w:rPr>
          <w:rFonts w:hint="eastAsia" w:ascii="微软雅黑" w:hAnsi="微软雅黑" w:eastAsia="微软雅黑" w:cs="微软雅黑"/>
          <w:b w:val="0"/>
          <w:i w:val="0"/>
          <w:caps w:val="0"/>
          <w:color w:val="333333"/>
          <w:spacing w:val="0"/>
          <w:sz w:val="24"/>
          <w:szCs w:val="24"/>
          <w:shd w:val="clear" w:color="080000" w:fill="FFFFFF"/>
        </w:rPr>
        <w:t>关于“三公”经费支出说明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三、</w:t>
      </w:r>
      <w:r>
        <w:rPr>
          <w:rFonts w:hint="eastAsia" w:ascii="微软雅黑" w:hAnsi="微软雅黑" w:eastAsia="微软雅黑" w:cs="微软雅黑"/>
          <w:b w:val="0"/>
          <w:i w:val="0"/>
          <w:caps w:val="0"/>
          <w:color w:val="333333"/>
          <w:spacing w:val="0"/>
          <w:sz w:val="24"/>
          <w:szCs w:val="24"/>
          <w:shd w:val="clear" w:color="080000" w:fill="FFFFFF"/>
        </w:rPr>
        <w:t>关于机关运行经费支出说明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四</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关于政府采购支出说明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五</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关于国有资产占用情况说明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第四部分：名词解释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7"/>
          <w:rFonts w:hint="eastAsia" w:ascii="微软雅黑" w:hAnsi="微软雅黑" w:eastAsia="微软雅黑" w:cs="微软雅黑"/>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rPr>
        <w:t>201</w:t>
      </w:r>
      <w:r>
        <w:rPr>
          <w:rStyle w:val="7"/>
          <w:rFonts w:hint="eastAsia" w:ascii="微软雅黑" w:hAnsi="微软雅黑" w:eastAsia="微软雅黑" w:cs="微软雅黑"/>
          <w:i w:val="0"/>
          <w:caps w:val="0"/>
          <w:color w:val="333333"/>
          <w:spacing w:val="0"/>
          <w:sz w:val="24"/>
          <w:szCs w:val="24"/>
          <w:shd w:val="clear" w:fill="FFFFFF"/>
          <w:lang w:val="en-US" w:eastAsia="zh-CN"/>
        </w:rPr>
        <w:t>8</w:t>
      </w:r>
      <w:r>
        <w:rPr>
          <w:rStyle w:val="7"/>
          <w:rFonts w:hint="eastAsia" w:ascii="微软雅黑" w:hAnsi="微软雅黑" w:eastAsia="微软雅黑" w:cs="微软雅黑"/>
          <w:i w:val="0"/>
          <w:caps w:val="0"/>
          <w:color w:val="333333"/>
          <w:spacing w:val="0"/>
          <w:sz w:val="24"/>
          <w:szCs w:val="24"/>
          <w:shd w:val="clear" w:fill="FFFFFF"/>
        </w:rPr>
        <w:t>年部门决算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第一部分</w:t>
      </w:r>
      <w:r>
        <w:rPr>
          <w:rStyle w:val="7"/>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shd w:val="clear" w:fill="FFFFFF"/>
        </w:rPr>
        <w:t>部门概况</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（一）主要职责</w:t>
      </w:r>
    </w:p>
    <w:p>
      <w:pPr>
        <w:spacing w:line="560" w:lineRule="exact"/>
        <w:ind w:firstLine="560" w:firstLineChars="200"/>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b w:val="0"/>
          <w:i w:val="0"/>
          <w:caps w:val="0"/>
          <w:color w:val="000000"/>
          <w:spacing w:val="0"/>
          <w:sz w:val="28"/>
          <w:szCs w:val="28"/>
          <w:shd w:val="clear" w:color="auto" w:fill="auto"/>
        </w:rPr>
        <w:t xml:space="preserve"> </w:t>
      </w:r>
      <w:r>
        <w:rPr>
          <w:rFonts w:hint="eastAsia" w:asciiTheme="minorEastAsia" w:hAnsiTheme="minorEastAsia" w:eastAsiaTheme="minorEastAsia" w:cstheme="minorEastAsia"/>
          <w:color w:val="000000"/>
          <w:spacing w:val="2"/>
          <w:sz w:val="28"/>
          <w:szCs w:val="28"/>
        </w:rPr>
        <w:t>主要职能是代表区人民政府承担社会救济、社区建设、社会事务(含双拥优抚安置、婚姻登记、殡葬改革、民间组织、老龄工作、孤儿领养、地名区划</w:t>
      </w:r>
      <w:r>
        <w:rPr>
          <w:rFonts w:hint="eastAsia" w:asciiTheme="minorEastAsia" w:hAnsiTheme="minorEastAsia" w:cstheme="minorEastAsia"/>
          <w:color w:val="000000"/>
          <w:spacing w:val="2"/>
          <w:sz w:val="28"/>
          <w:szCs w:val="28"/>
          <w:lang w:eastAsia="zh-CN"/>
        </w:rPr>
        <w:t>、救灾</w:t>
      </w:r>
      <w:r>
        <w:rPr>
          <w:rFonts w:hint="eastAsia" w:asciiTheme="minorEastAsia" w:hAnsiTheme="minorEastAsia" w:eastAsiaTheme="minorEastAsia" w:cstheme="minorEastAsia"/>
          <w:color w:val="000000"/>
          <w:spacing w:val="2"/>
          <w:sz w:val="28"/>
          <w:szCs w:val="28"/>
        </w:rPr>
        <w:t>)的管理和服务。</w:t>
      </w:r>
      <w:bookmarkStart w:id="0" w:name="_GoBack"/>
      <w:bookmarkEnd w:id="0"/>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lang w:eastAsia="zh-CN"/>
        </w:rPr>
      </w:pPr>
      <w:r>
        <w:rPr>
          <w:rFonts w:hint="eastAsia" w:asciiTheme="minorEastAsia" w:hAnsiTheme="minorEastAsia" w:eastAsiaTheme="minorEastAsia" w:cstheme="minorEastAsia"/>
          <w:b w:val="0"/>
          <w:i w:val="0"/>
          <w:caps w:val="0"/>
          <w:color w:val="000000"/>
          <w:spacing w:val="0"/>
          <w:sz w:val="28"/>
          <w:szCs w:val="28"/>
          <w:shd w:val="clear" w:color="auto" w:fill="auto"/>
        </w:rPr>
        <w:t>（二）</w:t>
      </w:r>
      <w:r>
        <w:rPr>
          <w:rFonts w:hint="eastAsia" w:asciiTheme="minorEastAsia" w:hAnsiTheme="minorEastAsia" w:eastAsiaTheme="minorEastAsia" w:cstheme="minorEastAsia"/>
          <w:b w:val="0"/>
          <w:i w:val="0"/>
          <w:caps w:val="0"/>
          <w:color w:val="000000"/>
          <w:spacing w:val="0"/>
          <w:sz w:val="28"/>
          <w:szCs w:val="28"/>
          <w:shd w:val="clear" w:color="auto" w:fill="auto"/>
          <w:lang w:eastAsia="zh-CN"/>
        </w:rPr>
        <w:t>机构人员情况</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黄石港区民政局是隶属于黄石港区人民政府的职能部门。内设办公室、低保中心、婚姻登记处2个事业单位。编制人数共计11人，其中国家行政编3人，事业编8人；年末实有人数11人，行政编3人，事业编8人。</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lang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shd w:val="clear" w:fill="FFFFFF"/>
          <w:lang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shd w:val="clear" w:fill="FFFFFF"/>
          <w:lang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shd w:val="clear" w:fill="FFFFFF"/>
          <w:lang w:eastAsia="zh-CN"/>
        </w:rP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firstLine="480" w:firstLineChars="200"/>
        <w:jc w:val="left"/>
        <w:textAlignment w:val="auto"/>
        <w:rPr>
          <w:rFonts w:hint="eastAsia" w:ascii="微软雅黑" w:hAnsi="微软雅黑" w:eastAsia="微软雅黑" w:cs="微软雅黑"/>
          <w:b/>
          <w:bCs/>
          <w:lang w:val="en-US" w:eastAsia="zh-CN"/>
        </w:rPr>
      </w:pPr>
      <w:r>
        <w:rPr>
          <w:rFonts w:hint="eastAsia" w:ascii="微软雅黑" w:hAnsi="微软雅黑" w:eastAsia="微软雅黑" w:cs="微软雅黑"/>
          <w:b/>
          <w:bCs/>
          <w:lang w:eastAsia="zh-CN"/>
        </w:rPr>
        <w:t>第二部分：部门</w:t>
      </w:r>
      <w:r>
        <w:rPr>
          <w:rFonts w:hint="eastAsia" w:ascii="微软雅黑" w:hAnsi="微软雅黑" w:eastAsia="微软雅黑" w:cs="微软雅黑"/>
          <w:b/>
          <w:bCs/>
          <w:lang w:val="en-US" w:eastAsia="zh-CN"/>
        </w:rPr>
        <w:t>2018年部门决算表</w:t>
      </w:r>
      <w:r>
        <w:drawing>
          <wp:inline distT="0" distB="0" distL="114300" distR="114300">
            <wp:extent cx="8891270" cy="4718050"/>
            <wp:effectExtent l="0" t="0" r="5080" b="6350"/>
            <wp:docPr id="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pic:cNvPicPr>
                      <a:picLocks noChangeAspect="1"/>
                    </pic:cNvPicPr>
                  </pic:nvPicPr>
                  <pic:blipFill>
                    <a:blip r:embed="rId4"/>
                    <a:stretch>
                      <a:fillRect/>
                    </a:stretch>
                  </pic:blipFill>
                  <pic:spPr>
                    <a:xfrm>
                      <a:off x="0" y="0"/>
                      <a:ext cx="8891270" cy="4718050"/>
                    </a:xfrm>
                    <a:prstGeom prst="rect">
                      <a:avLst/>
                    </a:prstGeom>
                    <a:noFill/>
                    <a:ln>
                      <a:noFill/>
                    </a:ln>
                  </pic:spPr>
                </pic:pic>
              </a:graphicData>
            </a:graphic>
          </wp:inline>
        </w:drawing>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r>
        <w:drawing>
          <wp:inline distT="0" distB="0" distL="114300" distR="114300">
            <wp:extent cx="8856345" cy="4692015"/>
            <wp:effectExtent l="0" t="0" r="1905" b="13335"/>
            <wp:docPr id="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pic:cNvPicPr>
                      <a:picLocks noChangeAspect="1"/>
                    </pic:cNvPicPr>
                  </pic:nvPicPr>
                  <pic:blipFill>
                    <a:blip r:embed="rId5"/>
                    <a:stretch>
                      <a:fillRect/>
                    </a:stretch>
                  </pic:blipFill>
                  <pic:spPr>
                    <a:xfrm>
                      <a:off x="0" y="0"/>
                      <a:ext cx="8856345" cy="4692015"/>
                    </a:xfrm>
                    <a:prstGeom prst="rect">
                      <a:avLst/>
                    </a:prstGeom>
                    <a:noFill/>
                    <a:ln>
                      <a:noFill/>
                    </a:ln>
                  </pic:spPr>
                </pic:pic>
              </a:graphicData>
            </a:graphic>
          </wp:inline>
        </w:drawing>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420" w:leftChars="0" w:right="0" w:rightChars="0"/>
        <w:jc w:val="cente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420" w:leftChars="0" w:right="0" w:rightChars="0"/>
        <w:jc w:val="center"/>
        <w:rPr>
          <w:color w:val="333333"/>
          <w:sz w:val="24"/>
          <w:szCs w:val="24"/>
        </w:rPr>
        <w:sectPr>
          <w:pgSz w:w="16838" w:h="11906" w:orient="landscape"/>
          <w:pgMar w:top="1800" w:right="1440" w:bottom="1800" w:left="1440" w:header="851" w:footer="992" w:gutter="0"/>
          <w:cols w:space="425" w:num="1"/>
          <w:docGrid w:type="lines" w:linePitch="312" w:charSpace="0"/>
        </w:sect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pPr>
      <w:r>
        <w:drawing>
          <wp:inline distT="0" distB="0" distL="114300" distR="114300">
            <wp:extent cx="8861425" cy="5257800"/>
            <wp:effectExtent l="0" t="0" r="15875" b="0"/>
            <wp:docPr id="10"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4"/>
                    <pic:cNvPicPr>
                      <a:picLocks noChangeAspect="1"/>
                    </pic:cNvPicPr>
                  </pic:nvPicPr>
                  <pic:blipFill>
                    <a:blip r:embed="rId6"/>
                    <a:stretch>
                      <a:fillRect/>
                    </a:stretch>
                  </pic:blipFill>
                  <pic:spPr>
                    <a:xfrm>
                      <a:off x="0" y="0"/>
                      <a:ext cx="8861425" cy="5257800"/>
                    </a:xfrm>
                    <a:prstGeom prst="rect">
                      <a:avLst/>
                    </a:prstGeom>
                    <a:noFill/>
                    <a:ln>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740140" cy="5467985"/>
            <wp:effectExtent l="0" t="0" r="3810" b="18415"/>
            <wp:docPr id="11"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5"/>
                    <pic:cNvPicPr>
                      <a:picLocks noChangeAspect="1"/>
                    </pic:cNvPicPr>
                  </pic:nvPicPr>
                  <pic:blipFill>
                    <a:blip r:embed="rId7"/>
                    <a:stretch>
                      <a:fillRect/>
                    </a:stretch>
                  </pic:blipFill>
                  <pic:spPr>
                    <a:xfrm>
                      <a:off x="0" y="0"/>
                      <a:ext cx="8740140" cy="5467985"/>
                    </a:xfrm>
                    <a:prstGeom prst="rect">
                      <a:avLst/>
                    </a:prstGeom>
                    <a:noFill/>
                    <a:ln>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773795" cy="5269230"/>
            <wp:effectExtent l="0" t="0" r="8255" b="7620"/>
            <wp:docPr id="12"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6"/>
                    <pic:cNvPicPr>
                      <a:picLocks noChangeAspect="1"/>
                    </pic:cNvPicPr>
                  </pic:nvPicPr>
                  <pic:blipFill>
                    <a:blip r:embed="rId8"/>
                    <a:stretch>
                      <a:fillRect/>
                    </a:stretch>
                  </pic:blipFill>
                  <pic:spPr>
                    <a:xfrm>
                      <a:off x="0" y="0"/>
                      <a:ext cx="8773795" cy="5269230"/>
                    </a:xfrm>
                    <a:prstGeom prst="rect">
                      <a:avLst/>
                    </a:prstGeom>
                    <a:noFill/>
                    <a:ln>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852535" cy="5357495"/>
            <wp:effectExtent l="0" t="0" r="5715" b="14605"/>
            <wp:docPr id="13"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7"/>
                    <pic:cNvPicPr>
                      <a:picLocks noChangeAspect="1"/>
                    </pic:cNvPicPr>
                  </pic:nvPicPr>
                  <pic:blipFill>
                    <a:blip r:embed="rId9"/>
                    <a:stretch>
                      <a:fillRect/>
                    </a:stretch>
                  </pic:blipFill>
                  <pic:spPr>
                    <a:xfrm>
                      <a:off x="0" y="0"/>
                      <a:ext cx="8852535" cy="5357495"/>
                    </a:xfrm>
                    <a:prstGeom prst="rect">
                      <a:avLst/>
                    </a:prstGeom>
                    <a:noFill/>
                    <a:ln>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855075" cy="2131695"/>
            <wp:effectExtent l="0" t="0" r="3175" b="1905"/>
            <wp:docPr id="14"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8"/>
                    <pic:cNvPicPr>
                      <a:picLocks noChangeAspect="1"/>
                    </pic:cNvPicPr>
                  </pic:nvPicPr>
                  <pic:blipFill>
                    <a:blip r:embed="rId10"/>
                    <a:stretch>
                      <a:fillRect/>
                    </a:stretch>
                  </pic:blipFill>
                  <pic:spPr>
                    <a:xfrm>
                      <a:off x="0" y="0"/>
                      <a:ext cx="8855075" cy="2131695"/>
                    </a:xfrm>
                    <a:prstGeom prst="rect">
                      <a:avLst/>
                    </a:prstGeom>
                    <a:noFill/>
                    <a:ln>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778240" cy="2884170"/>
            <wp:effectExtent l="0" t="0" r="3810" b="11430"/>
            <wp:docPr id="15"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9"/>
                    <pic:cNvPicPr>
                      <a:picLocks noChangeAspect="1"/>
                    </pic:cNvPicPr>
                  </pic:nvPicPr>
                  <pic:blipFill>
                    <a:blip r:embed="rId11"/>
                    <a:stretch>
                      <a:fillRect/>
                    </a:stretch>
                  </pic:blipFill>
                  <pic:spPr>
                    <a:xfrm>
                      <a:off x="0" y="0"/>
                      <a:ext cx="8778240" cy="2884170"/>
                    </a:xfrm>
                    <a:prstGeom prst="rect">
                      <a:avLst/>
                    </a:prstGeom>
                    <a:noFill/>
                    <a:ln>
                      <a:noFill/>
                    </a:ln>
                  </pic:spPr>
                </pic:pic>
              </a:graphicData>
            </a:graphic>
          </wp:inline>
        </w:drawing>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sectPr>
          <w:pgSz w:w="16838" w:h="11906" w:orient="landscape"/>
          <w:pgMar w:top="1800" w:right="1440" w:bottom="1800" w:left="1440" w:header="851" w:footer="992" w:gutter="0"/>
          <w:cols w:space="425" w:num="1"/>
          <w:docGrid w:type="lines" w:linePitch="312" w:charSpace="0"/>
        </w:sect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240" w:firstLineChars="100"/>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第三部分</w:t>
      </w:r>
      <w:r>
        <w:rPr>
          <w:rStyle w:val="7"/>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shd w:val="clear" w:fill="FFFFFF"/>
        </w:rPr>
        <w:t>201</w:t>
      </w:r>
      <w:r>
        <w:rPr>
          <w:rStyle w:val="7"/>
          <w:rFonts w:hint="eastAsia" w:ascii="微软雅黑" w:hAnsi="微软雅黑" w:eastAsia="微软雅黑" w:cs="微软雅黑"/>
          <w:i w:val="0"/>
          <w:caps w:val="0"/>
          <w:color w:val="333333"/>
          <w:spacing w:val="0"/>
          <w:sz w:val="24"/>
          <w:szCs w:val="24"/>
          <w:shd w:val="clear" w:fill="FFFFFF"/>
          <w:lang w:val="en-US" w:eastAsia="zh-CN"/>
        </w:rPr>
        <w:t>8</w:t>
      </w:r>
      <w:r>
        <w:rPr>
          <w:rStyle w:val="7"/>
          <w:rFonts w:hint="eastAsia" w:ascii="微软雅黑" w:hAnsi="微软雅黑" w:eastAsia="微软雅黑" w:cs="微软雅黑"/>
          <w:i w:val="0"/>
          <w:caps w:val="0"/>
          <w:color w:val="333333"/>
          <w:spacing w:val="0"/>
          <w:sz w:val="24"/>
          <w:szCs w:val="24"/>
          <w:shd w:val="clear" w:fill="FFFFFF"/>
        </w:rPr>
        <w:t>年部门决算情况说明</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（一）预算执行情况分析</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2018年财政收入预算数2013167元，其中人员经费1784724元，公用经费228443元, 2018年财政支出预算数2013167元，其中人员经费1784724元，公用经费228443元, 2017年财政收入预算数1866345.26元，其中人员经费1639364元，公用经费226981.26元, 2017年财政支出预算数1866345.26元，其中人员经费1639364元，公用经费226981.26元, 2018年收入预算数安排比上年增加146821.74元，2018年支出预算数安排比上年增加146821.74元。</w:t>
      </w:r>
    </w:p>
    <w:p>
      <w:pPr>
        <w:widowControl/>
        <w:ind w:firstLine="568" w:firstLineChars="200"/>
        <w:rPr>
          <w:rFonts w:hint="eastAsia"/>
          <w:color w:val="000000"/>
          <w:spacing w:val="2"/>
          <w:sz w:val="28"/>
          <w:szCs w:val="28"/>
        </w:rPr>
      </w:pPr>
      <w:r>
        <w:rPr>
          <w:rFonts w:hint="eastAsia"/>
          <w:color w:val="000000"/>
          <w:spacing w:val="2"/>
          <w:sz w:val="28"/>
          <w:szCs w:val="28"/>
        </w:rPr>
        <w:t>1</w:t>
      </w:r>
      <w:r>
        <w:rPr>
          <w:rFonts w:hint="eastAsia" w:hAnsi="宋体"/>
          <w:color w:val="000000"/>
          <w:spacing w:val="2"/>
          <w:sz w:val="28"/>
          <w:szCs w:val="28"/>
        </w:rPr>
        <w:t>、收入支出与预算对比分析</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2018年全年总收入31215327.86元,其中财拔决算收入28027921.02元,其它收入3187406.84元, 2018年全年决算总支出32408390.04元,其中财拔决算支出32408390.04元,其它资金支出0元,2018年财政预算2013167元，财拔决算比预算多30395223.04元，原因为业务增加和建设项目开支。</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2、收入支出结构分析</w:t>
      </w:r>
    </w:p>
    <w:p>
      <w:pPr>
        <w:spacing w:line="560" w:lineRule="exact"/>
        <w:ind w:firstLine="560" w:firstLineChars="200"/>
        <w:rPr>
          <w:rFonts w:asciiTheme="minorEastAsia" w:hAnsiTheme="minorEastAsia" w:cstheme="minorEastAsia"/>
          <w:sz w:val="28"/>
          <w:szCs w:val="28"/>
          <w:shd w:val="clear" w:color="auto" w:fill="FFFFFF"/>
        </w:rPr>
      </w:pPr>
      <w:r>
        <w:rPr>
          <w:rFonts w:hint="eastAsia" w:asciiTheme="minorEastAsia" w:hAnsiTheme="minorEastAsia" w:eastAsiaTheme="minorEastAsia" w:cstheme="minorEastAsia"/>
          <w:b w:val="0"/>
          <w:i w:val="0"/>
          <w:caps w:val="0"/>
          <w:color w:val="000000"/>
          <w:spacing w:val="0"/>
          <w:sz w:val="28"/>
          <w:szCs w:val="28"/>
          <w:shd w:val="clear" w:color="auto" w:fill="auto"/>
        </w:rPr>
        <w:t>2018年全年总收入31215327.86元,其中财拔决算收入28027921.02元,其它收入3187406.84元, 2018年全年决算总支出32408390.04元,其中财拔决算支出32408390.04元,其它资金支出0元，支出按以下分类说明：</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fldChar w:fldCharType="begin"/>
      </w:r>
      <w:r>
        <w:rPr>
          <w:rFonts w:hint="eastAsia" w:asciiTheme="minorEastAsia" w:hAnsiTheme="minorEastAsia" w:eastAsiaTheme="minorEastAsia" w:cstheme="minorEastAsia"/>
          <w:b w:val="0"/>
          <w:i w:val="0"/>
          <w:caps w:val="0"/>
          <w:color w:val="000000"/>
          <w:spacing w:val="0"/>
          <w:sz w:val="28"/>
          <w:szCs w:val="28"/>
          <w:shd w:val="clear" w:color="auto" w:fill="auto"/>
        </w:rPr>
        <w:instrText xml:space="preserve"> eq \o\ac(○,1)</w:instrText>
      </w:r>
      <w:r>
        <w:rPr>
          <w:rFonts w:hint="eastAsia" w:asciiTheme="minorEastAsia" w:hAnsiTheme="minorEastAsia" w:eastAsiaTheme="minorEastAsia" w:cstheme="minorEastAsia"/>
          <w:b w:val="0"/>
          <w:i w:val="0"/>
          <w:caps w:val="0"/>
          <w:color w:val="000000"/>
          <w:spacing w:val="0"/>
          <w:sz w:val="28"/>
          <w:szCs w:val="28"/>
          <w:shd w:val="clear" w:color="auto" w:fill="auto"/>
        </w:rPr>
        <w:fldChar w:fldCharType="end"/>
      </w:r>
      <w:r>
        <w:rPr>
          <w:rFonts w:hint="eastAsia" w:asciiTheme="minorEastAsia" w:hAnsiTheme="minorEastAsia" w:eastAsiaTheme="minorEastAsia" w:cstheme="minorEastAsia"/>
          <w:b w:val="0"/>
          <w:i w:val="0"/>
          <w:caps w:val="0"/>
          <w:color w:val="000000"/>
          <w:spacing w:val="0"/>
          <w:sz w:val="28"/>
          <w:szCs w:val="28"/>
          <w:shd w:val="clear" w:color="auto" w:fill="auto"/>
        </w:rPr>
        <w:t>出功能分类：32408390.04元; 社会保障和就业支出32203390.04元，医疗卫生与计划生活保障金支出205000元。</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②支出性质分类：32408390.04元，其中人员经费2810280.75元，公用经费29598109.29</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③支出经济分类：32408390.04元，其中工资福利支出1896242.58元，商品服务支出29470529.29元，对个人和家庭的补助支出 914038.17元，其它资本性支出127580元。</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（二）关于“三公”经费支出说明</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lang w:eastAsia="zh-CN"/>
        </w:rPr>
      </w:pPr>
      <w:r>
        <w:rPr>
          <w:rFonts w:hint="eastAsia" w:asciiTheme="minorEastAsia" w:hAnsiTheme="minorEastAsia" w:eastAsiaTheme="minorEastAsia" w:cstheme="minorEastAsia"/>
          <w:b w:val="0"/>
          <w:i w:val="0"/>
          <w:caps w:val="0"/>
          <w:color w:val="000000"/>
          <w:spacing w:val="0"/>
          <w:sz w:val="28"/>
          <w:szCs w:val="28"/>
          <w:shd w:val="clear" w:color="auto" w:fill="auto"/>
        </w:rPr>
        <w:t>2018年决算公务车运行维护费0元， 2017年决算公务车运行维护费0元，2018年决算公务接待数为0元， 2017年决算公务接待数为1620元，2018年决算因公出国（境）费为0元，2017年决算因公出国（境）费为0元</w:t>
      </w:r>
      <w:r>
        <w:rPr>
          <w:rFonts w:hint="eastAsia" w:asciiTheme="minorEastAsia" w:hAnsiTheme="minorEastAsia" w:cstheme="minorEastAsia"/>
          <w:b w:val="0"/>
          <w:i w:val="0"/>
          <w:caps w:val="0"/>
          <w:color w:val="000000"/>
          <w:spacing w:val="0"/>
          <w:sz w:val="28"/>
          <w:szCs w:val="28"/>
          <w:shd w:val="clear" w:color="auto" w:fill="auto"/>
          <w:lang w:eastAsia="zh-CN"/>
        </w:rPr>
        <w:t>。</w:t>
      </w:r>
    </w:p>
    <w:p>
      <w:pPr>
        <w:widowControl/>
        <w:shd w:val="clear" w:color="auto" w:fill="FFFFFF"/>
        <w:jc w:val="left"/>
        <w:rPr>
          <w:rFonts w:hint="eastAsia" w:ascii="宋体" w:hAnsi="宋体" w:cs="宋体"/>
          <w:b/>
          <w:bCs/>
          <w:sz w:val="28"/>
          <w:szCs w:val="28"/>
        </w:rPr>
      </w:pPr>
      <w:r>
        <w:rPr>
          <w:rFonts w:hint="eastAsia" w:ascii="宋体" w:hAnsi="宋体" w:cs="宋体"/>
          <w:sz w:val="28"/>
          <w:szCs w:val="28"/>
        </w:rPr>
        <w:t>　　</w:t>
      </w:r>
      <w:r>
        <w:rPr>
          <w:rFonts w:hint="eastAsia" w:ascii="宋体" w:hAnsi="宋体" w:cs="宋体"/>
          <w:b/>
          <w:bCs/>
          <w:sz w:val="28"/>
          <w:szCs w:val="28"/>
        </w:rPr>
        <w:t>（三）关于机关运行经费支出说明</w:t>
      </w:r>
    </w:p>
    <w:p>
      <w:pPr>
        <w:pStyle w:val="8"/>
        <w:ind w:firstLine="568"/>
        <w:rPr>
          <w:rFonts w:hint="eastAsia" w:ascii="仿宋_GB2312" w:hAnsi="Times New Roman" w:eastAsia="仿宋_GB2312" w:cs="Times New Roman"/>
          <w:sz w:val="27"/>
          <w:szCs w:val="27"/>
        </w:rPr>
      </w:pPr>
      <w:r>
        <w:rPr>
          <w:spacing w:val="2"/>
          <w:sz w:val="28"/>
          <w:szCs w:val="28"/>
        </w:rPr>
        <w:t>201</w:t>
      </w:r>
      <w:r>
        <w:rPr>
          <w:rFonts w:hint="eastAsia"/>
          <w:spacing w:val="2"/>
          <w:sz w:val="28"/>
          <w:szCs w:val="28"/>
        </w:rPr>
        <w:t>8</w:t>
      </w:r>
      <w:r>
        <w:rPr>
          <w:rFonts w:hint="eastAsia" w:hAnsi="宋体"/>
          <w:spacing w:val="2"/>
          <w:sz w:val="28"/>
          <w:szCs w:val="28"/>
        </w:rPr>
        <w:t>年机关运行经费支出</w:t>
      </w:r>
      <w:r>
        <w:rPr>
          <w:rFonts w:hint="eastAsia"/>
          <w:spacing w:val="2"/>
          <w:sz w:val="28"/>
          <w:szCs w:val="28"/>
        </w:rPr>
        <w:t>25225143.09</w:t>
      </w:r>
      <w:r>
        <w:rPr>
          <w:rFonts w:hint="eastAsia" w:hAnsi="宋体"/>
          <w:spacing w:val="2"/>
          <w:sz w:val="28"/>
          <w:szCs w:val="28"/>
        </w:rPr>
        <w:t>元</w:t>
      </w:r>
      <w:r>
        <w:rPr>
          <w:spacing w:val="2"/>
          <w:sz w:val="28"/>
          <w:szCs w:val="28"/>
        </w:rPr>
        <w:t>, 201</w:t>
      </w:r>
      <w:r>
        <w:rPr>
          <w:rFonts w:hint="eastAsia"/>
          <w:spacing w:val="2"/>
          <w:sz w:val="28"/>
          <w:szCs w:val="28"/>
        </w:rPr>
        <w:t>7</w:t>
      </w:r>
      <w:r>
        <w:rPr>
          <w:rFonts w:hint="eastAsia" w:hAnsi="宋体"/>
          <w:spacing w:val="2"/>
          <w:sz w:val="28"/>
          <w:szCs w:val="28"/>
        </w:rPr>
        <w:t>年机关运行经费支出</w:t>
      </w:r>
      <w:r>
        <w:rPr>
          <w:rFonts w:hint="eastAsia"/>
          <w:spacing w:val="2"/>
          <w:sz w:val="28"/>
          <w:szCs w:val="28"/>
        </w:rPr>
        <w:t>1140639.66</w:t>
      </w:r>
      <w:r>
        <w:rPr>
          <w:rFonts w:hint="eastAsia" w:hAnsi="宋体"/>
          <w:spacing w:val="2"/>
          <w:sz w:val="28"/>
          <w:szCs w:val="28"/>
        </w:rPr>
        <w:t>元</w:t>
      </w:r>
      <w:r>
        <w:rPr>
          <w:spacing w:val="2"/>
          <w:sz w:val="28"/>
          <w:szCs w:val="28"/>
        </w:rPr>
        <w:t>,</w:t>
      </w:r>
      <w:r>
        <w:rPr>
          <w:rFonts w:hint="eastAsia"/>
          <w:spacing w:val="2"/>
          <w:sz w:val="28"/>
          <w:szCs w:val="28"/>
        </w:rPr>
        <w:t>同比上年增加</w:t>
      </w:r>
      <w:r>
        <w:rPr>
          <w:rFonts w:hint="eastAsia" w:hAnsi="宋体"/>
          <w:spacing w:val="2"/>
          <w:sz w:val="28"/>
          <w:szCs w:val="28"/>
        </w:rPr>
        <w:t>24084503.43</w:t>
      </w:r>
      <w:r>
        <w:rPr>
          <w:rFonts w:hint="eastAsia"/>
          <w:spacing w:val="2"/>
          <w:sz w:val="28"/>
          <w:szCs w:val="28"/>
        </w:rPr>
        <w:t>元，同比上年增加2111%，</w:t>
      </w:r>
      <w:r>
        <w:rPr>
          <w:rFonts w:hint="eastAsia" w:hAnsi="宋体"/>
          <w:spacing w:val="2"/>
          <w:sz w:val="28"/>
          <w:szCs w:val="28"/>
        </w:rPr>
        <w:t>原因是黄石港区民政局业务量增加</w:t>
      </w:r>
      <w:r>
        <w:rPr>
          <w:rFonts w:hint="eastAsia" w:ascii="仿宋_GB2312" w:hAnsi="Times New Roman" w:eastAsia="仿宋_GB2312" w:cs="Times New Roman"/>
          <w:sz w:val="27"/>
          <w:szCs w:val="27"/>
        </w:rPr>
        <w:t>。</w:t>
      </w:r>
    </w:p>
    <w:p>
      <w:pPr>
        <w:widowControl/>
        <w:shd w:val="clear" w:color="auto" w:fill="FFFFFF"/>
        <w:jc w:val="left"/>
        <w:rPr>
          <w:rFonts w:hint="eastAsia" w:ascii="宋体" w:hAnsi="宋体" w:cs="宋体"/>
          <w:b/>
          <w:bCs/>
          <w:sz w:val="28"/>
          <w:szCs w:val="28"/>
        </w:rPr>
      </w:pPr>
      <w:r>
        <w:rPr>
          <w:rFonts w:hint="eastAsia" w:ascii="宋体" w:hAnsi="宋体" w:cs="宋体"/>
          <w:sz w:val="28"/>
          <w:szCs w:val="28"/>
        </w:rPr>
        <w:t>　</w:t>
      </w:r>
      <w:r>
        <w:rPr>
          <w:rFonts w:hint="eastAsia" w:ascii="宋体" w:hAnsi="宋体" w:cs="宋体"/>
          <w:b/>
          <w:bCs/>
          <w:sz w:val="28"/>
          <w:szCs w:val="28"/>
        </w:rPr>
        <w:t>　（四）关于政府采购支出说明</w:t>
      </w:r>
    </w:p>
    <w:p>
      <w:pPr>
        <w:pStyle w:val="8"/>
        <w:ind w:firstLine="560" w:firstLineChars="200"/>
        <w:rPr>
          <w:rFonts w:hint="eastAsia" w:ascii="宋体" w:hAnsi="宋体"/>
          <w:sz w:val="28"/>
          <w:szCs w:val="28"/>
        </w:rPr>
      </w:pPr>
      <w:r>
        <w:rPr>
          <w:rFonts w:hint="eastAsia" w:ascii="宋体" w:hAnsi="宋体"/>
          <w:sz w:val="28"/>
          <w:szCs w:val="28"/>
        </w:rPr>
        <w:t>2018年政府采购总支出483739元，其中政府采购货物支出483739元，政府采购工程支出0元，政府采购服务支出0元。</w:t>
      </w:r>
    </w:p>
    <w:p>
      <w:pPr>
        <w:widowControl/>
        <w:shd w:val="clear" w:color="auto" w:fill="FFFFFF"/>
        <w:jc w:val="left"/>
        <w:rPr>
          <w:rFonts w:hint="eastAsia" w:ascii="宋体" w:hAnsi="宋体" w:cs="宋体"/>
          <w:b/>
          <w:bCs/>
          <w:sz w:val="28"/>
          <w:szCs w:val="28"/>
        </w:rPr>
      </w:pPr>
      <w:r>
        <w:rPr>
          <w:rFonts w:hint="eastAsia" w:ascii="宋体" w:hAnsi="宋体" w:cs="宋体"/>
          <w:sz w:val="28"/>
          <w:szCs w:val="28"/>
        </w:rPr>
        <w:t>　　</w:t>
      </w:r>
      <w:r>
        <w:rPr>
          <w:rFonts w:hint="eastAsia" w:ascii="宋体" w:hAnsi="宋体" w:cs="宋体"/>
          <w:b/>
          <w:bCs/>
          <w:sz w:val="28"/>
          <w:szCs w:val="28"/>
        </w:rPr>
        <w:t>（五）关于国有资产占用情况说明</w:t>
      </w:r>
    </w:p>
    <w:p>
      <w:pPr>
        <w:pStyle w:val="4"/>
        <w:snapToGrid w:val="0"/>
        <w:spacing w:beforeAutospacing="0" w:afterAutospacing="0" w:line="560" w:lineRule="exact"/>
        <w:ind w:firstLine="560" w:firstLineChars="200"/>
        <w:rPr>
          <w:rFonts w:asciiTheme="minorEastAsia" w:hAnsiTheme="minorEastAsia" w:cstheme="minorEastAsia"/>
          <w:sz w:val="28"/>
          <w:szCs w:val="28"/>
          <w:shd w:val="clear" w:color="auto" w:fill="FFFFFF"/>
        </w:rPr>
      </w:pPr>
      <w:r>
        <w:rPr>
          <w:rFonts w:hint="eastAsia" w:asciiTheme="minorEastAsia" w:hAnsiTheme="minorEastAsia" w:cstheme="minorEastAsia"/>
          <w:sz w:val="28"/>
          <w:szCs w:val="28"/>
          <w:shd w:val="clear" w:color="auto" w:fill="FFFFFF"/>
        </w:rPr>
        <w:t>截至2018年12月31日，本单位共有2轮电动车1辆，其中领导干部用车0辆，一般公务用车0辆，一般执法执勤用车0辆，特种专业技术用车0辆，其它用车1辆。</w:t>
      </w:r>
    </w:p>
    <w:p>
      <w:pPr>
        <w:pStyle w:val="4"/>
        <w:snapToGrid w:val="0"/>
        <w:spacing w:beforeAutospacing="0" w:afterAutospacing="0" w:line="560" w:lineRule="exact"/>
        <w:ind w:firstLine="560" w:firstLineChars="200"/>
        <w:rPr>
          <w:rStyle w:val="7"/>
          <w:rFonts w:hint="eastAsia" w:ascii="微软雅黑" w:hAnsi="微软雅黑" w:eastAsia="微软雅黑" w:cs="微软雅黑"/>
          <w:i w:val="0"/>
          <w:caps w:val="0"/>
          <w:color w:val="333333"/>
          <w:spacing w:val="0"/>
          <w:sz w:val="28"/>
          <w:szCs w:val="28"/>
          <w:shd w:val="clear" w:fill="FFFFFF"/>
        </w:rPr>
      </w:pPr>
      <w:r>
        <w:rPr>
          <w:rFonts w:hint="eastAsia" w:asciiTheme="minorEastAsia" w:hAnsiTheme="minorEastAsia" w:cstheme="minorEastAsia"/>
          <w:sz w:val="28"/>
          <w:szCs w:val="28"/>
          <w:shd w:val="clear" w:color="auto" w:fill="FFFFFF"/>
        </w:rPr>
        <w:t>2017年12月31日，本单位共有车辆0辆，其中领导干部用车0辆，一般公务用车0辆，一般执法执勤用车0辆，特种专业技术用车0辆，其它用车0辆。2018年与2017年对比增加一辆2轮电动车</w:t>
      </w:r>
      <w:r>
        <w:rPr>
          <w:rFonts w:hint="eastAsia" w:ascii="宋体" w:hAnsi="宋体"/>
          <w:color w:val="000000"/>
          <w:spacing w:val="2"/>
          <w:sz w:val="28"/>
          <w:szCs w:val="28"/>
          <w:lang w:eastAsia="zh-CN"/>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bCs w:val="0"/>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bCs w:val="0"/>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bCs w:val="0"/>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bCs w:val="0"/>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bCs w:val="0"/>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bCs w:val="0"/>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bCs w:val="0"/>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b/>
          <w:bCs w:val="0"/>
          <w:color w:val="333333"/>
          <w:sz w:val="24"/>
          <w:szCs w:val="24"/>
        </w:rPr>
      </w:pPr>
      <w:r>
        <w:rPr>
          <w:rStyle w:val="7"/>
          <w:rFonts w:hint="eastAsia" w:ascii="微软雅黑" w:hAnsi="微软雅黑" w:eastAsia="微软雅黑" w:cs="微软雅黑"/>
          <w:b/>
          <w:bCs w:val="0"/>
          <w:i w:val="0"/>
          <w:caps w:val="0"/>
          <w:color w:val="333333"/>
          <w:spacing w:val="0"/>
          <w:sz w:val="24"/>
          <w:szCs w:val="24"/>
          <w:shd w:val="clear" w:fill="FFFFFF"/>
        </w:rPr>
        <w:t>第四部分</w:t>
      </w:r>
      <w:r>
        <w:rPr>
          <w:rStyle w:val="7"/>
          <w:rFonts w:hint="eastAsia" w:ascii="微软雅黑" w:hAnsi="微软雅黑" w:eastAsia="微软雅黑" w:cs="微软雅黑"/>
          <w:b/>
          <w:bCs w:val="0"/>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b/>
          <w:bCs w:val="0"/>
          <w:i w:val="0"/>
          <w:caps w:val="0"/>
          <w:color w:val="333333"/>
          <w:spacing w:val="0"/>
          <w:sz w:val="24"/>
          <w:szCs w:val="24"/>
          <w:shd w:val="clear" w:fill="FFFFFF"/>
        </w:rPr>
        <w:t>名词解释</w:t>
      </w:r>
    </w:p>
    <w:p>
      <w:pPr>
        <w:spacing w:line="580" w:lineRule="exact"/>
        <w:ind w:firstLine="568" w:firstLineChars="200"/>
        <w:rPr>
          <w:rFonts w:hint="eastAsia"/>
          <w:color w:val="000000"/>
          <w:spacing w:val="2"/>
          <w:sz w:val="28"/>
          <w:szCs w:val="28"/>
        </w:rPr>
      </w:pPr>
      <w:r>
        <w:rPr>
          <w:rFonts w:hint="eastAsia"/>
          <w:color w:val="000000"/>
          <w:spacing w:val="2"/>
          <w:sz w:val="28"/>
          <w:szCs w:val="28"/>
        </w:rPr>
        <w:t>（一）财政拨款（补助）：指省级财政当年拨付的资金。</w:t>
      </w:r>
    </w:p>
    <w:p>
      <w:pPr>
        <w:spacing w:line="580" w:lineRule="exact"/>
        <w:ind w:firstLine="568" w:firstLineChars="200"/>
        <w:rPr>
          <w:rFonts w:hint="eastAsia"/>
          <w:color w:val="000000"/>
          <w:spacing w:val="2"/>
          <w:sz w:val="28"/>
          <w:szCs w:val="28"/>
        </w:rPr>
      </w:pPr>
      <w:r>
        <w:rPr>
          <w:rFonts w:hint="eastAsia"/>
          <w:color w:val="000000"/>
          <w:spacing w:val="2"/>
          <w:sz w:val="28"/>
          <w:szCs w:val="28"/>
        </w:rPr>
        <w:t xml:space="preserve">（二）事业收入：指事业单位开展专业业务活动及其辅助活动取得的收入。 </w:t>
      </w:r>
      <w:r>
        <w:rPr>
          <w:rFonts w:hint="eastAsia"/>
          <w:color w:val="000000"/>
          <w:spacing w:val="2"/>
          <w:sz w:val="28"/>
          <w:szCs w:val="28"/>
        </w:rPr>
        <w:br w:type="textWrapping"/>
      </w:r>
      <w:r>
        <w:rPr>
          <w:rFonts w:hint="eastAsia"/>
          <w:color w:val="000000"/>
          <w:spacing w:val="2"/>
          <w:sz w:val="28"/>
          <w:szCs w:val="28"/>
        </w:rPr>
        <w:t xml:space="preserve">　　（三）其他收入：指预算单位在“财政拨款补助收入”、“事业收入”、“经营收入”以外取得的收入。 </w:t>
      </w:r>
      <w:r>
        <w:rPr>
          <w:rFonts w:hint="eastAsia"/>
          <w:color w:val="000000"/>
          <w:spacing w:val="2"/>
          <w:sz w:val="28"/>
          <w:szCs w:val="28"/>
        </w:rPr>
        <w:br w:type="textWrapping"/>
      </w:r>
      <w:r>
        <w:rPr>
          <w:rFonts w:hint="eastAsia"/>
          <w:color w:val="000000"/>
          <w:spacing w:val="2"/>
          <w:sz w:val="28"/>
          <w:szCs w:val="28"/>
        </w:rPr>
        <w:t xml:space="preserve">　　（四）上年结转：指以前年度尚未完成、结转到本年仍按原规定用途继续使用的资金。 </w:t>
      </w:r>
      <w:r>
        <w:rPr>
          <w:rFonts w:hint="eastAsia"/>
          <w:color w:val="000000"/>
          <w:spacing w:val="2"/>
          <w:sz w:val="28"/>
          <w:szCs w:val="28"/>
        </w:rPr>
        <w:br w:type="textWrapping"/>
      </w:r>
      <w:r>
        <w:rPr>
          <w:rFonts w:hint="eastAsia"/>
          <w:color w:val="000000"/>
          <w:spacing w:val="2"/>
          <w:sz w:val="28"/>
          <w:szCs w:val="28"/>
        </w:rPr>
        <w:t xml:space="preserve">　　（五）基本支出：指为保障机构正常运转、完成日常工作任务而发生的人员支出和公用支出。 </w:t>
      </w:r>
      <w:r>
        <w:rPr>
          <w:rFonts w:hint="eastAsia"/>
          <w:color w:val="000000"/>
          <w:spacing w:val="2"/>
          <w:sz w:val="28"/>
          <w:szCs w:val="28"/>
        </w:rPr>
        <w:br w:type="textWrapping"/>
      </w:r>
      <w:r>
        <w:rPr>
          <w:rFonts w:hint="eastAsia"/>
          <w:color w:val="000000"/>
          <w:spacing w:val="2"/>
          <w:sz w:val="28"/>
          <w:szCs w:val="28"/>
        </w:rPr>
        <w:t xml:space="preserve">　　（六）项目支出：指为完成特定的行政工作任务或事业发展目标，在基本支出之外发生的各项支出。 </w:t>
      </w:r>
      <w:r>
        <w:rPr>
          <w:rFonts w:hint="eastAsia"/>
          <w:color w:val="000000"/>
          <w:spacing w:val="2"/>
          <w:sz w:val="28"/>
          <w:szCs w:val="28"/>
        </w:rPr>
        <w:br w:type="textWrapping"/>
      </w:r>
      <w:r>
        <w:rPr>
          <w:rFonts w:hint="eastAsia"/>
          <w:color w:val="000000"/>
          <w:spacing w:val="2"/>
          <w:sz w:val="28"/>
          <w:szCs w:val="28"/>
        </w:rPr>
        <w:t xml:space="preserve">　　（七）政府性基金收入：指各级政府及其所属部门根据法律、行政法规规定并经国务院或财政部批准，向公民、法人和其他组织征收的政府性基金，以及参照政府性基金管理或纳入基金预算、具有特定用途的财政资金。本部门使用的政府性基金全部为福利彩票公益金。 </w:t>
      </w:r>
      <w:r>
        <w:rPr>
          <w:rFonts w:hint="eastAsia"/>
          <w:color w:val="000000"/>
          <w:spacing w:val="2"/>
          <w:sz w:val="28"/>
          <w:szCs w:val="28"/>
        </w:rPr>
        <w:br w:type="textWrapping"/>
      </w:r>
      <w:r>
        <w:rPr>
          <w:rFonts w:hint="eastAsia"/>
          <w:color w:val="000000"/>
          <w:spacing w:val="2"/>
          <w:sz w:val="28"/>
          <w:szCs w:val="28"/>
        </w:rPr>
        <w:t>　　（八）“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spacing w:line="580" w:lineRule="exact"/>
        <w:ind w:firstLine="568" w:firstLineChars="200"/>
        <w:rPr>
          <w:rFonts w:hint="eastAsia"/>
          <w:color w:val="000000"/>
          <w:spacing w:val="2"/>
          <w:sz w:val="28"/>
          <w:szCs w:val="28"/>
        </w:rPr>
      </w:pPr>
      <w:r>
        <w:rPr>
          <w:rFonts w:hint="eastAsia"/>
          <w:color w:val="000000"/>
          <w:spacing w:val="2"/>
          <w:sz w:val="28"/>
          <w:szCs w:val="28"/>
        </w:rPr>
        <w:t>（九）行政运行（项）：指机关和实行公务员法管理事业单位用于保障机构正常运转的基本支出。</w:t>
      </w:r>
    </w:p>
    <w:p>
      <w:pPr>
        <w:spacing w:line="580" w:lineRule="exact"/>
        <w:ind w:firstLine="568" w:firstLineChars="200"/>
        <w:rPr>
          <w:rFonts w:hint="eastAsia"/>
          <w:color w:val="000000"/>
          <w:spacing w:val="2"/>
          <w:sz w:val="28"/>
          <w:szCs w:val="28"/>
        </w:rPr>
      </w:pPr>
      <w:r>
        <w:rPr>
          <w:rFonts w:hint="eastAsia"/>
          <w:color w:val="000000"/>
          <w:spacing w:val="2"/>
          <w:sz w:val="28"/>
          <w:szCs w:val="28"/>
        </w:rPr>
        <w:t>（十）其他民政管理事务支出（项）：指民政部门开展优抚安置、救灾减灾、社会救助、社会福利、社会事务、信息化建设等专项业务的支出，以及接待来访、法制建设、政策宣传方面的支出。</w:t>
      </w:r>
    </w:p>
    <w:p>
      <w:pPr>
        <w:widowControl/>
        <w:ind w:firstLine="426" w:firstLineChars="150"/>
        <w:rPr>
          <w:rFonts w:hint="eastAsia"/>
          <w:color w:val="000000"/>
          <w:spacing w:val="2"/>
          <w:sz w:val="28"/>
          <w:szCs w:val="28"/>
        </w:rPr>
      </w:pPr>
      <w:r>
        <w:rPr>
          <w:rFonts w:hint="eastAsia"/>
          <w:color w:val="000000"/>
          <w:spacing w:val="2"/>
          <w:sz w:val="28"/>
          <w:szCs w:val="28"/>
        </w:rPr>
        <w:t>（十一）其他优抚支出（项）：指其他用于优抚方面的支出。</w:t>
      </w:r>
    </w:p>
    <w:p>
      <w:pPr>
        <w:rPr>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CA693D"/>
    <w:rsid w:val="04FF3433"/>
    <w:rsid w:val="0664587B"/>
    <w:rsid w:val="08C015D3"/>
    <w:rsid w:val="0E836A5F"/>
    <w:rsid w:val="228A65CA"/>
    <w:rsid w:val="255E033E"/>
    <w:rsid w:val="289C3E82"/>
    <w:rsid w:val="28EE6E7B"/>
    <w:rsid w:val="2C203A0A"/>
    <w:rsid w:val="2C2716FD"/>
    <w:rsid w:val="2D5063EA"/>
    <w:rsid w:val="303B3468"/>
    <w:rsid w:val="311C45D5"/>
    <w:rsid w:val="32BD01BE"/>
    <w:rsid w:val="38203263"/>
    <w:rsid w:val="3C2D5DD2"/>
    <w:rsid w:val="3CF427BE"/>
    <w:rsid w:val="489106AE"/>
    <w:rsid w:val="4BBC5AAB"/>
    <w:rsid w:val="4F7D3E29"/>
    <w:rsid w:val="514D2F0D"/>
    <w:rsid w:val="563E0CA4"/>
    <w:rsid w:val="57DE0E9E"/>
    <w:rsid w:val="60390F38"/>
    <w:rsid w:val="692B2102"/>
    <w:rsid w:val="70A32328"/>
    <w:rsid w:val="746766E2"/>
    <w:rsid w:val="768D6BB8"/>
    <w:rsid w:val="78186405"/>
    <w:rsid w:val="7ED07DD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3">
    <w:name w:val="Plain Text"/>
    <w:basedOn w:val="1"/>
    <w:qFormat/>
    <w:uiPriority w:val="0"/>
    <w:rPr>
      <w:rFonts w:ascii="宋体" w:hAnsi="Courier New" w:cs="Courier New"/>
      <w:szCs w:val="21"/>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8">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9">
    <w:name w:val="ca-2"/>
    <w:basedOn w:val="6"/>
    <w:qFormat/>
    <w:uiPriority w:val="0"/>
  </w:style>
  <w:style w:type="paragraph" w:customStyle="1" w:styleId="10">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Office_11.1.0.8976_F1E327BC-269C-435d-A152-05C5408002CA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asd</cp:lastModifiedBy>
  <dcterms:modified xsi:type="dcterms:W3CDTF">2019-09-18T10:20:28Z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ies>
</file>