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val="en-US" w:eastAsia="zh-CN"/>
        </w:rPr>
        <w:t>黄石港区民政局单位</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2</w:t>
      </w:r>
      <w:r>
        <w:rPr>
          <w:rFonts w:ascii="微软雅黑" w:hAnsi="微软雅黑" w:eastAsia="微软雅黑" w:cs="微软雅黑"/>
          <w:color w:val="BC1010"/>
          <w:sz w:val="40"/>
          <w:szCs w:val="40"/>
          <w:shd w:val="clear" w:color="auto" w:fill="FFFFFF"/>
        </w:rPr>
        <w:t>年</w:t>
      </w:r>
      <w:r>
        <w:rPr>
          <w:rFonts w:hint="eastAsia" w:ascii="微软雅黑" w:hAnsi="微软雅黑" w:eastAsia="微软雅黑" w:cs="微软雅黑"/>
          <w:color w:val="BC1010"/>
          <w:sz w:val="40"/>
          <w:szCs w:val="40"/>
          <w:shd w:val="clear" w:color="auto" w:fill="FFFFFF"/>
          <w:lang w:val="en-US" w:eastAsia="zh-CN"/>
        </w:rPr>
        <w:t>部门</w:t>
      </w:r>
      <w:r>
        <w:rPr>
          <w:rFonts w:ascii="微软雅黑" w:hAnsi="微软雅黑" w:eastAsia="微软雅黑" w:cs="微软雅黑"/>
          <w:color w:val="BC1010"/>
          <w:sz w:val="40"/>
          <w:szCs w:val="40"/>
          <w:shd w:val="clear" w:color="auto" w:fill="FFFFFF"/>
        </w:rPr>
        <w:t>决算公开</w:t>
      </w:r>
    </w:p>
    <w:p>
      <w:pPr>
        <w:pStyle w:val="5"/>
        <w:widowControl/>
        <w:spacing w:before="76" w:beforeAutospacing="0" w:after="76" w:afterAutospacing="0" w:line="450" w:lineRule="atLeast"/>
        <w:ind w:firstLine="420"/>
        <w:jc w:val="center"/>
        <w:rPr>
          <w:color w:val="333333"/>
        </w:rPr>
      </w:pPr>
      <w:r>
        <w:rPr>
          <w:rStyle w:val="8"/>
          <w:rFonts w:hint="eastAsia" w:ascii="微软雅黑" w:hAnsi="微软雅黑" w:eastAsia="微软雅黑" w:cs="微软雅黑"/>
          <w:color w:val="333333"/>
          <w:shd w:val="clear" w:color="auto" w:fill="FFFFFF"/>
          <w:lang w:val="en-US" w:eastAsia="zh-CN"/>
        </w:rPr>
        <w:t>民政局单位</w:t>
      </w:r>
      <w:r>
        <w:rPr>
          <w:rStyle w:val="8"/>
          <w:rFonts w:hint="eastAsia" w:ascii="微软雅黑" w:hAnsi="微软雅黑" w:eastAsia="微软雅黑" w:cs="微软雅黑"/>
          <w:color w:val="333333"/>
          <w:shd w:val="clear" w:color="auto" w:fill="FFFFFF"/>
        </w:rPr>
        <w:t>202</w:t>
      </w:r>
      <w:r>
        <w:rPr>
          <w:rStyle w:val="8"/>
          <w:rFonts w:hint="eastAsia" w:ascii="微软雅黑" w:hAnsi="微软雅黑" w:eastAsia="微软雅黑" w:cs="微软雅黑"/>
          <w:color w:val="333333"/>
          <w:shd w:val="clear" w:color="auto" w:fill="FFFFFF"/>
          <w:lang w:val="en-US" w:eastAsia="zh-CN"/>
        </w:rPr>
        <w:t>2</w:t>
      </w:r>
      <w:r>
        <w:rPr>
          <w:rStyle w:val="8"/>
          <w:rFonts w:hint="eastAsia" w:ascii="微软雅黑" w:hAnsi="微软雅黑" w:eastAsia="微软雅黑" w:cs="微软雅黑"/>
          <w:color w:val="333333"/>
          <w:shd w:val="clear" w:color="auto" w:fill="FFFFFF"/>
        </w:rPr>
        <w:t>年</w:t>
      </w:r>
      <w:r>
        <w:rPr>
          <w:rStyle w:val="8"/>
          <w:rFonts w:hint="eastAsia" w:ascii="微软雅黑" w:hAnsi="微软雅黑" w:eastAsia="微软雅黑" w:cs="微软雅黑"/>
          <w:color w:val="333333"/>
          <w:shd w:val="clear" w:color="auto" w:fill="FFFFFF"/>
          <w:lang w:val="en-US" w:eastAsia="zh-CN"/>
        </w:rPr>
        <w:t>部门</w:t>
      </w:r>
      <w:r>
        <w:rPr>
          <w:rStyle w:val="8"/>
          <w:rFonts w:hint="eastAsia" w:ascii="微软雅黑" w:hAnsi="微软雅黑" w:eastAsia="微软雅黑" w:cs="微软雅黑"/>
          <w:color w:val="333333"/>
          <w:shd w:val="clear" w:color="auto" w:fill="FFFFFF"/>
        </w:rPr>
        <w:t>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5"/>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黄石港区民政局单位概况</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 xml:space="preserve">第二部分: </w:t>
      </w:r>
      <w:r>
        <w:rPr>
          <w:rFonts w:hint="eastAsia" w:ascii="微软雅黑" w:hAnsi="微软雅黑" w:eastAsia="微软雅黑" w:cs="微软雅黑"/>
          <w:color w:val="333333"/>
          <w:shd w:val="clear" w:color="auto" w:fill="FFFFFF"/>
          <w:lang w:val="en-US" w:eastAsia="zh-CN"/>
        </w:rPr>
        <w:t>黄石港区民政局单位</w:t>
      </w:r>
      <w:r>
        <w:rPr>
          <w:rFonts w:hint="eastAsia" w:ascii="微软雅黑" w:hAnsi="微软雅黑" w:eastAsia="微软雅黑" w:cs="微软雅黑"/>
          <w:color w:val="333333"/>
          <w:shd w:val="clear" w:color="auto" w:fill="FFFFFF"/>
        </w:rPr>
        <w:t>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w:t>
      </w:r>
      <w:r>
        <w:rPr>
          <w:rFonts w:hint="eastAsia" w:ascii="微软雅黑" w:hAnsi="微软雅黑" w:eastAsia="微软雅黑" w:cs="微软雅黑"/>
          <w:color w:val="333333"/>
          <w:shd w:val="clear" w:color="auto" w:fill="FFFFFF"/>
          <w:lang w:val="en-US" w:eastAsia="zh-CN"/>
        </w:rPr>
        <w:t>公开0</w:t>
      </w:r>
      <w:r>
        <w:rPr>
          <w:rFonts w:hint="eastAsia"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lang w:val="en-US" w:eastAsia="zh-CN"/>
        </w:rPr>
        <w:t>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w:t>
      </w:r>
      <w:r>
        <w:rPr>
          <w:rFonts w:hint="eastAsia" w:ascii="微软雅黑" w:hAnsi="微软雅黑" w:eastAsia="微软雅黑" w:cs="微软雅黑"/>
          <w:color w:val="333333"/>
          <w:shd w:val="clear" w:color="auto" w:fill="FFFFFF"/>
          <w:lang w:val="en-US" w:eastAsia="zh-CN"/>
        </w:rPr>
        <w:t>公开02表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w:t>
      </w:r>
      <w:r>
        <w:rPr>
          <w:rFonts w:hint="eastAsia" w:ascii="微软雅黑" w:hAnsi="微软雅黑" w:eastAsia="微软雅黑" w:cs="微软雅黑"/>
          <w:color w:val="333333"/>
          <w:shd w:val="clear" w:color="auto" w:fill="FFFFFF"/>
          <w:lang w:val="en-US" w:eastAsia="zh-CN"/>
        </w:rPr>
        <w:t>公开03表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w:t>
      </w:r>
      <w:r>
        <w:rPr>
          <w:rFonts w:hint="eastAsia" w:ascii="微软雅黑" w:hAnsi="微软雅黑" w:eastAsia="微软雅黑" w:cs="微软雅黑"/>
          <w:color w:val="333333"/>
          <w:shd w:val="clear" w:color="auto" w:fill="FFFFFF"/>
          <w:lang w:val="en-US" w:eastAsia="zh-CN"/>
        </w:rPr>
        <w:t>公开04表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w:t>
      </w:r>
      <w:r>
        <w:rPr>
          <w:rFonts w:hint="eastAsia" w:ascii="微软雅黑" w:hAnsi="微软雅黑" w:eastAsia="微软雅黑" w:cs="微软雅黑"/>
          <w:color w:val="333333"/>
          <w:shd w:val="clear" w:color="auto" w:fill="FFFFFF"/>
          <w:lang w:val="en-US" w:eastAsia="zh-CN"/>
        </w:rPr>
        <w:t>公开05表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w:t>
      </w:r>
      <w:r>
        <w:rPr>
          <w:rFonts w:hint="eastAsia" w:ascii="微软雅黑" w:hAnsi="微软雅黑" w:eastAsia="微软雅黑" w:cs="微软雅黑"/>
          <w:color w:val="333333"/>
          <w:shd w:val="clear" w:color="auto" w:fill="FFFFFF"/>
          <w:lang w:val="en-US" w:eastAsia="zh-CN"/>
        </w:rPr>
        <w:t>公开06表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w:t>
      </w:r>
      <w:r>
        <w:rPr>
          <w:rFonts w:hint="eastAsia" w:ascii="微软雅黑" w:hAnsi="微软雅黑" w:eastAsia="微软雅黑" w:cs="微软雅黑"/>
          <w:color w:val="333333"/>
          <w:shd w:val="clear" w:color="auto" w:fill="FFFFFF"/>
          <w:lang w:val="en-US" w:eastAsia="zh-CN"/>
        </w:rPr>
        <w:t>公开07表</w:t>
      </w:r>
      <w:r>
        <w:rPr>
          <w:rFonts w:hint="eastAsia" w:ascii="微软雅黑" w:hAnsi="微软雅黑" w:eastAsia="微软雅黑" w:cs="微软雅黑"/>
          <w:color w:val="333333"/>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w:t>
      </w:r>
      <w:r>
        <w:rPr>
          <w:rFonts w:hint="eastAsia" w:ascii="微软雅黑" w:hAnsi="微软雅黑" w:eastAsia="微软雅黑" w:cs="微软雅黑"/>
          <w:color w:val="333333"/>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w:t>
      </w:r>
      <w:r>
        <w:rPr>
          <w:rFonts w:hint="eastAsia" w:ascii="微软雅黑" w:hAnsi="微软雅黑" w:eastAsia="微软雅黑" w:cs="微软雅黑"/>
          <w:color w:val="333333"/>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八、政府性基金预算财政拨款收入支出决算情况说明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九、国有资本经营预算财政拨款支出决算情况说明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十二、国有资产占用情况说明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十三、预算绩效情况说明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十四、专项支出、转移支付支出情况说明</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5"/>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第一部分  部门概况</w:t>
      </w:r>
    </w:p>
    <w:p>
      <w:pPr>
        <w:pStyle w:val="9"/>
        <w:widowControl/>
        <w:numPr>
          <w:ilvl w:val="0"/>
          <w:numId w:val="0"/>
        </w:numPr>
        <w:shd w:val="clear" w:color="auto" w:fill="FFFFFF"/>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一</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主要职责</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一、部门主要职责</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主要职能是代表区人民政府承担社会救济、社区建设、社会事务(婚姻登记、殡葬改革、民间组织、老龄工作、孤儿领养、地名区划)的管理和服务。</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二、机构设置情况</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从单位构成看，部门名称部门决算由实行独立核算的部门名称本级决算和1个下属单位决算组成。</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纳入部门名称2022年度部门决算编制范围的二级预算单位包括：</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1.部门名称（本级）</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（单户表和单位决算填写内部机构设置情况。）</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第二部分  2022年度部门决算表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tbl>
      <w:tblPr>
        <w:tblStyle w:val="6"/>
        <w:tblW w:w="14070" w:type="dxa"/>
        <w:tblInd w:w="0" w:type="dxa"/>
        <w:tblLayout w:type="autofit"/>
        <w:tblCellMar>
          <w:top w:w="0" w:type="dxa"/>
          <w:left w:w="0" w:type="dxa"/>
          <w:bottom w:w="0" w:type="dxa"/>
          <w:right w:w="0" w:type="dxa"/>
        </w:tblCellMar>
      </w:tblPr>
      <w:tblGrid>
        <w:gridCol w:w="4336"/>
        <w:gridCol w:w="574"/>
        <w:gridCol w:w="1514"/>
        <w:gridCol w:w="4067"/>
        <w:gridCol w:w="574"/>
        <w:gridCol w:w="3005"/>
      </w:tblGrid>
      <w:tr>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27897283.03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1982867.38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29720650.41</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9500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4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150000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29880150.41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29880150.41</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202609.44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202609.44</w:t>
            </w: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30082759.85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30082759.85</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1"/>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收入决算表</w:t>
      </w:r>
    </w:p>
    <w:tbl>
      <w:tblPr>
        <w:tblStyle w:val="6"/>
        <w:tblW w:w="15518" w:type="dxa"/>
        <w:jc w:val="center"/>
        <w:tblLayout w:type="fixed"/>
        <w:tblCellMar>
          <w:top w:w="0" w:type="dxa"/>
          <w:left w:w="0" w:type="dxa"/>
          <w:bottom w:w="0" w:type="dxa"/>
          <w:right w:w="0" w:type="dxa"/>
        </w:tblCellMar>
      </w:tblPr>
      <w:tblGrid>
        <w:gridCol w:w="1376"/>
        <w:gridCol w:w="3383"/>
        <w:gridCol w:w="1417"/>
        <w:gridCol w:w="1467"/>
        <w:gridCol w:w="1633"/>
        <w:gridCol w:w="1533"/>
        <w:gridCol w:w="1634"/>
        <w:gridCol w:w="1600"/>
        <w:gridCol w:w="1475"/>
      </w:tblGrid>
      <w:tr>
        <w:trPr>
          <w:trHeight w:val="390" w:hRule="atLeast"/>
          <w:jc w:val="center"/>
        </w:trPr>
        <w:tc>
          <w:tcPr>
            <w:tcW w:w="1551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rPr>
          <w:trHeight w:val="255" w:hRule="atLeast"/>
          <w:jc w:val="center"/>
        </w:trPr>
        <w:tc>
          <w:tcPr>
            <w:tcW w:w="7643"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3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7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rPr>
          <w:trHeight w:val="255" w:hRule="atLeast"/>
          <w:jc w:val="center"/>
        </w:trPr>
        <w:tc>
          <w:tcPr>
            <w:tcW w:w="7643"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633"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3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7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jc w:val="center"/>
        </w:trPr>
        <w:tc>
          <w:tcPr>
            <w:tcW w:w="47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1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46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63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53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634"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6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rPr>
          <w:trHeight w:val="308" w:hRule="atLeast"/>
          <w:jc w:val="center"/>
        </w:trPr>
        <w:tc>
          <w:tcPr>
            <w:tcW w:w="137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8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1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137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8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137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8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475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1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6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3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rPr>
          <w:trHeight w:val="308" w:hRule="atLeast"/>
          <w:jc w:val="center"/>
        </w:trPr>
        <w:tc>
          <w:tcPr>
            <w:tcW w:w="475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2,988.02</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2,789.73</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198.29</w:t>
            </w:r>
          </w:p>
        </w:tc>
      </w:tr>
      <w:tr>
        <w:trPr>
          <w:trHeight w:val="308" w:hRule="atLeast"/>
          <w:jc w:val="center"/>
        </w:trPr>
        <w:tc>
          <w:tcPr>
            <w:tcW w:w="137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33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2,972.07</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2,789.73</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182.34</w:t>
            </w:r>
          </w:p>
        </w:tc>
      </w:tr>
      <w:tr>
        <w:trPr>
          <w:trHeight w:val="308" w:hRule="atLeast"/>
          <w:jc w:val="center"/>
        </w:trPr>
        <w:tc>
          <w:tcPr>
            <w:tcW w:w="137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20802</w:t>
            </w:r>
          </w:p>
        </w:tc>
        <w:tc>
          <w:tcPr>
            <w:tcW w:w="33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民政管理事务</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403.71</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370.95</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32.76</w:t>
            </w:r>
          </w:p>
        </w:tc>
      </w:tr>
      <w:tr>
        <w:trPr>
          <w:trHeight w:val="308" w:hRule="atLeast"/>
          <w:jc w:val="center"/>
        </w:trPr>
        <w:tc>
          <w:tcPr>
            <w:tcW w:w="137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33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233.22</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221.46</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w:t>
            </w:r>
          </w:p>
        </w:tc>
      </w:tr>
      <w:tr>
        <w:trPr>
          <w:trHeight w:val="308" w:hRule="atLeast"/>
          <w:jc w:val="center"/>
        </w:trPr>
        <w:tc>
          <w:tcPr>
            <w:tcW w:w="137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2080206</w:t>
            </w:r>
          </w:p>
        </w:tc>
        <w:tc>
          <w:tcPr>
            <w:tcW w:w="33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社会组织管理</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7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33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其他民政管理事务支出</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155.49</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134.49</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r>
      <w:tr>
        <w:trPr>
          <w:trHeight w:val="308" w:hRule="atLeast"/>
          <w:jc w:val="center"/>
        </w:trPr>
        <w:tc>
          <w:tcPr>
            <w:tcW w:w="1376"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20810</w:t>
            </w:r>
          </w:p>
        </w:tc>
        <w:tc>
          <w:tcPr>
            <w:tcW w:w="3383"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社会福利</w:t>
            </w:r>
          </w:p>
        </w:tc>
        <w:tc>
          <w:tcPr>
            <w:tcW w:w="141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681.89</w:t>
            </w:r>
          </w:p>
        </w:tc>
        <w:tc>
          <w:tcPr>
            <w:tcW w:w="146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610.09</w:t>
            </w:r>
          </w:p>
        </w:tc>
        <w:tc>
          <w:tcPr>
            <w:tcW w:w="1633"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71.80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老年福利</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610.09</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610.09</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2081006 </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养老服务</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2081099</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其他社会福利支出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20811</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残疾人事业</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225.83</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225.83</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20819</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最低生活保障</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1,353.31</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1,352.31</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1,353.31</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1,352.31</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20820</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临时救助</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1.53</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1.53</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2082001</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1.53</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1.53</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20821</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特困人员救助供养</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1.56</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1.56</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2082101</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1.56</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1.56</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20899</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其他社会保障和就业支出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304.24</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227.47</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76.77</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2089999</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304.24</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227.47</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76.77</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210</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卫生健康支出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0.95</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0.95</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21016</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老龄卫生健康事务</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0.95</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0.95</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2101601</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老龄卫生健康事务</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0.95</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0.95</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229</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15.00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15.00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22960</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彩票公益金安排的支出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15.00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15.00</w:t>
            </w:r>
          </w:p>
        </w:tc>
      </w:tr>
      <w:tr>
        <w:trPr>
          <w:trHeight w:val="308" w:hRule="atLeast"/>
          <w:jc w:val="center"/>
        </w:trPr>
        <w:tc>
          <w:tcPr>
            <w:tcW w:w="137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2296002</w:t>
            </w:r>
          </w:p>
        </w:tc>
        <w:tc>
          <w:tcPr>
            <w:tcW w:w="33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bl>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三、支出决算表</w:t>
      </w:r>
    </w:p>
    <w:tbl>
      <w:tblPr>
        <w:tblStyle w:val="6"/>
        <w:tblW w:w="14044" w:type="dxa"/>
        <w:jc w:val="center"/>
        <w:tblLayout w:type="fixed"/>
        <w:tblCellMar>
          <w:top w:w="0" w:type="dxa"/>
          <w:left w:w="0" w:type="dxa"/>
          <w:bottom w:w="0" w:type="dxa"/>
          <w:right w:w="0" w:type="dxa"/>
        </w:tblCellMar>
      </w:tblPr>
      <w:tblGrid>
        <w:gridCol w:w="1050"/>
        <w:gridCol w:w="60"/>
        <w:gridCol w:w="212"/>
        <w:gridCol w:w="3450"/>
        <w:gridCol w:w="1534"/>
        <w:gridCol w:w="1700"/>
        <w:gridCol w:w="1600"/>
        <w:gridCol w:w="1633"/>
        <w:gridCol w:w="1467"/>
        <w:gridCol w:w="1338"/>
      </w:tblGrid>
      <w:tr>
        <w:trPr>
          <w:trHeight w:val="390" w:hRule="atLeast"/>
          <w:jc w:val="center"/>
        </w:trPr>
        <w:tc>
          <w:tcPr>
            <w:tcW w:w="14044"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rPr>
          <w:trHeight w:val="255" w:hRule="atLeast"/>
          <w:jc w:val="center"/>
        </w:trPr>
        <w:tc>
          <w:tcPr>
            <w:tcW w:w="105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3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6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38"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rPr>
          <w:trHeight w:val="255" w:hRule="atLeast"/>
          <w:jc w:val="center"/>
        </w:trPr>
        <w:tc>
          <w:tcPr>
            <w:tcW w:w="105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3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6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6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38"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jc w:val="center"/>
        </w:trPr>
        <w:tc>
          <w:tcPr>
            <w:tcW w:w="477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34"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7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3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46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33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rPr>
          <w:trHeight w:val="308" w:hRule="atLeast"/>
          <w:jc w:val="center"/>
        </w:trPr>
        <w:tc>
          <w:tcPr>
            <w:tcW w:w="132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5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3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132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5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132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5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47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3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6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rPr>
          <w:trHeight w:val="308" w:hRule="atLeast"/>
          <w:jc w:val="center"/>
        </w:trPr>
        <w:tc>
          <w:tcPr>
            <w:tcW w:w="47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2,988.02</w:t>
            </w:r>
          </w:p>
        </w:tc>
        <w:tc>
          <w:tcPr>
            <w:tcW w:w="1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2,988.02</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34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15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2,972.07</w:t>
            </w:r>
          </w:p>
        </w:tc>
        <w:tc>
          <w:tcPr>
            <w:tcW w:w="1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2,972.07</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20802</w:t>
            </w:r>
          </w:p>
        </w:tc>
        <w:tc>
          <w:tcPr>
            <w:tcW w:w="34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民政管理事务</w:t>
            </w:r>
          </w:p>
        </w:tc>
        <w:tc>
          <w:tcPr>
            <w:tcW w:w="15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403.71</w:t>
            </w:r>
          </w:p>
        </w:tc>
        <w:tc>
          <w:tcPr>
            <w:tcW w:w="1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403.71</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34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233.22</w:t>
            </w:r>
          </w:p>
        </w:tc>
        <w:tc>
          <w:tcPr>
            <w:tcW w:w="1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233.22</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2080206</w:t>
            </w:r>
          </w:p>
        </w:tc>
        <w:tc>
          <w:tcPr>
            <w:tcW w:w="34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社会组织管理</w:t>
            </w:r>
          </w:p>
        </w:tc>
        <w:tc>
          <w:tcPr>
            <w:tcW w:w="15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34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5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155.49</w:t>
            </w:r>
          </w:p>
        </w:tc>
        <w:tc>
          <w:tcPr>
            <w:tcW w:w="1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155.49</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20810</w:t>
            </w:r>
          </w:p>
        </w:tc>
        <w:tc>
          <w:tcPr>
            <w:tcW w:w="34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社会福利</w:t>
            </w:r>
          </w:p>
        </w:tc>
        <w:tc>
          <w:tcPr>
            <w:tcW w:w="15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681.89</w:t>
            </w:r>
          </w:p>
        </w:tc>
        <w:tc>
          <w:tcPr>
            <w:tcW w:w="1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681.89</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34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5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610.09</w:t>
            </w:r>
          </w:p>
        </w:tc>
        <w:tc>
          <w:tcPr>
            <w:tcW w:w="1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610.09</w:t>
            </w:r>
          </w:p>
        </w:tc>
        <w:tc>
          <w:tcPr>
            <w:tcW w:w="16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2081006</w:t>
            </w:r>
          </w:p>
        </w:tc>
        <w:tc>
          <w:tcPr>
            <w:tcW w:w="3450"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1534"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71.40</w:t>
            </w:r>
          </w:p>
        </w:tc>
        <w:tc>
          <w:tcPr>
            <w:tcW w:w="1700"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71.40</w:t>
            </w:r>
          </w:p>
        </w:tc>
        <w:tc>
          <w:tcPr>
            <w:tcW w:w="1600"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2081099</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其他社会福利支出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20811</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残疾人事业</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225.83</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225.83</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20819</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最低生活保障</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1,353.31</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1,353.31</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1,353.31</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1,353.31</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20820</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临时救助</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1.53</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1.53</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20821</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特困人员救助供养</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20899</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其他社会保障和就业支出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304.24</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304.24</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304.24</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304.24</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0.95</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0.95</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21016</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老龄卫生健康事务</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0.95</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0.95</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2101601</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老龄卫生健康事务</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229</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22960</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彩票公益金安排的支出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4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val="0"/>
        <w:numPr>
          <w:ilvl w:val="0"/>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四、财政拨款收入支出决算总表</w:t>
      </w:r>
    </w:p>
    <w:tbl>
      <w:tblPr>
        <w:tblStyle w:val="6"/>
        <w:tblW w:w="15124" w:type="dxa"/>
        <w:jc w:val="center"/>
        <w:tblLayout w:type="fixed"/>
        <w:tblCellMar>
          <w:top w:w="0" w:type="dxa"/>
          <w:left w:w="0" w:type="dxa"/>
          <w:bottom w:w="0" w:type="dxa"/>
          <w:right w:w="0" w:type="dxa"/>
        </w:tblCellMar>
      </w:tblPr>
      <w:tblGrid>
        <w:gridCol w:w="3025"/>
        <w:gridCol w:w="984"/>
        <w:gridCol w:w="1245"/>
        <w:gridCol w:w="3510"/>
        <w:gridCol w:w="990"/>
        <w:gridCol w:w="1245"/>
        <w:gridCol w:w="1245"/>
        <w:gridCol w:w="1395"/>
        <w:gridCol w:w="1485"/>
      </w:tblGrid>
      <w:tr>
        <w:trPr>
          <w:trHeight w:val="390" w:hRule="atLeast"/>
          <w:jc w:val="center"/>
        </w:trPr>
        <w:tc>
          <w:tcPr>
            <w:tcW w:w="15124"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jc w:val="center"/>
        </w:trPr>
        <w:tc>
          <w:tcPr>
            <w:tcW w:w="52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9870"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rPr>
          <w:trHeight w:val="292" w:hRule="atLeast"/>
          <w:jc w:val="center"/>
        </w:trPr>
        <w:tc>
          <w:tcPr>
            <w:tcW w:w="302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5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4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rPr>
          <w:trHeight w:val="615" w:hRule="atLeast"/>
          <w:jc w:val="center"/>
        </w:trPr>
        <w:tc>
          <w:tcPr>
            <w:tcW w:w="302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2,789.73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tbl>
      <w:tblPr>
        <w:tblStyle w:val="6"/>
        <w:tblW w:w="14697" w:type="dxa"/>
        <w:jc w:val="center"/>
        <w:tblLayout w:type="fixed"/>
        <w:tblCellMar>
          <w:top w:w="0" w:type="dxa"/>
          <w:left w:w="0" w:type="dxa"/>
          <w:bottom w:w="0" w:type="dxa"/>
          <w:right w:w="0" w:type="dxa"/>
        </w:tblCellMar>
      </w:tblPr>
      <w:tblGrid>
        <w:gridCol w:w="1049"/>
        <w:gridCol w:w="59"/>
        <w:gridCol w:w="1058"/>
        <w:gridCol w:w="2733"/>
        <w:gridCol w:w="3267"/>
        <w:gridCol w:w="3882"/>
        <w:gridCol w:w="2649"/>
      </w:tblGrid>
      <w:tr>
        <w:trPr>
          <w:trHeight w:val="626" w:hRule="atLeast"/>
          <w:jc w:val="center"/>
        </w:trPr>
        <w:tc>
          <w:tcPr>
            <w:tcW w:w="14697"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rPr>
          <w:trHeight w:val="321" w:hRule="atLeast"/>
          <w:jc w:val="center"/>
        </w:trPr>
        <w:tc>
          <w:tcPr>
            <w:tcW w:w="1049"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5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7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26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8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4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rPr>
          <w:trHeight w:val="321" w:hRule="atLeast"/>
          <w:jc w:val="center"/>
        </w:trPr>
        <w:tc>
          <w:tcPr>
            <w:tcW w:w="104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5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7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26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82"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264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40" w:hRule="atLeast"/>
          <w:jc w:val="center"/>
        </w:trPr>
        <w:tc>
          <w:tcPr>
            <w:tcW w:w="48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798"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rPr>
          <w:trHeight w:val="321" w:hRule="atLeast"/>
          <w:jc w:val="center"/>
        </w:trPr>
        <w:tc>
          <w:tcPr>
            <w:tcW w:w="2166"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73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26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88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64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rPr>
          <w:trHeight w:val="321" w:hRule="atLeast"/>
          <w:jc w:val="center"/>
        </w:trPr>
        <w:tc>
          <w:tcPr>
            <w:tcW w:w="216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3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6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4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21" w:hRule="atLeast"/>
          <w:jc w:val="center"/>
        </w:trPr>
        <w:tc>
          <w:tcPr>
            <w:tcW w:w="216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3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6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4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21" w:hRule="atLeast"/>
          <w:jc w:val="center"/>
        </w:trPr>
        <w:tc>
          <w:tcPr>
            <w:tcW w:w="48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8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rPr>
          <w:trHeight w:val="321" w:hRule="atLeast"/>
          <w:jc w:val="center"/>
        </w:trPr>
        <w:tc>
          <w:tcPr>
            <w:tcW w:w="48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2,789.73</w:t>
            </w:r>
          </w:p>
        </w:tc>
        <w:tc>
          <w:tcPr>
            <w:tcW w:w="38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2,789.73</w:t>
            </w:r>
          </w:p>
        </w:tc>
        <w:tc>
          <w:tcPr>
            <w:tcW w:w="26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21" w:hRule="atLeast"/>
          <w:jc w:val="center"/>
        </w:trPr>
        <w:tc>
          <w:tcPr>
            <w:tcW w:w="21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27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3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2,789.73</w:t>
            </w:r>
          </w:p>
        </w:tc>
        <w:tc>
          <w:tcPr>
            <w:tcW w:w="38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2,789.73</w:t>
            </w:r>
          </w:p>
        </w:tc>
        <w:tc>
          <w:tcPr>
            <w:tcW w:w="26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21" w:hRule="atLeast"/>
          <w:jc w:val="center"/>
        </w:trPr>
        <w:tc>
          <w:tcPr>
            <w:tcW w:w="21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20802</w:t>
            </w:r>
          </w:p>
        </w:tc>
        <w:tc>
          <w:tcPr>
            <w:tcW w:w="27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民政管理事务</w:t>
            </w:r>
          </w:p>
        </w:tc>
        <w:tc>
          <w:tcPr>
            <w:tcW w:w="3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370.95</w:t>
            </w:r>
          </w:p>
        </w:tc>
        <w:tc>
          <w:tcPr>
            <w:tcW w:w="38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370.95</w:t>
            </w:r>
          </w:p>
        </w:tc>
        <w:tc>
          <w:tcPr>
            <w:tcW w:w="26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21" w:hRule="atLeast"/>
          <w:jc w:val="center"/>
        </w:trPr>
        <w:tc>
          <w:tcPr>
            <w:tcW w:w="21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27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2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221.46</w:t>
            </w:r>
          </w:p>
        </w:tc>
        <w:tc>
          <w:tcPr>
            <w:tcW w:w="38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221.46</w:t>
            </w:r>
          </w:p>
        </w:tc>
        <w:tc>
          <w:tcPr>
            <w:tcW w:w="264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21" w:hRule="atLeast"/>
          <w:jc w:val="center"/>
        </w:trPr>
        <w:tc>
          <w:tcPr>
            <w:tcW w:w="2166"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2080206</w:t>
            </w:r>
          </w:p>
        </w:tc>
        <w:tc>
          <w:tcPr>
            <w:tcW w:w="2733"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社会组织管理</w:t>
            </w:r>
          </w:p>
        </w:tc>
        <w:tc>
          <w:tcPr>
            <w:tcW w:w="326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882"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2649"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134.49</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134.49</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20810</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社会福利</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610.09</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610.09</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610.09</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610.09</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20811</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残疾人事业</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225.83</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225.83</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20819</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最低生活保障</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1,352.31</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1,352.31</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1,352.31</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1,352.31</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20820</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临时救助</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1.53</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1.53</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20821</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特困人员救助供养</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20899</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其他社会保障和就业支出</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227.47</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227.47</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rPr>
          <w:trHeight w:val="340" w:hRule="atLeast"/>
          <w:jc w:val="center"/>
        </w:trPr>
        <w:tc>
          <w:tcPr>
            <w:tcW w:w="2166"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2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32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227.47</w:t>
            </w:r>
          </w:p>
        </w:tc>
        <w:tc>
          <w:tcPr>
            <w:tcW w:w="3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227.47</w:t>
            </w:r>
          </w:p>
        </w:tc>
        <w:tc>
          <w:tcPr>
            <w:tcW w:w="2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tbl>
      <w:tblPr>
        <w:tblStyle w:val="6"/>
        <w:tblW w:w="15548" w:type="dxa"/>
        <w:jc w:val="center"/>
        <w:tblLayout w:type="fixed"/>
        <w:tblCellMar>
          <w:top w:w="0" w:type="dxa"/>
          <w:left w:w="0" w:type="dxa"/>
          <w:bottom w:w="0" w:type="dxa"/>
          <w:right w:w="0" w:type="dxa"/>
        </w:tblCellMar>
      </w:tblPr>
      <w:tblGrid>
        <w:gridCol w:w="735"/>
        <w:gridCol w:w="3525"/>
        <w:gridCol w:w="1242"/>
        <w:gridCol w:w="1293"/>
        <w:gridCol w:w="2277"/>
        <w:gridCol w:w="1350"/>
        <w:gridCol w:w="810"/>
        <w:gridCol w:w="3127"/>
        <w:gridCol w:w="1189"/>
      </w:tblGrid>
      <w:tr>
        <w:trPr>
          <w:trHeight w:val="390" w:hRule="atLeast"/>
          <w:jc w:val="center"/>
        </w:trPr>
        <w:tc>
          <w:tcPr>
            <w:tcW w:w="1554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1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316"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ind w:left="-420" w:leftChars="-200" w:firstLine="0" w:firstLineChars="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jc w:val="center"/>
        </w:trPr>
        <w:tc>
          <w:tcPr>
            <w:tcW w:w="550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046"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rPr>
          <w:trHeight w:val="308" w:hRule="atLeast"/>
          <w:jc w:val="center"/>
        </w:trPr>
        <w:tc>
          <w:tcPr>
            <w:tcW w:w="7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4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29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2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rPr>
          <w:trHeight w:val="308" w:hRule="atLeast"/>
          <w:jc w:val="center"/>
        </w:trPr>
        <w:tc>
          <w:tcPr>
            <w:tcW w:w="7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603.06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39.93</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21.98</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17.09</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13.24</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61.84</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10.76</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1,962.40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19.79</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576.96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代缴社会保险费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jc w:val="center"/>
        </w:trPr>
        <w:tc>
          <w:tcPr>
            <w:tcW w:w="4260"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2,181.02</w:t>
            </w:r>
          </w:p>
        </w:tc>
        <w:tc>
          <w:tcPr>
            <w:tcW w:w="88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608.71</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tbl>
      <w:tblPr>
        <w:tblStyle w:val="6"/>
        <w:tblW w:w="15203" w:type="dxa"/>
        <w:jc w:val="center"/>
        <w:tblLayout w:type="fixed"/>
        <w:tblCellMar>
          <w:top w:w="0" w:type="dxa"/>
          <w:left w:w="0" w:type="dxa"/>
          <w:bottom w:w="0" w:type="dxa"/>
          <w:right w:w="0" w:type="dxa"/>
        </w:tblCellMar>
      </w:tblPr>
      <w:tblGrid>
        <w:gridCol w:w="882"/>
        <w:gridCol w:w="1185"/>
        <w:gridCol w:w="990"/>
        <w:gridCol w:w="1410"/>
        <w:gridCol w:w="1455"/>
        <w:gridCol w:w="1380"/>
        <w:gridCol w:w="1140"/>
        <w:gridCol w:w="1425"/>
        <w:gridCol w:w="1395"/>
        <w:gridCol w:w="1320"/>
        <w:gridCol w:w="1361"/>
        <w:gridCol w:w="1260"/>
      </w:tblGrid>
      <w:tr>
        <w:trPr>
          <w:trHeight w:val="390" w:hRule="atLeast"/>
          <w:jc w:val="center"/>
        </w:trPr>
        <w:tc>
          <w:tcPr>
            <w:tcW w:w="15203"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41"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jc w:val="center"/>
        </w:trPr>
        <w:tc>
          <w:tcPr>
            <w:tcW w:w="730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901"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rPr>
          <w:trHeight w:val="308" w:hRule="atLeast"/>
          <w:jc w:val="center"/>
        </w:trPr>
        <w:tc>
          <w:tcPr>
            <w:tcW w:w="88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76"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rPr>
          <w:trHeight w:val="615" w:hRule="atLeast"/>
          <w:jc w:val="center"/>
        </w:trPr>
        <w:tc>
          <w:tcPr>
            <w:tcW w:w="88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jc w:val="center"/>
        </w:trPr>
        <w:tc>
          <w:tcPr>
            <w:tcW w:w="8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rPr>
          <w:trHeight w:val="308" w:hRule="atLeast"/>
          <w:jc w:val="center"/>
        </w:trPr>
        <w:tc>
          <w:tcPr>
            <w:tcW w:w="88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r>
    </w:tbl>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八、政府性基金预算财政拨款收入支出决算表</w:t>
      </w:r>
    </w:p>
    <w:tbl>
      <w:tblPr>
        <w:tblStyle w:val="6"/>
        <w:tblpPr w:leftFromText="180" w:rightFromText="180" w:vertAnchor="text" w:horzAnchor="page" w:tblpX="1063" w:tblpY="284"/>
        <w:tblOverlap w:val="never"/>
        <w:tblW w:w="15000" w:type="dxa"/>
        <w:tblInd w:w="0" w:type="dxa"/>
        <w:tblLayout w:type="autofit"/>
        <w:tblCellMar>
          <w:top w:w="0" w:type="dxa"/>
          <w:left w:w="0" w:type="dxa"/>
          <w:bottom w:w="0" w:type="dxa"/>
          <w:right w:w="0" w:type="dxa"/>
        </w:tblCellMar>
      </w:tblPr>
      <w:tblGrid>
        <w:gridCol w:w="1035"/>
        <w:gridCol w:w="59"/>
        <w:gridCol w:w="59"/>
        <w:gridCol w:w="1496"/>
        <w:gridCol w:w="1547"/>
        <w:gridCol w:w="1547"/>
        <w:gridCol w:w="1547"/>
        <w:gridCol w:w="1547"/>
        <w:gridCol w:w="1547"/>
        <w:gridCol w:w="4616"/>
      </w:tblGrid>
      <w:tr>
        <w:trPr>
          <w:trHeight w:val="390" w:hRule="atLeast"/>
        </w:trPr>
        <w:tc>
          <w:tcPr>
            <w:tcW w:w="1500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rPr>
          <w:trHeight w:val="255" w:hRule="atLeast"/>
        </w:trPr>
        <w:tc>
          <w:tcPr>
            <w:tcW w:w="10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rPr>
          <w:trHeight w:val="255" w:hRule="atLeast"/>
        </w:trPr>
        <w:tc>
          <w:tcPr>
            <w:tcW w:w="10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26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64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rPr>
          <w:trHeight w:val="308" w:hRule="atLeast"/>
        </w:trPr>
        <w:tc>
          <w:tcPr>
            <w:tcW w:w="115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tbl>
      <w:tblPr>
        <w:tblStyle w:val="6"/>
        <w:tblW w:w="14860" w:type="dxa"/>
        <w:jc w:val="center"/>
        <w:tblLayout w:type="autofit"/>
        <w:tblCellMar>
          <w:top w:w="0" w:type="dxa"/>
          <w:left w:w="0" w:type="dxa"/>
          <w:bottom w:w="0" w:type="dxa"/>
          <w:right w:w="0" w:type="dxa"/>
        </w:tblCellMar>
      </w:tblPr>
      <w:tblGrid>
        <w:gridCol w:w="813"/>
        <w:gridCol w:w="47"/>
        <w:gridCol w:w="763"/>
        <w:gridCol w:w="3644"/>
        <w:gridCol w:w="1915"/>
        <w:gridCol w:w="1715"/>
        <w:gridCol w:w="6241"/>
      </w:tblGrid>
      <w:tr>
        <w:trPr>
          <w:trHeight w:val="633" w:hRule="atLeast"/>
          <w:jc w:val="center"/>
        </w:trPr>
        <w:tc>
          <w:tcPr>
            <w:tcW w:w="1486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71"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3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rPr>
          <w:trHeight w:val="333" w:hRule="atLeast"/>
          <w:jc w:val="center"/>
        </w:trPr>
        <w:tc>
          <w:tcPr>
            <w:tcW w:w="162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0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38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rPr>
          <w:trHeight w:val="334"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43"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 xml:space="preserve">  3008.28  </w:t>
      </w:r>
      <w:r>
        <w:rPr>
          <w:rFonts w:hint="eastAsia" w:ascii="仿宋_GB2312" w:hAnsi="仿宋_GB2312" w:eastAsia="仿宋_GB2312" w:cs="仿宋_GB2312"/>
          <w:bCs/>
          <w:sz w:val="32"/>
          <w:szCs w:val="32"/>
          <w:highlight w:val="none"/>
          <w:lang w:val="en-US" w:eastAsia="zh-CN"/>
        </w:rPr>
        <w:t>万元。与2021年度相比，收、支总计各增加(减少)</w:t>
      </w:r>
      <w:r>
        <w:rPr>
          <w:rFonts w:hint="eastAsia" w:ascii="仿宋_GB2312" w:hAnsi="仿宋_GB2312" w:eastAsia="仿宋_GB2312" w:cs="仿宋_GB2312"/>
          <w:bCs/>
          <w:sz w:val="32"/>
          <w:szCs w:val="32"/>
          <w:highlight w:val="none"/>
          <w:u w:val="single"/>
          <w:lang w:val="en-US" w:eastAsia="zh-CN"/>
        </w:rPr>
        <w:t xml:space="preserve">  2096.64  </w:t>
      </w:r>
      <w:r>
        <w:rPr>
          <w:rFonts w:hint="eastAsia" w:ascii="仿宋_GB2312" w:hAnsi="仿宋_GB2312" w:eastAsia="仿宋_GB2312" w:cs="仿宋_GB2312"/>
          <w:bCs/>
          <w:sz w:val="32"/>
          <w:szCs w:val="32"/>
          <w:highlight w:val="none"/>
          <w:lang w:val="en-US" w:eastAsia="zh-CN"/>
        </w:rPr>
        <w:t>万元，增长(下降)</w:t>
      </w:r>
      <w:r>
        <w:rPr>
          <w:rFonts w:hint="eastAsia" w:ascii="仿宋_GB2312" w:hAnsi="仿宋_GB2312" w:eastAsia="仿宋_GB2312" w:cs="仿宋_GB2312"/>
          <w:bCs/>
          <w:sz w:val="32"/>
          <w:szCs w:val="32"/>
          <w:highlight w:val="none"/>
          <w:u w:val="single"/>
          <w:lang w:val="en-US" w:eastAsia="zh-CN"/>
        </w:rPr>
        <w:t xml:space="preserve">  229  </w:t>
      </w:r>
      <w:r>
        <w:rPr>
          <w:rFonts w:hint="eastAsia" w:ascii="仿宋_GB2312" w:hAnsi="仿宋_GB2312" w:eastAsia="仿宋_GB2312" w:cs="仿宋_GB2312"/>
          <w:bCs/>
          <w:sz w:val="32"/>
          <w:szCs w:val="32"/>
          <w:highlight w:val="none"/>
          <w:lang w:val="en-US" w:eastAsia="zh-CN"/>
        </w:rPr>
        <w:t xml:space="preserve"> %，主要原因是业务量增多。</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p>
    <w:p>
      <w:pPr>
        <w:adjustRightInd w:val="0"/>
        <w:snapToGrid w:val="0"/>
        <w:spacing w:line="580" w:lineRule="atLeast"/>
        <w:ind w:firstLine="420" w:firstLineChars="200"/>
        <w:rPr>
          <w:rFonts w:hint="eastAsia" w:ascii="仿宋_GB2312" w:hAnsi="仿宋_GB2312" w:eastAsia="仿宋_GB2312" w:cs="仿宋_GB2312"/>
          <w:bCs/>
          <w:sz w:val="32"/>
          <w:szCs w:val="32"/>
          <w:highlight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 2988.02  万元，与2021年度相比，收入合计增加(减少)  2096.64万元，增长(下降) 229%。其中：财政拨款收入 2789.73 万元，占本年收入 93%；上级补助收入 0.00  万元，占本年收入0  %；事业收入  0 万元，占本年收入 0  %；经营收入 0  万元，占本年收入 0  %；附属单位上缴收入 0 万元，占本年收入 0  %；其他收入 198.29  万元，占本年收入 7 %。</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2022年度支出合计2988.02万元，与2021年度相比，支出合计增加(减少) 2096.64万元，增长(下降)229%。其中：基本支出2988.02万元，占本年支出 100%；项目支出 0万元，占本年支出0%；上缴上级支出0万元，占本年支出0%；经营支出0万元，占本年支出0%；对附属单位补助支出0万元，占本年支出0%。</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bidi w:val="0"/>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2022年度财政拨款收、支总计均为2789.73万元。与2021年度相比，财政拨款收、支总计各增加(减少)2195万元，增长(下降)3.69%。主要原因是业务量增加。</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2789.73万元，比2021年度决算数增加（减少）2194.76万元。增加（减少）主要原因是业务量增加。政府性基金预算财政拨款收入0万元，比2021年度决算数增加（减少）0万元。国有资本经营预算财政拨款收入0万元，比2021年度决算数增加（减少）0万元。</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eastAsia="仿宋_GB2312"/>
          <w:bCs/>
          <w:kern w:val="44"/>
          <w:sz w:val="32"/>
          <w:szCs w:val="32"/>
          <w:highlight w:val="none"/>
          <w:u w:val="single"/>
        </w:rPr>
        <w:t xml:space="preserve"> 2789.73 </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2</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 xml:space="preserve"> %。与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财政拨款支出增加(减少)</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2194.76</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万元，增长(</w:t>
      </w:r>
      <w:r>
        <w:rPr>
          <w:rFonts w:hint="eastAsia" w:ascii="仿宋_GB2312" w:eastAsia="仿宋_GB2312"/>
          <w:bCs/>
          <w:kern w:val="44"/>
          <w:sz w:val="32"/>
          <w:szCs w:val="32"/>
          <w:highlight w:val="none"/>
          <w:lang w:eastAsia="zh-CN"/>
        </w:rPr>
        <w:t>下降</w:t>
      </w:r>
      <w:r>
        <w:rPr>
          <w:rFonts w:hint="eastAsia" w:ascii="仿宋_GB2312" w:eastAsia="仿宋_GB2312"/>
          <w:bCs/>
          <w:kern w:val="44"/>
          <w:sz w:val="32"/>
          <w:szCs w:val="32"/>
          <w:highlight w:val="none"/>
        </w:rPr>
        <w:t>)</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3.69</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%。主要原因是</w:t>
      </w:r>
      <w:r>
        <w:rPr>
          <w:rFonts w:hint="eastAsia" w:ascii="仿宋_GB2312" w:eastAsia="仿宋_GB2312"/>
          <w:bCs/>
          <w:kern w:val="44"/>
          <w:sz w:val="32"/>
          <w:szCs w:val="32"/>
          <w:highlight w:val="none"/>
          <w:lang w:val="en-US" w:eastAsia="zh-CN"/>
        </w:rPr>
        <w:t>业务量增加</w:t>
      </w:r>
      <w:r>
        <w:rPr>
          <w:rFonts w:hint="eastAsia" w:ascii="仿宋_GB2312" w:eastAsia="仿宋_GB2312"/>
          <w:bCs/>
          <w:kern w:val="44"/>
          <w:sz w:val="32"/>
          <w:szCs w:val="32"/>
          <w:highlight w:val="none"/>
        </w:rPr>
        <w:t>。</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财政拨款支出2789.73万元，主要用于以下方面：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rPr>
        <w:t>社会保障和就业支出</w:t>
      </w:r>
      <w:r>
        <w:rPr>
          <w:rFonts w:hint="eastAsia" w:ascii="仿宋_GB2312" w:hAnsi="仿宋_GB2312" w:eastAsia="仿宋_GB2312" w:cs="仿宋_GB2312"/>
          <w:bCs/>
          <w:kern w:val="44"/>
          <w:sz w:val="32"/>
          <w:szCs w:val="32"/>
          <w:highlight w:val="none"/>
          <w:lang w:val="en-US" w:eastAsia="zh-CN"/>
        </w:rPr>
        <w:t>0</w:t>
      </w:r>
      <w:r>
        <w:rPr>
          <w:rFonts w:hint="eastAsia" w:ascii="仿宋_GB2312" w:hAnsi="仿宋_GB2312" w:eastAsia="仿宋_GB2312" w:cs="仿宋_GB2312"/>
          <w:bCs/>
          <w:kern w:val="44"/>
          <w:sz w:val="32"/>
          <w:szCs w:val="32"/>
          <w:highlight w:val="none"/>
        </w:rPr>
        <w:t>万元，占</w:t>
      </w:r>
      <w:r>
        <w:rPr>
          <w:rFonts w:hint="eastAsia" w:ascii="仿宋_GB2312" w:hAnsi="仿宋_GB2312" w:eastAsia="仿宋_GB2312" w:cs="仿宋_GB2312"/>
          <w:bCs/>
          <w:kern w:val="44"/>
          <w:sz w:val="32"/>
          <w:szCs w:val="32"/>
          <w:highlight w:val="none"/>
          <w:lang w:val="en-US" w:eastAsia="zh-CN"/>
        </w:rPr>
        <w:t>0</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rPr>
        <w:t>一般公共服务（类）支出2789.73万元，占</w:t>
      </w:r>
      <w:r>
        <w:rPr>
          <w:rFonts w:hint="eastAsia" w:ascii="仿宋_GB2312" w:hAnsi="仿宋_GB2312" w:eastAsia="仿宋_GB2312" w:cs="仿宋_GB2312"/>
          <w:bCs/>
          <w:kern w:val="44"/>
          <w:sz w:val="32"/>
          <w:szCs w:val="32"/>
          <w:highlight w:val="none"/>
          <w:lang w:val="en-US" w:eastAsia="zh-CN"/>
        </w:rPr>
        <w:t>100</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kern w:val="44"/>
          <w:sz w:val="32"/>
          <w:szCs w:val="32"/>
          <w:highlight w:val="none"/>
        </w:rPr>
        <w:t>社会保障和就业支出</w:t>
      </w:r>
      <w:r>
        <w:rPr>
          <w:rFonts w:hint="eastAsia" w:ascii="仿宋_GB2312" w:hAnsi="仿宋_GB2312" w:eastAsia="仿宋_GB2312" w:cs="仿宋_GB2312"/>
          <w:bCs/>
          <w:kern w:val="44"/>
          <w:sz w:val="32"/>
          <w:szCs w:val="32"/>
          <w:highlight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2.教育支出（类）0</w:t>
      </w:r>
      <w:r>
        <w:rPr>
          <w:rFonts w:hint="eastAsia" w:ascii="仿宋_GB2312" w:hAnsi="仿宋_GB2312" w:eastAsia="仿宋_GB2312" w:cs="仿宋_GB2312"/>
          <w:bCs/>
          <w:kern w:val="44"/>
          <w:sz w:val="32"/>
          <w:szCs w:val="32"/>
          <w:highlight w:val="none"/>
        </w:rPr>
        <w:t>万元，占</w:t>
      </w:r>
      <w:r>
        <w:rPr>
          <w:rFonts w:hint="eastAsia" w:ascii="仿宋_GB2312" w:hAnsi="仿宋_GB2312" w:eastAsia="仿宋_GB2312" w:cs="仿宋_GB2312"/>
          <w:bCs/>
          <w:kern w:val="44"/>
          <w:sz w:val="32"/>
          <w:szCs w:val="32"/>
          <w:highlight w:val="none"/>
          <w:lang w:val="en-US" w:eastAsia="zh-CN"/>
        </w:rPr>
        <w:t>0</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val="en-US" w:eastAsia="zh-CN"/>
        </w:rPr>
        <w:t xml:space="preserve">3. </w:t>
      </w:r>
      <w:r>
        <w:rPr>
          <w:rFonts w:hint="eastAsia" w:ascii="仿宋_GB2312" w:hAnsi="仿宋_GB2312" w:eastAsia="仿宋_GB2312" w:cs="仿宋_GB2312"/>
          <w:bCs/>
          <w:kern w:val="44"/>
          <w:sz w:val="32"/>
          <w:szCs w:val="32"/>
          <w:highlight w:val="none"/>
        </w:rPr>
        <w:t>……。</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firstLine="640" w:firstLineChars="200"/>
        <w:rPr>
          <w:rFonts w:hint="eastAsia" w:ascii="仿宋_GB2312" w:eastAsia="仿宋_GB2312"/>
          <w:bCs/>
          <w:kern w:val="44"/>
          <w:sz w:val="32"/>
          <w:szCs w:val="32"/>
          <w:highlight w:val="none"/>
          <w:u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rPr>
        <w:t xml:space="preserve"> 2789.73</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rPr>
        <w:t>2789.73</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u w:val="single"/>
          <w:lang w:val="en-US" w:eastAsia="zh-CN"/>
        </w:rPr>
        <w:t>100</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%。其中：</w:t>
      </w:r>
      <w:r>
        <w:rPr>
          <w:rFonts w:hint="eastAsia" w:ascii="仿宋_GB2312" w:eastAsia="仿宋_GB2312"/>
          <w:bCs/>
          <w:kern w:val="44"/>
          <w:sz w:val="32"/>
          <w:szCs w:val="32"/>
          <w:highlight w:val="none"/>
          <w:u w:val="none"/>
        </w:rPr>
        <w:t>其中：(一般公共预算财政拨款支出决算具体情况，按支出功能分类类级科目逐类分析</w:t>
      </w:r>
      <w:r>
        <w:rPr>
          <w:rFonts w:hint="eastAsia" w:ascii="仿宋_GB2312" w:eastAsia="仿宋_GB2312"/>
          <w:bCs/>
          <w:kern w:val="44"/>
          <w:sz w:val="32"/>
          <w:szCs w:val="32"/>
          <w:highlight w:val="none"/>
          <w:u w:val="none"/>
          <w:lang w:eastAsia="zh-CN"/>
        </w:rPr>
        <w:t>，简述本部门使用科目</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楷体" w:hAnsi="楷体" w:eastAsia="楷体" w:cs="楷体"/>
          <w:bCs/>
          <w:kern w:val="44"/>
          <w:sz w:val="32"/>
          <w:szCs w:val="32"/>
          <w:highlight w:val="none"/>
          <w:u w:val="none"/>
        </w:rPr>
        <w:t>1.一般公共服务支出(类)。</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小</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w:t>
      </w:r>
      <w:r>
        <w:rPr>
          <w:rFonts w:hint="eastAsia" w:ascii="仿宋_GB2312" w:eastAsia="仿宋_GB2312"/>
          <w:bCs/>
          <w:kern w:val="44"/>
          <w:sz w:val="32"/>
          <w:szCs w:val="32"/>
          <w:highlight w:val="none"/>
          <w:u w:val="none"/>
          <w:lang w:eastAsia="zh-CN"/>
        </w:rPr>
        <w:t>凡是</w:t>
      </w:r>
      <w:r>
        <w:rPr>
          <w:rFonts w:hint="eastAsia" w:ascii="仿宋_GB2312" w:eastAsia="仿宋_GB2312"/>
          <w:bCs/>
          <w:color w:val="auto"/>
          <w:kern w:val="44"/>
          <w:sz w:val="32"/>
          <w:szCs w:val="32"/>
          <w:highlight w:val="none"/>
          <w:u w:val="none"/>
          <w:lang w:eastAsia="zh-CN"/>
        </w:rPr>
        <w:t>年中有追加预算的或决算数</w:t>
      </w:r>
      <w:r>
        <w:rPr>
          <w:rFonts w:hint="eastAsia" w:ascii="仿宋_GB2312" w:eastAsia="仿宋_GB2312"/>
          <w:bCs/>
          <w:color w:val="auto"/>
          <w:kern w:val="44"/>
          <w:sz w:val="32"/>
          <w:szCs w:val="32"/>
          <w:highlight w:val="none"/>
          <w:u w:val="none"/>
        </w:rPr>
        <w:t>低于</w:t>
      </w:r>
      <w:r>
        <w:rPr>
          <w:rFonts w:hint="eastAsia" w:ascii="仿宋_GB2312" w:eastAsia="仿宋_GB2312"/>
          <w:bCs/>
          <w:color w:val="auto"/>
          <w:kern w:val="44"/>
          <w:sz w:val="32"/>
          <w:szCs w:val="32"/>
          <w:highlight w:val="none"/>
          <w:u w:val="none"/>
          <w:lang w:eastAsia="zh-CN"/>
        </w:rPr>
        <w:t>年初预算数</w:t>
      </w:r>
      <w:r>
        <w:rPr>
          <w:rFonts w:hint="eastAsia" w:ascii="仿宋_GB2312" w:eastAsia="仿宋_GB2312"/>
          <w:bCs/>
          <w:color w:val="auto"/>
          <w:kern w:val="44"/>
          <w:sz w:val="32"/>
          <w:szCs w:val="32"/>
          <w:highlight w:val="none"/>
          <w:u w:val="none"/>
        </w:rPr>
        <w:t>9</w:t>
      </w:r>
      <w:r>
        <w:rPr>
          <w:rFonts w:hint="eastAsia" w:ascii="仿宋_GB2312" w:eastAsia="仿宋_GB2312"/>
          <w:bCs/>
          <w:color w:val="auto"/>
          <w:kern w:val="44"/>
          <w:sz w:val="32"/>
          <w:szCs w:val="32"/>
          <w:highlight w:val="none"/>
          <w:u w:val="none"/>
          <w:lang w:val="en-US" w:eastAsia="zh-CN"/>
        </w:rPr>
        <w:t>5</w:t>
      </w:r>
      <w:r>
        <w:rPr>
          <w:rFonts w:hint="eastAsia" w:ascii="仿宋_GB2312" w:eastAsia="仿宋_GB2312"/>
          <w:bCs/>
          <w:color w:val="auto"/>
          <w:kern w:val="44"/>
          <w:sz w:val="32"/>
          <w:szCs w:val="32"/>
          <w:highlight w:val="none"/>
          <w:u w:val="none"/>
        </w:rPr>
        <w:t>%</w:t>
      </w:r>
      <w:r>
        <w:rPr>
          <w:rFonts w:hint="eastAsia" w:ascii="仿宋_GB2312" w:eastAsia="仿宋_GB2312"/>
          <w:bCs/>
          <w:color w:val="auto"/>
          <w:kern w:val="44"/>
          <w:sz w:val="32"/>
          <w:szCs w:val="32"/>
          <w:highlight w:val="none"/>
          <w:u w:val="none"/>
          <w:lang w:eastAsia="zh-CN"/>
        </w:rPr>
        <w:t>的应作</w:t>
      </w:r>
      <w:r>
        <w:rPr>
          <w:rFonts w:hint="eastAsia" w:ascii="仿宋_GB2312" w:eastAsia="仿宋_GB2312"/>
          <w:bCs/>
          <w:color w:val="auto"/>
          <w:kern w:val="44"/>
          <w:sz w:val="32"/>
          <w:szCs w:val="32"/>
          <w:highlight w:val="none"/>
          <w:u w:val="none"/>
          <w:lang w:val="en-US" w:eastAsia="zh-CN"/>
        </w:rPr>
        <w:t>原因</w:t>
      </w:r>
      <w:r>
        <w:rPr>
          <w:rFonts w:hint="eastAsia" w:ascii="仿宋_GB2312" w:eastAsia="仿宋_GB2312"/>
          <w:bCs/>
          <w:color w:val="auto"/>
          <w:kern w:val="44"/>
          <w:sz w:val="32"/>
          <w:szCs w:val="32"/>
          <w:highlight w:val="none"/>
          <w:u w:val="none"/>
        </w:rPr>
        <w:t>说明</w:t>
      </w:r>
      <w:r>
        <w:rPr>
          <w:rFonts w:hint="eastAsia" w:ascii="仿宋_GB2312" w:eastAsia="仿宋_GB2312"/>
          <w:bCs/>
          <w:kern w:val="44"/>
          <w:sz w:val="32"/>
          <w:szCs w:val="32"/>
          <w:highlight w:val="none"/>
          <w:u w:val="none"/>
        </w:rPr>
        <w:t>)的主要原因</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一是……；二是……。</w:t>
      </w:r>
    </w:p>
    <w:p>
      <w:pPr>
        <w:pStyle w:val="10"/>
        <w:pageBreakBefore w:val="0"/>
        <w:widowControl w:val="0"/>
        <w:kinsoku/>
        <w:wordWrap/>
        <w:overflowPunct/>
        <w:topLinePunct w:val="0"/>
        <w:bidi w:val="0"/>
        <w:snapToGrid w:val="0"/>
        <w:spacing w:line="360" w:lineRule="auto"/>
        <w:ind w:firstLine="640" w:firstLineChars="200"/>
        <w:jc w:val="both"/>
        <w:textAlignment w:val="auto"/>
        <w:rPr>
          <w:rFonts w:hint="eastAsia" w:ascii="楷体" w:hAnsi="楷体" w:eastAsia="楷体" w:cs="楷体"/>
          <w:bCs/>
          <w:color w:val="auto"/>
          <w:kern w:val="44"/>
          <w:sz w:val="32"/>
          <w:szCs w:val="32"/>
          <w:highlight w:val="none"/>
          <w:u w:val="none"/>
        </w:rPr>
      </w:pPr>
      <w:r>
        <w:rPr>
          <w:rFonts w:hint="eastAsia" w:ascii="楷体" w:hAnsi="楷体" w:eastAsia="楷体" w:cs="楷体"/>
          <w:bCs/>
          <w:color w:val="auto"/>
          <w:kern w:val="44"/>
          <w:sz w:val="32"/>
          <w:szCs w:val="32"/>
          <w:highlight w:val="none"/>
          <w:u w:val="none"/>
        </w:rPr>
        <w:t>2.……</w:t>
      </w:r>
    </w:p>
    <w:p>
      <w:pPr>
        <w:pStyle w:val="10"/>
        <w:pageBreakBefore w:val="0"/>
        <w:widowControl w:val="0"/>
        <w:kinsoku/>
        <w:wordWrap/>
        <w:overflowPunct/>
        <w:topLinePunct w:val="0"/>
        <w:bidi w:val="0"/>
        <w:snapToGrid w:val="0"/>
        <w:spacing w:line="360" w:lineRule="auto"/>
        <w:ind w:firstLine="640" w:firstLineChars="200"/>
        <w:jc w:val="both"/>
        <w:textAlignment w:val="auto"/>
        <w:rPr>
          <w:rFonts w:hint="eastAsia" w:ascii="楷体" w:hAnsi="楷体" w:eastAsia="楷体" w:cs="楷体"/>
          <w:bCs/>
          <w:color w:val="auto"/>
          <w:kern w:val="44"/>
          <w:sz w:val="32"/>
          <w:szCs w:val="32"/>
          <w:highlight w:val="none"/>
          <w:u w:val="none"/>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2022年度一般公共预算财政拨款基本支出2789.73万元，其中：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 2181.02 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其他对个人和家庭的补助。</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公用经费 608.71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专用设备购置、信息网络及软件购置更新、公务用车购置、其他资本性支出。</w:t>
      </w: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1.5万元，支出决算为0.19万元，完成预算的6.8%。较上年增加（减少）0.19万元，增长（下降）6.8 %。决算数小于（大于）预算数的主要原因：减少费用支出。决算数较上年增加（减少）的主要原因：增加业务量。</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1.因公出国(境)费预算为0万元，支出决算为0万元，完成预算的0%。较上年增加（减少）0万元，增长（下降）0%。决算数小于（大于）预算数的主要原因：无支出。决算数较上年增加（减少）的主要原因无支出。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全年支出涉及出国（境）团组0个，累计0人次。</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购置及运行费预算为0万元，支出决算为0万元，完成预算的0%；较上年增加（减少）0万元，增长（下降）0%。决算数小于（大于）预算数的主要原因：无支出。决算数较上年增加（减少）的主要原因：无支出。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(1)公务用车购置费支出0万元。本年度购置(更新)公务用车0辆。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(2)公务用车运行费支出0万元。截止2022年12月31日，开支财政拨款的公务用车保有量为0辆。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3.公务接待费预算为0万元，支出决算为0万元，完成预算的0 %，较上年增加（减少）0万元，增长（下降）0 %。决算数小于（大于）预算数的主要原因：.......。其中：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外宾接待支出0万元，主要是开展....工作。2022年共接待来访团组0个，0人次（不包括陪同人员）。来访对象主要是......。</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国内公务接待支出0万元，接待对象主要是......，主要是开展.....工作。2022年共接待国内来访团组0个，0人次（不包括陪同人员）。</w:t>
      </w:r>
    </w:p>
    <w:p>
      <w:pPr>
        <w:pageBreakBefore w:val="0"/>
        <w:widowControl w:val="0"/>
        <w:kinsoku/>
        <w:wordWrap/>
        <w:overflowPunct/>
        <w:topLinePunct w:val="0"/>
        <w:bidi w:val="0"/>
        <w:adjustRightInd w:val="0"/>
        <w:snapToGrid w:val="0"/>
        <w:spacing w:line="360" w:lineRule="auto"/>
        <w:ind w:firstLine="643" w:firstLineChars="200"/>
        <w:textAlignment w:val="auto"/>
        <w:rPr>
          <w:rFonts w:hint="default" w:ascii="仿宋_GB2312" w:eastAsia="仿宋_GB2312"/>
          <w:b/>
          <w:bCs/>
          <w:color w:val="FF0000"/>
          <w:sz w:val="32"/>
          <w:szCs w:val="32"/>
          <w:highlight w:val="none"/>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p>
    <w:p>
      <w:pPr>
        <w:numPr>
          <w:ilvl w:val="0"/>
          <w:numId w:val="0"/>
        </w:numPr>
        <w:bidi w:val="0"/>
        <w:ind w:firstLine="640"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本单位当年无政府基金预算财政拨款收入支出</w:t>
      </w:r>
    </w:p>
    <w:p>
      <w:pPr>
        <w:ind w:firstLine="640"/>
        <w:jc w:val="both"/>
        <w:rPr>
          <w:rFonts w:hint="eastAsia" w:ascii="仿宋_GB2312" w:hAnsi="仿宋_GB2312" w:eastAsia="仿宋_GB2312" w:cs="仿宋_GB2312"/>
          <w:sz w:val="32"/>
          <w:szCs w:val="3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本单位当年无国有资本经营预算财政拨款支出</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p>
    <w:p>
      <w:pPr>
        <w:pStyle w:val="11"/>
        <w:ind w:firstLine="568"/>
        <w:rPr>
          <w:rFonts w:ascii="宋体" w:hAnsi="宋体" w:cs="Times New Roman"/>
          <w:sz w:val="28"/>
          <w:szCs w:val="28"/>
        </w:rPr>
      </w:pPr>
      <w:r>
        <w:rPr>
          <w:rFonts w:hint="eastAsia" w:ascii="仿宋_GB2312" w:eastAsia="仿宋_GB2312"/>
          <w:szCs w:val="32"/>
          <w:lang w:val="en-US" w:eastAsia="zh-CN"/>
        </w:rPr>
        <w:t>部门（单位）</w:t>
      </w:r>
      <w:r>
        <w:rPr>
          <w:rFonts w:hint="eastAsia" w:ascii="仿宋_GB2312" w:eastAsia="仿宋_GB2312"/>
          <w:szCs w:val="32"/>
        </w:rPr>
        <w:t>应当按照如下格式说明：本部门 202</w:t>
      </w:r>
      <w:r>
        <w:rPr>
          <w:rFonts w:hint="eastAsia" w:ascii="仿宋_GB2312" w:eastAsia="仿宋_GB2312"/>
          <w:szCs w:val="32"/>
          <w:lang w:val="en-US" w:eastAsia="zh-CN"/>
        </w:rPr>
        <w:t>2</w:t>
      </w:r>
      <w:r>
        <w:rPr>
          <w:rFonts w:hint="eastAsia" w:ascii="仿宋_GB2312" w:eastAsia="仿宋_GB2312"/>
          <w:szCs w:val="32"/>
        </w:rPr>
        <w:t>年度机关运行经费支出</w:t>
      </w:r>
      <w:r>
        <w:rPr>
          <w:rFonts w:hint="eastAsia" w:ascii="仿宋_GB2312" w:eastAsia="仿宋_GB2312"/>
          <w:szCs w:val="32"/>
          <w:lang w:val="en-US" w:eastAsia="zh-CN"/>
        </w:rPr>
        <w:t>2571.11</w:t>
      </w:r>
      <w:r>
        <w:rPr>
          <w:rFonts w:hint="eastAsia" w:ascii="仿宋_GB2312" w:eastAsia="仿宋_GB2312"/>
          <w:szCs w:val="32"/>
        </w:rPr>
        <w:t>万元</w:t>
      </w:r>
      <w:bookmarkStart w:id="0" w:name="_GoBack"/>
      <w:bookmarkEnd w:id="0"/>
      <w:r>
        <w:rPr>
          <w:rFonts w:hint="eastAsia" w:ascii="仿宋_GB2312" w:eastAsia="仿宋_GB2312"/>
          <w:szCs w:val="32"/>
        </w:rPr>
        <w:t>，比年初预算数</w:t>
      </w:r>
      <w:r>
        <w:rPr>
          <w:rFonts w:hint="eastAsia" w:ascii="仿宋_GB2312" w:eastAsia="仿宋_GB2312"/>
          <w:szCs w:val="32"/>
          <w:lang w:eastAsia="zh-CN"/>
        </w:rPr>
        <w:t>（或者上年决算数）</w:t>
      </w:r>
      <w:r>
        <w:rPr>
          <w:rFonts w:hint="eastAsia" w:ascii="仿宋_GB2312" w:eastAsia="仿宋_GB2312"/>
          <w:szCs w:val="32"/>
        </w:rPr>
        <w:t>增加（减少）</w:t>
      </w:r>
      <w:r>
        <w:rPr>
          <w:rFonts w:hint="eastAsia" w:ascii="仿宋_GB2312" w:eastAsia="仿宋_GB2312"/>
          <w:szCs w:val="32"/>
          <w:lang w:val="en-US" w:eastAsia="zh-CN"/>
        </w:rPr>
        <w:t>2179.92</w:t>
      </w:r>
      <w:r>
        <w:rPr>
          <w:rFonts w:hint="eastAsia" w:ascii="仿宋_GB2312" w:eastAsia="仿宋_GB2312"/>
          <w:szCs w:val="32"/>
        </w:rPr>
        <w:t xml:space="preserve"> 万元，增长（降低）</w:t>
      </w:r>
      <w:r>
        <w:rPr>
          <w:rFonts w:ascii="宋体" w:hAnsi="宋体"/>
          <w:spacing w:val="1"/>
          <w:sz w:val="28"/>
          <w:szCs w:val="28"/>
        </w:rPr>
        <w:t>557.24</w:t>
      </w:r>
      <w:r>
        <w:rPr>
          <w:rFonts w:hint="eastAsia" w:ascii="仿宋_GB2312" w:eastAsia="仿宋_GB2312"/>
          <w:szCs w:val="32"/>
        </w:rPr>
        <w:t>%。主要原因是：</w:t>
      </w:r>
      <w:r>
        <w:rPr>
          <w:rFonts w:ascii="宋体" w:hAnsi="宋体" w:cs="Times New Roman"/>
          <w:sz w:val="28"/>
          <w:szCs w:val="28"/>
        </w:rPr>
        <w:t>为本年本单位委托业务费较上年增加2011</w:t>
      </w:r>
      <w:r>
        <w:rPr>
          <w:rFonts w:hint="eastAsia" w:ascii="宋体" w:hAnsi="宋体" w:cs="Times New Roman"/>
          <w:sz w:val="28"/>
          <w:szCs w:val="28"/>
          <w:lang w:val="en-US" w:eastAsia="zh-CN"/>
        </w:rPr>
        <w:t>.</w:t>
      </w:r>
      <w:r>
        <w:rPr>
          <w:rFonts w:ascii="宋体" w:hAnsi="宋体" w:cs="Times New Roman"/>
          <w:sz w:val="28"/>
          <w:szCs w:val="28"/>
        </w:rPr>
        <w:t>50</w:t>
      </w:r>
      <w:r>
        <w:rPr>
          <w:rFonts w:hint="eastAsia" w:ascii="宋体" w:hAnsi="宋体" w:cs="Times New Roman"/>
          <w:sz w:val="28"/>
          <w:szCs w:val="28"/>
          <w:lang w:val="en-US" w:eastAsia="zh-CN"/>
        </w:rPr>
        <w:t>万</w:t>
      </w:r>
      <w:r>
        <w:rPr>
          <w:rFonts w:ascii="宋体" w:hAnsi="宋体" w:cs="Times New Roman"/>
          <w:sz w:val="28"/>
          <w:szCs w:val="28"/>
        </w:rPr>
        <w:t>元。</w:t>
      </w:r>
    </w:p>
    <w:p>
      <w:pPr>
        <w:pStyle w:val="11"/>
        <w:rPr>
          <w:rFonts w:hint="eastAsia" w:ascii="仿宋_GB2312" w:eastAsia="仿宋_GB2312"/>
          <w:szCs w:val="32"/>
        </w:rPr>
      </w:pPr>
      <w:r>
        <w:rPr>
          <w:rFonts w:hint="eastAsia" w:ascii="仿宋_GB2312" w:eastAsia="仿宋_GB2312"/>
          <w:szCs w:val="32"/>
        </w:rPr>
        <w:t>。</w:t>
      </w:r>
    </w:p>
    <w:p>
      <w:pPr>
        <w:pStyle w:val="11"/>
        <w:rPr>
          <w:rFonts w:hint="eastAsia" w:ascii="仿宋_GB2312" w:eastAsia="仿宋_GB2312"/>
          <w:szCs w:val="32"/>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p>
    <w:p>
      <w:pPr>
        <w:pStyle w:val="11"/>
        <w:rPr>
          <w:rFonts w:hint="eastAsia" w:ascii="仿宋_GB2312" w:eastAsia="仿宋_GB2312" w:cs="宋体"/>
          <w:szCs w:val="32"/>
        </w:rPr>
      </w:pPr>
      <w:r>
        <w:rPr>
          <w:rFonts w:hint="eastAsia" w:ascii="仿宋_GB2312" w:eastAsia="仿宋_GB2312" w:cs="宋体"/>
          <w:szCs w:val="32"/>
        </w:rPr>
        <w:t>本部门</w:t>
      </w:r>
      <w:r>
        <w:rPr>
          <w:rFonts w:hint="eastAsia" w:ascii="仿宋_GB2312" w:eastAsia="仿宋_GB2312" w:cs="宋体"/>
          <w:szCs w:val="32"/>
          <w:lang w:eastAsia="zh-CN"/>
        </w:rPr>
        <w:t>（单位）</w:t>
      </w:r>
      <w:r>
        <w:rPr>
          <w:rFonts w:hint="eastAsia" w:ascii="仿宋_GB2312" w:eastAsia="仿宋_GB2312" w:cs="宋体"/>
          <w:szCs w:val="32"/>
          <w:lang w:val="en-US" w:eastAsia="zh-CN"/>
        </w:rPr>
        <w:t>2022</w:t>
      </w:r>
      <w:r>
        <w:rPr>
          <w:rFonts w:hint="eastAsia" w:ascii="仿宋_GB2312" w:eastAsia="仿宋_GB2312" w:cs="宋体"/>
          <w:szCs w:val="32"/>
        </w:rPr>
        <w:t>年度政府采购支出总额</w:t>
      </w:r>
      <w:r>
        <w:rPr>
          <w:rFonts w:hint="eastAsia" w:ascii="仿宋_GB2312" w:eastAsia="仿宋_GB2312" w:cs="宋体"/>
          <w:szCs w:val="32"/>
          <w:lang w:val="en-US" w:eastAsia="zh-CN"/>
        </w:rPr>
        <w:t>63.03</w:t>
      </w:r>
      <w:r>
        <w:rPr>
          <w:rFonts w:hint="eastAsia" w:ascii="仿宋_GB2312" w:eastAsia="仿宋_GB2312" w:cs="宋体"/>
          <w:szCs w:val="32"/>
        </w:rPr>
        <w:t>万元，其中：政府采购货物支出</w:t>
      </w:r>
      <w:r>
        <w:rPr>
          <w:rFonts w:hint="eastAsia" w:ascii="仿宋_GB2312" w:eastAsia="仿宋_GB2312" w:cs="宋体"/>
          <w:szCs w:val="32"/>
          <w:lang w:val="en-US" w:eastAsia="zh-CN"/>
        </w:rPr>
        <w:t>5.03</w:t>
      </w:r>
      <w:r>
        <w:rPr>
          <w:rFonts w:hint="eastAsia" w:ascii="仿宋_GB2312" w:eastAsia="仿宋_GB2312" w:cs="宋体"/>
          <w:szCs w:val="32"/>
        </w:rPr>
        <w:t>万元、政府采购工程支出</w:t>
      </w:r>
      <w:r>
        <w:rPr>
          <w:rFonts w:hint="eastAsia" w:ascii="仿宋_GB2312" w:eastAsia="仿宋_GB2312" w:cs="宋体"/>
          <w:szCs w:val="32"/>
          <w:lang w:val="en-US" w:eastAsia="zh-CN"/>
        </w:rPr>
        <w:t>0</w:t>
      </w:r>
      <w:r>
        <w:rPr>
          <w:rFonts w:hint="eastAsia" w:ascii="仿宋_GB2312" w:eastAsia="仿宋_GB2312" w:cs="宋体"/>
          <w:szCs w:val="32"/>
        </w:rPr>
        <w:t>万元、政府采购服务支出</w:t>
      </w:r>
      <w:r>
        <w:rPr>
          <w:rFonts w:hint="eastAsia" w:ascii="仿宋_GB2312" w:eastAsia="仿宋_GB2312" w:cs="宋体"/>
          <w:szCs w:val="32"/>
          <w:lang w:val="en-US" w:eastAsia="zh-CN"/>
        </w:rPr>
        <w:t>58</w:t>
      </w:r>
      <w:r>
        <w:rPr>
          <w:rFonts w:hint="eastAsia" w:ascii="仿宋_GB2312" w:eastAsia="仿宋_GB2312" w:cs="宋体"/>
          <w:szCs w:val="32"/>
        </w:rPr>
        <w:t>万元。授予中小企业合同金额</w:t>
      </w:r>
      <w:r>
        <w:rPr>
          <w:rFonts w:hint="eastAsia" w:ascii="仿宋_GB2312" w:eastAsia="仿宋_GB2312" w:cs="宋体"/>
          <w:szCs w:val="32"/>
          <w:lang w:val="en-US" w:eastAsia="zh-CN"/>
        </w:rPr>
        <w:t>63.03</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100</w:t>
      </w:r>
      <w:r>
        <w:rPr>
          <w:rFonts w:hint="eastAsia" w:ascii="仿宋_GB2312" w:eastAsia="仿宋_GB2312" w:cs="宋体"/>
          <w:szCs w:val="32"/>
        </w:rPr>
        <w:t>%，其中：授予小微企业合同金额</w:t>
      </w:r>
      <w:r>
        <w:rPr>
          <w:rFonts w:hint="eastAsia" w:ascii="仿宋_GB2312" w:eastAsia="仿宋_GB2312" w:cs="宋体"/>
          <w:szCs w:val="32"/>
          <w:lang w:val="en-US" w:eastAsia="zh-CN"/>
        </w:rPr>
        <w:t>63.03</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100</w:t>
      </w:r>
      <w:r>
        <w:rPr>
          <w:rFonts w:hint="eastAsia" w:ascii="仿宋_GB2312" w:eastAsia="仿宋_GB2312" w:cs="宋体"/>
          <w:szCs w:val="32"/>
        </w:rPr>
        <w:t>%。</w:t>
      </w:r>
    </w:p>
    <w:p>
      <w:pPr>
        <w:pStyle w:val="11"/>
        <w:rPr>
          <w:rFonts w:hint="eastAsia" w:ascii="仿宋_GB2312" w:eastAsia="仿宋_GB2312" w:cs="宋体"/>
          <w:szCs w:val="32"/>
          <w:lang w:val="en-US" w:eastAsia="zh-CN"/>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p>
    <w:p>
      <w:pPr>
        <w:pStyle w:val="11"/>
        <w:rPr>
          <w:rFonts w:hint="eastAsia" w:ascii="仿宋_GB2312" w:eastAsia="仿宋_GB2312" w:cs="宋体"/>
          <w:szCs w:val="32"/>
        </w:rPr>
      </w:pPr>
      <w:r>
        <w:rPr>
          <w:rFonts w:hint="eastAsia" w:ascii="仿宋_GB2312" w:eastAsia="仿宋_GB2312" w:cs="宋体"/>
          <w:szCs w:val="32"/>
        </w:rPr>
        <w:t>截至</w:t>
      </w:r>
      <w:r>
        <w:rPr>
          <w:rFonts w:hint="eastAsia" w:ascii="仿宋_GB2312" w:eastAsia="仿宋_GB2312" w:cs="宋体"/>
          <w:szCs w:val="32"/>
          <w:lang w:val="en-US" w:eastAsia="zh-CN"/>
        </w:rPr>
        <w:t>2022</w:t>
      </w:r>
      <w:r>
        <w:rPr>
          <w:rFonts w:hint="eastAsia" w:ascii="仿宋_GB2312" w:eastAsia="仿宋_GB2312" w:cs="宋体"/>
          <w:szCs w:val="32"/>
        </w:rPr>
        <w:t>年12月31日，部门</w:t>
      </w:r>
      <w:r>
        <w:rPr>
          <w:rFonts w:hint="eastAsia" w:ascii="仿宋_GB2312" w:eastAsia="仿宋_GB2312" w:cs="宋体"/>
          <w:szCs w:val="32"/>
          <w:lang w:eastAsia="zh-CN"/>
        </w:rPr>
        <w:t>（单位）</w:t>
      </w:r>
      <w:r>
        <w:rPr>
          <w:rFonts w:hint="eastAsia" w:ascii="仿宋_GB2312" w:eastAsia="仿宋_GB2312" w:cs="宋体"/>
          <w:szCs w:val="32"/>
        </w:rPr>
        <w:t>共有车辆</w:t>
      </w:r>
      <w:r>
        <w:rPr>
          <w:rFonts w:hint="eastAsia" w:ascii="仿宋_GB2312" w:eastAsia="仿宋_GB2312" w:cs="宋体"/>
          <w:szCs w:val="32"/>
          <w:lang w:val="en-US" w:eastAsia="zh-CN"/>
        </w:rPr>
        <w:t>0</w:t>
      </w:r>
      <w:r>
        <w:rPr>
          <w:rFonts w:hint="eastAsia" w:ascii="仿宋_GB2312" w:eastAsia="仿宋_GB2312" w:cs="宋体"/>
          <w:szCs w:val="32"/>
        </w:rPr>
        <w:t>辆，其中，副省级及以上领导干部用车</w:t>
      </w:r>
      <w:r>
        <w:rPr>
          <w:rFonts w:hint="eastAsia" w:ascii="仿宋_GB2312" w:eastAsia="仿宋_GB2312" w:cs="宋体"/>
          <w:szCs w:val="32"/>
          <w:lang w:val="en-US" w:eastAsia="zh-CN"/>
        </w:rPr>
        <w:t>0</w:t>
      </w:r>
      <w:r>
        <w:rPr>
          <w:rFonts w:hint="eastAsia" w:ascii="仿宋_GB2312" w:eastAsia="仿宋_GB2312" w:cs="宋体"/>
          <w:szCs w:val="32"/>
        </w:rPr>
        <w:t>辆、主要领导干部用车</w:t>
      </w:r>
      <w:r>
        <w:rPr>
          <w:rFonts w:hint="eastAsia" w:ascii="仿宋_GB2312" w:eastAsia="仿宋_GB2312" w:cs="宋体"/>
          <w:szCs w:val="32"/>
          <w:lang w:val="en-US" w:eastAsia="zh-CN"/>
        </w:rPr>
        <w:t>0</w:t>
      </w:r>
      <w:r>
        <w:rPr>
          <w:rFonts w:hint="eastAsia" w:ascii="仿宋_GB2312" w:eastAsia="仿宋_GB2312" w:cs="宋体"/>
          <w:szCs w:val="32"/>
        </w:rPr>
        <w:t>辆、机要通信用车</w:t>
      </w:r>
      <w:r>
        <w:rPr>
          <w:rFonts w:hint="eastAsia" w:ascii="仿宋_GB2312" w:eastAsia="仿宋_GB2312" w:cs="宋体"/>
          <w:szCs w:val="32"/>
          <w:lang w:val="en-US" w:eastAsia="zh-CN"/>
        </w:rPr>
        <w:t>0</w:t>
      </w:r>
      <w:r>
        <w:rPr>
          <w:rFonts w:hint="eastAsia" w:ascii="仿宋_GB2312" w:eastAsia="仿宋_GB2312" w:cs="宋体"/>
          <w:szCs w:val="32"/>
        </w:rPr>
        <w:t>辆、应急保障用车</w:t>
      </w:r>
      <w:r>
        <w:rPr>
          <w:rFonts w:hint="eastAsia" w:ascii="仿宋_GB2312" w:eastAsia="仿宋_GB2312" w:cs="宋体"/>
          <w:szCs w:val="32"/>
          <w:lang w:val="en-US" w:eastAsia="zh-CN"/>
        </w:rPr>
        <w:t>0</w:t>
      </w:r>
      <w:r>
        <w:rPr>
          <w:rFonts w:hint="eastAsia" w:ascii="仿宋_GB2312" w:eastAsia="仿宋_GB2312" w:cs="宋体"/>
          <w:szCs w:val="32"/>
        </w:rPr>
        <w:t>辆、执法执勤用车</w:t>
      </w:r>
      <w:r>
        <w:rPr>
          <w:rFonts w:hint="eastAsia" w:ascii="仿宋_GB2312" w:eastAsia="仿宋_GB2312" w:cs="宋体"/>
          <w:szCs w:val="32"/>
          <w:lang w:val="en-US" w:eastAsia="zh-CN"/>
        </w:rPr>
        <w:t>0</w:t>
      </w:r>
      <w:r>
        <w:rPr>
          <w:rFonts w:hint="eastAsia" w:ascii="仿宋_GB2312" w:eastAsia="仿宋_GB2312" w:cs="宋体"/>
          <w:szCs w:val="32"/>
        </w:rPr>
        <w:t>辆、特种专业技术用车</w:t>
      </w:r>
      <w:r>
        <w:rPr>
          <w:rFonts w:hint="eastAsia" w:ascii="仿宋_GB2312" w:eastAsia="仿宋_GB2312" w:cs="宋体"/>
          <w:szCs w:val="32"/>
          <w:lang w:val="en-US" w:eastAsia="zh-CN"/>
        </w:rPr>
        <w:t>0</w:t>
      </w:r>
      <w:r>
        <w:rPr>
          <w:rFonts w:hint="eastAsia" w:ascii="仿宋_GB2312" w:eastAsia="仿宋_GB2312" w:cs="宋体"/>
          <w:szCs w:val="32"/>
        </w:rPr>
        <w:t>辆、其他用车</w:t>
      </w:r>
      <w:r>
        <w:rPr>
          <w:rFonts w:hint="eastAsia" w:ascii="仿宋_GB2312" w:eastAsia="仿宋_GB2312" w:cs="宋体"/>
          <w:szCs w:val="32"/>
          <w:lang w:val="en-US" w:eastAsia="zh-CN"/>
        </w:rPr>
        <w:t>0</w:t>
      </w:r>
      <w:r>
        <w:rPr>
          <w:rFonts w:hint="eastAsia" w:ascii="仿宋_GB2312" w:eastAsia="仿宋_GB2312" w:cs="宋体"/>
          <w:szCs w:val="32"/>
        </w:rPr>
        <w:t>辆；单位价值50万元以上通用设备</w:t>
      </w:r>
      <w:r>
        <w:rPr>
          <w:rFonts w:hint="eastAsia" w:ascii="仿宋_GB2312" w:eastAsia="仿宋_GB2312" w:cs="宋体"/>
          <w:szCs w:val="32"/>
          <w:lang w:val="en-US" w:eastAsia="zh-CN"/>
        </w:rPr>
        <w:t>0</w:t>
      </w:r>
      <w:r>
        <w:rPr>
          <w:rFonts w:hint="eastAsia" w:ascii="仿宋_GB2312" w:eastAsia="仿宋_GB2312" w:cs="宋体"/>
          <w:szCs w:val="32"/>
        </w:rPr>
        <w:t>台（套）；单位价值100万元以上专用设备</w:t>
      </w:r>
      <w:r>
        <w:rPr>
          <w:rFonts w:hint="eastAsia" w:ascii="仿宋_GB2312" w:eastAsia="仿宋_GB2312" w:cs="宋体"/>
          <w:szCs w:val="32"/>
          <w:lang w:val="en-US" w:eastAsia="zh-CN"/>
        </w:rPr>
        <w:t>0</w:t>
      </w:r>
      <w:r>
        <w:rPr>
          <w:rFonts w:hint="eastAsia" w:ascii="仿宋_GB2312" w:eastAsia="仿宋_GB2312" w:cs="宋体"/>
          <w:szCs w:val="32"/>
        </w:rPr>
        <w:t>台（套）。</w:t>
      </w:r>
    </w:p>
    <w:p>
      <w:pPr>
        <w:pStyle w:val="11"/>
        <w:rPr>
          <w:rFonts w:hint="eastAsia" w:ascii="仿宋_GB2312" w:eastAsia="仿宋_GB2312" w:cs="宋体"/>
          <w:szCs w:val="32"/>
        </w:rPr>
      </w:pPr>
    </w:p>
    <w:p>
      <w:pPr>
        <w:pStyle w:val="11"/>
        <w:rPr>
          <w:rFonts w:hint="eastAsia" w:ascii="仿宋_GB2312" w:eastAsia="仿宋_GB2312" w:cs="宋体"/>
          <w:szCs w:val="32"/>
          <w:lang w:val="en-US" w:eastAsia="zh-CN"/>
        </w:rPr>
      </w:pPr>
      <w:r>
        <w:rPr>
          <w:rFonts w:hint="eastAsia" w:ascii="仿宋_GB2312" w:eastAsia="仿宋_GB2312" w:cs="宋体"/>
          <w:szCs w:val="32"/>
          <w:lang w:val="en-US" w:eastAsia="zh-CN"/>
        </w:rPr>
        <w:t>十三、</w:t>
      </w:r>
      <w:r>
        <w:rPr>
          <w:rFonts w:hint="eastAsia" w:ascii="楷体" w:hAnsi="楷体" w:eastAsia="楷体" w:cs="楷体"/>
          <w:b w:val="0"/>
          <w:bCs w:val="0"/>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kern w:val="2"/>
          <w:sz w:val="32"/>
          <w:szCs w:val="32"/>
          <w:lang w:val="en-US" w:eastAsia="zh-CN" w:bidi="ar-SA"/>
        </w:rPr>
      </w:pPr>
      <w:r>
        <w:rPr>
          <w:rFonts w:hint="eastAsia" w:ascii="仿宋_GB2312" w:hAnsi="仿宋" w:eastAsia="仿宋_GB2312" w:cs="宋体"/>
          <w:b/>
          <w:bCs/>
          <w:kern w:val="2"/>
          <w:sz w:val="32"/>
          <w:szCs w:val="32"/>
          <w:lang w:val="en-US" w:eastAsia="zh-CN" w:bidi="ar-SA"/>
        </w:rPr>
        <w:t>1.预算绩效管理工作开展情况。</w:t>
      </w:r>
    </w:p>
    <w:p>
      <w:pPr>
        <w:bidi w:val="0"/>
        <w:ind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预算绩效管理要求，本部门组织对2022年度一般公共预算项目支出全面开展绩效自评，共涉及项目xx个，资金xx万元，占一般公共预算项目支出总额的xx％。从评价情况来看，……（请对自评项目情况进行综述）。</w:t>
      </w:r>
    </w:p>
    <w:p>
      <w:pPr>
        <w:spacing w:line="56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组织开展部门整体支出绩效评价，评价情况来看，……</w:t>
      </w:r>
    </w:p>
    <w:p>
      <w:pPr>
        <w:spacing w:line="560" w:lineRule="exact"/>
        <w:ind w:firstLine="640"/>
        <w:rPr>
          <w:rFonts w:hint="eastAsia" w:ascii="仿宋_GB2312" w:hAnsi="仿宋" w:eastAsia="仿宋_GB2312" w:cs="宋体"/>
          <w:kern w:val="2"/>
          <w:sz w:val="32"/>
          <w:szCs w:val="32"/>
          <w:lang w:val="en-US" w:eastAsia="zh-CN" w:bidi="ar-SA"/>
        </w:rPr>
      </w:pPr>
    </w:p>
    <w:tbl>
      <w:tblPr>
        <w:tblStyle w:val="6"/>
        <w:tblW w:w="12495" w:type="dxa"/>
        <w:tblInd w:w="0" w:type="dxa"/>
        <w:shd w:val="clear" w:color="auto" w:fill="auto"/>
        <w:tblLayout w:type="autofit"/>
        <w:tblCellMar>
          <w:top w:w="0" w:type="dxa"/>
          <w:left w:w="0" w:type="dxa"/>
          <w:bottom w:w="0" w:type="dxa"/>
          <w:right w:w="0" w:type="dxa"/>
        </w:tblCellMar>
      </w:tblPr>
      <w:tblGrid>
        <w:gridCol w:w="892"/>
        <w:gridCol w:w="1196"/>
        <w:gridCol w:w="1080"/>
        <w:gridCol w:w="736"/>
        <w:gridCol w:w="3163"/>
        <w:gridCol w:w="1575"/>
        <w:gridCol w:w="50"/>
        <w:gridCol w:w="1575"/>
        <w:gridCol w:w="1575"/>
        <w:gridCol w:w="653"/>
      </w:tblGrid>
      <w:tr>
        <w:tblPrEx>
          <w:shd w:val="clear" w:color="auto" w:fill="auto"/>
        </w:tblPrEx>
        <w:trPr>
          <w:trHeight w:val="800" w:hRule="atLeast"/>
        </w:trPr>
        <w:tc>
          <w:tcPr>
            <w:tcW w:w="1249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2022年黄石港区区部门整体支出绩效自评表</w:t>
            </w:r>
          </w:p>
        </w:tc>
      </w:tr>
      <w:tr>
        <w:tblPrEx>
          <w:shd w:val="clear" w:color="auto" w:fill="auto"/>
        </w:tblPrEx>
        <w:trPr>
          <w:trHeight w:val="640" w:hRule="atLeast"/>
        </w:trPr>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填报单位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黄石港区民政局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2023.9.15</w:t>
            </w:r>
          </w:p>
        </w:tc>
      </w:tr>
      <w:tr>
        <w:tblPrEx>
          <w:shd w:val="clear" w:color="auto" w:fill="auto"/>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黄石港区民政局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w:t>
            </w:r>
          </w:p>
        </w:tc>
      </w:tr>
      <w:tr>
        <w:tblPrEx>
          <w:shd w:val="clear" w:color="auto" w:fill="auto"/>
        </w:tblPrEx>
        <w:trPr>
          <w:trHeight w:val="360" w:hRule="atLeast"/>
        </w:trPr>
        <w:tc>
          <w:tcPr>
            <w:tcW w:w="37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部门整体支出总额预算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执行率（A/B）</w:t>
            </w:r>
          </w:p>
        </w:tc>
      </w:tr>
      <w:tr>
        <w:tblPrEx>
          <w:shd w:val="clear" w:color="auto" w:fill="auto"/>
        </w:tblPrEx>
        <w:trPr>
          <w:trHeight w:val="420" w:hRule="atLeast"/>
        </w:trPr>
        <w:tc>
          <w:tcPr>
            <w:tcW w:w="37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指标说明</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p>
        </w:tc>
      </w:tr>
      <w:tr>
        <w:tblPrEx>
          <w:shd w:val="clear" w:color="auto" w:fill="auto"/>
        </w:tblPrEx>
        <w:trPr>
          <w:trHeight w:val="4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投入</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预算执行（35分）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预算完成率=（预算完成数/预算数）×100%，用以反映和考核部门（单位）预算完成程度。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预算完成数：部门（单位）本年度实际完成的预算数。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预算数：财政部分批复的本年度部门（单位）预算数。</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预算完成率=100%的，得10分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预算完成率≥95%的，得9分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预算完成率在90%（含）和95%之间，得8分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预算完成率在85%（含）和90%之间，得7分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预算完成率在80%（含）和85%之间，得6分。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预算完成率在70%(含）和80%之间，得4分。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预算调整率=（预算调整数/预算率）×100%，用以反映和考核部门（单位）预算的调整过程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预算包括一般公共预算与政府性基金预算。</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预算调整率绝对值≤5%，得10分。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PrEx>
        <w:trPr>
          <w:trHeight w:val="3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支出进度率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支出进度率=（实际支出/支出预算）×100%，用以反映和考核部门（单位）预算执行的及时性和均衡性程度。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半年支出进度＝部门上半年实际支出/（上年结余结转+本年部门预算安排+上半年执行中追加追减）*100%。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前三季度支出进度＝部门前三季度实际支出/（上年结余结转+本年部门预算安排+前三季度执行中追加追减）*100%。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半年进度：进度率≥45%，得4分；进度率在40%（含）和45%之间，得2分；进度率＜40%，得0分。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部门预算中除财政拨款外的其他收入预算与决算差异率。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预算编制准确率＝其他收入决算数/其他收入预算数×100%-100%。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预算编制准确率≤20%，得5分。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预算编制准确率在20%和40%（含）之间，得3分。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过程</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预算管理（20分）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资产管理规范性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部门（单位）资产管理是否规范，用以反映和考核部门（单位）资产管理情况。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1.新增资产配置按预算执行。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2.资产有偿使用、处置按规定程序审批。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3.资产收益及时、足额上缴财政。</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资金使用合规性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1.符合国家财经法规和财务管理制度规定以及有关专项资金管理办法的规定；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2.资金的拨付有完整的审批程序和手续；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3.重大项目开支经过评估论证；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4.符合部门预算批复的用途；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5.不存在截留、挤占、挪用、虚列支出等情况。</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PrEx>
        <w:trPr>
          <w:trHeight w:val="11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效果</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运行效益（45分）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现行行政运行经费支出预算编制方法的行政运行成本。</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PrEx>
        <w:trPr>
          <w:trHeight w:val="9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行政运行经费支出能否保障部门正常运行。</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PrEx>
        <w:trPr>
          <w:trHeight w:val="8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项目资金运行产生的经济效益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PrEx>
        <w:trPr>
          <w:trHeight w:val="9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项目资金运行产生的社会效益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PrEx>
        <w:trPr>
          <w:trHeight w:val="25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1.项目完成后有经费安排能满足项目持续运行需要；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2.项目完成后有制度保障项目持续运行需要；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3.项目完成后有明确的项目管理机构、负责人对项目后继管理负责，满足持续运行需要。</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shd w:val="clear" w:color="auto" w:fill="auto"/>
        </w:tblPrEx>
        <w:trPr>
          <w:trHeight w:val="72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r>
    </w:tbl>
    <w:p>
      <w:pPr>
        <w:pStyle w:val="11"/>
        <w:rPr>
          <w:rFonts w:hint="eastAsia" w:ascii="仿宋_GB2312" w:hAnsi="仿宋_GB2312" w:eastAsia="仿宋_GB2312" w:cs="仿宋_GB2312"/>
          <w:b/>
          <w:bCs/>
          <w:sz w:val="32"/>
          <w:szCs w:val="32"/>
          <w:u w:val="none"/>
          <w:lang w:val="en-US" w:eastAsia="zh-CN"/>
        </w:rPr>
      </w:pPr>
    </w:p>
    <w:p>
      <w:pPr>
        <w:pStyle w:val="11"/>
        <w:rPr>
          <w:rFonts w:hint="eastAsia" w:ascii="仿宋_GB2312" w:hAnsi="仿宋_GB2312" w:eastAsia="仿宋_GB2312" w:cs="仿宋_GB2312"/>
          <w:b/>
          <w:bCs/>
          <w:sz w:val="32"/>
          <w:szCs w:val="32"/>
          <w:u w:val="none"/>
          <w:lang w:val="en-US" w:eastAsia="zh-CN"/>
        </w:rPr>
      </w:pPr>
    </w:p>
    <w:p>
      <w:pPr>
        <w:pStyle w:val="11"/>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lang w:eastAsia="zh-CN"/>
        </w:rPr>
        <w:t>部门决算中项目绩效自评结果。</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本部门今年在部门决算中反映所有项目绩效自评结果（涉密项目除外）。</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xx项目绩效自评综述：项目全年预算数为xx万元，执行数为xx万元，完成预算xx％。主要产出和效益：一是……；二是……。发现的问题及原因：一是……；二是……。下一步改进措施：一是……；二是……。</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（请对每个自评项目进行综述，并将《</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年度XX项目自评结果》的摘要版以及《</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年度XX项目自评表》</w:t>
      </w:r>
      <w:r>
        <w:rPr>
          <w:rFonts w:hint="eastAsia" w:ascii="仿宋_GB2312" w:hAnsi="仿宋" w:eastAsia="仿宋_GB2312" w:cs="仿宋"/>
          <w:sz w:val="32"/>
          <w:szCs w:val="32"/>
          <w:u w:val="none"/>
          <w:lang w:eastAsia="zh-CN"/>
        </w:rPr>
        <w:t>作为附件</w:t>
      </w:r>
      <w:r>
        <w:rPr>
          <w:rFonts w:hint="eastAsia" w:ascii="仿宋_GB2312" w:hAnsi="仿宋" w:eastAsia="仿宋_GB2312" w:cs="仿宋"/>
          <w:sz w:val="32"/>
          <w:szCs w:val="32"/>
          <w:u w:val="none"/>
        </w:rPr>
        <w:t>附</w:t>
      </w:r>
      <w:r>
        <w:rPr>
          <w:rFonts w:hint="eastAsia" w:ascii="仿宋_GB2312" w:hAnsi="仿宋" w:eastAsia="仿宋_GB2312" w:cs="仿宋"/>
          <w:sz w:val="32"/>
          <w:szCs w:val="32"/>
          <w:u w:val="none"/>
          <w:lang w:eastAsia="zh-CN"/>
        </w:rPr>
        <w:t>后</w:t>
      </w:r>
      <w:r>
        <w:rPr>
          <w:rFonts w:hint="eastAsia" w:ascii="仿宋_GB2312" w:hAnsi="仿宋" w:eastAsia="仿宋_GB2312" w:cs="仿宋"/>
          <w:sz w:val="32"/>
          <w:szCs w:val="32"/>
          <w:u w:val="none"/>
        </w:rPr>
        <w:t>）。</w:t>
      </w:r>
    </w:p>
    <w:p>
      <w:pPr>
        <w:spacing w:line="560" w:lineRule="exact"/>
        <w:ind w:firstLine="640"/>
        <w:rPr>
          <w:rFonts w:hint="eastAsia" w:ascii="仿宋_GB2312" w:hAnsi="仿宋_GB2312" w:eastAsia="仿宋_GB2312" w:cs="仿宋_GB2312"/>
          <w:sz w:val="32"/>
          <w:szCs w:val="32"/>
          <w:u w:val="none"/>
          <w:lang w:eastAsia="zh-CN"/>
        </w:rPr>
      </w:pPr>
      <w:r>
        <w:rPr>
          <w:rFonts w:hint="eastAsia" w:ascii="仿宋_GB2312" w:hAnsi="仿宋" w:eastAsia="仿宋_GB2312" w:cs="仿宋"/>
          <w:sz w:val="32"/>
          <w:szCs w:val="32"/>
          <w:u w:val="none"/>
        </w:rPr>
        <w:t>xx项目绩效自评综述……。</w:t>
      </w:r>
    </w:p>
    <w:p>
      <w:p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部门绩效评价结果应用情况。至部门决算公开时已经应用的情况。例如：加强项目规划、绩效目标管理、完善项目分配办法和管理办法、加强项目管理、结果与预算安排相结合等。</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部门绩效评价结果拟应用情况。至部门决算公开时还未应用但拟应用的情况。例如：加强项目规划、绩效目标管理、完善项目分配办法和管理办法、加强项目管理、结果与预算安排相结合等。</w:t>
      </w:r>
    </w:p>
    <w:p>
      <w:pPr>
        <w:spacing w:line="560" w:lineRule="exact"/>
        <w:ind w:firstLine="640"/>
        <w:rPr>
          <w:rFonts w:hint="eastAsia" w:ascii="仿宋_GB2312" w:hAnsi="仿宋" w:eastAsia="仿宋_GB2312" w:cs="仿宋"/>
          <w:sz w:val="32"/>
          <w:szCs w:val="32"/>
          <w:u w:val="none"/>
        </w:rPr>
      </w:pPr>
    </w:p>
    <w:p>
      <w:pPr>
        <w:pStyle w:val="11"/>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上述“一般公共预算财政拨款收入”、“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r>
        <w:rPr>
          <w:rFonts w:hint="eastAsia" w:ascii="仿宋_GB2312" w:hAnsi="宋体" w:eastAsia="仿宋_GB2312"/>
          <w:sz w:val="32"/>
          <w:szCs w:val="32"/>
          <w:highlight w:val="none"/>
          <w:u w:val="none"/>
          <w:lang w:val="en-US" w:eastAsia="zh-CN"/>
        </w:rPr>
        <w:t>该</w:t>
      </w:r>
      <w:r>
        <w:rPr>
          <w:rFonts w:hint="eastAsia" w:ascii="仿宋" w:hAnsi="仿宋" w:eastAsia="仿宋" w:cs="仿宋"/>
          <w:sz w:val="32"/>
          <w:szCs w:val="32"/>
          <w:highlight w:val="none"/>
          <w:u w:val="none"/>
          <w:lang w:val="en-US" w:eastAsia="zh-CN"/>
        </w:rPr>
        <w:t>项名词解</w:t>
      </w:r>
      <w:r>
        <w:rPr>
          <w:rFonts w:hint="eastAsia" w:ascii="仿宋" w:hAnsi="仿宋" w:eastAsia="仿宋" w:cs="仿宋"/>
          <w:sz w:val="32"/>
          <w:szCs w:val="32"/>
          <w:highlight w:val="none"/>
          <w:u w:val="none"/>
        </w:rPr>
        <w:t>释</w:t>
      </w:r>
      <w:r>
        <w:rPr>
          <w:rFonts w:hint="eastAsia" w:ascii="仿宋" w:hAnsi="仿宋" w:eastAsia="仿宋" w:cs="仿宋"/>
          <w:sz w:val="32"/>
          <w:szCs w:val="32"/>
          <w:highlight w:val="none"/>
          <w:u w:val="none"/>
          <w:lang w:eastAsia="zh-CN"/>
        </w:rPr>
        <w:t>中“上述……等收入”请依据部门收入的实际情况进行</w:t>
      </w:r>
      <w:r>
        <w:rPr>
          <w:rFonts w:hint="eastAsia" w:ascii="仿宋" w:hAnsi="仿宋" w:eastAsia="仿宋" w:cs="仿宋"/>
          <w:sz w:val="32"/>
          <w:szCs w:val="32"/>
          <w:highlight w:val="none"/>
          <w:u w:val="none"/>
          <w:lang w:val="en-US" w:eastAsia="zh-CN"/>
        </w:rPr>
        <w:t>解</w:t>
      </w:r>
      <w:r>
        <w:rPr>
          <w:rFonts w:hint="eastAsia" w:ascii="仿宋" w:hAnsi="仿宋" w:eastAsia="仿宋" w:cs="仿宋"/>
          <w:sz w:val="32"/>
          <w:szCs w:val="32"/>
          <w:highlight w:val="none"/>
          <w:u w:val="none"/>
        </w:rPr>
        <w:t>释</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仿宋_GB2312" w:hAnsi="仿宋_GB2312" w:eastAsia="仿宋_GB2312"/>
          <w:color w:val="000000"/>
          <w:sz w:val="32"/>
          <w:u w:val="none"/>
        </w:rPr>
        <w:t>指事业单位</w:t>
      </w:r>
      <w:r>
        <w:rPr>
          <w:rFonts w:hint="eastAsia" w:ascii="仿宋_GB2312" w:hAnsi="仿宋_GB2312" w:eastAsia="仿宋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仿宋_GB2312" w:hAnsi="仿宋_GB2312" w:eastAsia="仿宋_GB2312"/>
          <w:color w:val="000000"/>
          <w:sz w:val="32"/>
          <w:u w:val="none"/>
        </w:rPr>
        <w:t>指</w:t>
      </w:r>
      <w:r>
        <w:rPr>
          <w:rFonts w:hint="eastAsia" w:ascii="仿宋_GB2312" w:hAnsi="仿宋_GB2312" w:eastAsia="仿宋_GB2312"/>
          <w:color w:val="000000"/>
          <w:sz w:val="32"/>
          <w:u w:val="none"/>
          <w:lang w:eastAsia="zh-CN"/>
        </w:rPr>
        <w:t>单位</w:t>
      </w:r>
      <w:r>
        <w:rPr>
          <w:rFonts w:hint="default" w:ascii="仿宋_GB2312" w:hAnsi="仿宋_GB2312" w:eastAsia="仿宋_GB2312"/>
          <w:color w:val="000000"/>
          <w:sz w:val="32"/>
          <w:u w:val="none"/>
        </w:rPr>
        <w:t>以前年度</w:t>
      </w:r>
      <w:r>
        <w:rPr>
          <w:rFonts w:hint="eastAsia" w:ascii="仿宋_GB2312" w:hAnsi="仿宋_GB2312" w:eastAsia="仿宋_GB2312"/>
          <w:color w:val="000000"/>
          <w:sz w:val="32"/>
          <w:u w:val="none"/>
          <w:lang w:eastAsia="zh-CN"/>
        </w:rPr>
        <w:t>尚未完成</w:t>
      </w:r>
      <w:r>
        <w:rPr>
          <w:rFonts w:hint="default" w:ascii="仿宋_GB2312" w:hAnsi="仿宋_GB2312" w:eastAsia="仿宋_GB2312"/>
          <w:color w:val="000000"/>
          <w:sz w:val="32"/>
          <w:u w:val="none"/>
        </w:rPr>
        <w:t>、结转到本年仍按原规定用途继续使用的资金</w:t>
      </w:r>
      <w:r>
        <w:rPr>
          <w:rFonts w:hint="eastAsia" w:ascii="仿宋_GB2312" w:hAnsi="仿宋_GB2312" w:eastAsia="仿宋_GB2312"/>
          <w:color w:val="000000"/>
          <w:sz w:val="32"/>
          <w:u w:val="none"/>
          <w:lang w:eastAsia="zh-CN"/>
        </w:rPr>
        <w:t>，或项目已完成等产生的结余资金</w:t>
      </w:r>
      <w:r>
        <w:rPr>
          <w:rFonts w:hint="default" w:ascii="仿宋_GB2312" w:hAnsi="仿宋_GB2312" w:eastAsia="仿宋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十</w:t>
      </w:r>
      <w:r>
        <w:rPr>
          <w:rFonts w:hint="eastAsia" w:ascii="仿宋_GB2312" w:eastAsia="仿宋_GB2312"/>
          <w:bCs/>
          <w:kern w:val="44"/>
          <w:sz w:val="32"/>
          <w:szCs w:val="32"/>
          <w:highlight w:val="none"/>
          <w:u w:val="none"/>
        </w:rPr>
        <w:t>)本部门使用的支出功能分类科目(到项级)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rPr>
      </w:pPr>
      <w:r>
        <w:rPr>
          <w:rFonts w:hint="eastAsia" w:ascii="仿宋_GB2312" w:eastAsia="仿宋_GB2312"/>
          <w:bCs/>
          <w:kern w:val="44"/>
          <w:sz w:val="32"/>
          <w:szCs w:val="32"/>
          <w:highlight w:val="none"/>
          <w:u w:val="none"/>
        </w:rPr>
        <w:t>1.</w:t>
      </w:r>
      <w:r>
        <w:rPr>
          <w:rFonts w:hint="eastAsia" w:ascii="仿宋_GB2312" w:eastAsia="仿宋_GB2312"/>
          <w:sz w:val="32"/>
          <w:szCs w:val="32"/>
          <w:highlight w:val="none"/>
          <w:u w:val="none"/>
        </w:rPr>
        <w:t>一般公共服务(类)财政事务(款)行政运行(项)</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2.…</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参考《</w:t>
      </w:r>
      <w:r>
        <w:rPr>
          <w:rFonts w:hint="eastAsia" w:ascii="仿宋_GB2312"/>
          <w:sz w:val="32"/>
          <w:szCs w:val="32"/>
          <w:highlight w:val="none"/>
          <w:u w:val="none"/>
          <w:lang w:eastAsia="zh-CN"/>
        </w:rPr>
        <w:t>2022</w:t>
      </w:r>
      <w:r>
        <w:rPr>
          <w:rFonts w:hint="eastAsia" w:ascii="仿宋_GB2312" w:eastAsia="仿宋_GB2312"/>
          <w:sz w:val="32"/>
          <w:szCs w:val="32"/>
          <w:highlight w:val="none"/>
          <w:u w:val="none"/>
        </w:rPr>
        <w:t>年政府收支分类科目》说明逐项解释</w:t>
      </w:r>
      <w:r>
        <w:rPr>
          <w:rFonts w:hint="eastAsia" w:ascii="仿宋_GB2312" w:eastAsia="仿宋_GB2312"/>
          <w:sz w:val="32"/>
          <w:szCs w:val="32"/>
          <w:highlight w:val="none"/>
          <w:u w:val="none"/>
          <w:lang w:eastAsia="zh-CN"/>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szCs w:val="22"/>
          <w:u w:val="none"/>
        </w:rPr>
      </w:pPr>
      <w:r>
        <w:rPr>
          <w:rFonts w:hint="eastAsia" w:ascii="仿宋_GB2312" w:hAnsi="仿宋_GB2312" w:eastAsia="仿宋_GB2312"/>
          <w:color w:val="000000"/>
          <w:sz w:val="32"/>
          <w:szCs w:val="22"/>
          <w:u w:val="none"/>
        </w:rPr>
        <w:t>(十</w:t>
      </w:r>
      <w:r>
        <w:rPr>
          <w:rFonts w:hint="eastAsia" w:ascii="仿宋_GB2312" w:hAnsi="仿宋_GB2312" w:eastAsia="仿宋_GB2312"/>
          <w:color w:val="000000"/>
          <w:sz w:val="32"/>
          <w:szCs w:val="22"/>
          <w:u w:val="none"/>
          <w:lang w:eastAsia="zh-CN"/>
        </w:rPr>
        <w:t>四</w:t>
      </w:r>
      <w:r>
        <w:rPr>
          <w:rFonts w:hint="eastAsia" w:ascii="仿宋_GB2312" w:hAnsi="仿宋_GB2312" w:eastAsia="仿宋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1"/>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一、2022年度部门名称整体绩效评价报告</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（主要内容）</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二、2022年度XX项目绩效评价报告</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（主要内容）</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三、……</w:t>
      </w:r>
    </w:p>
    <w:p>
      <w:pPr>
        <w:bidi w:val="0"/>
        <w:rPr>
          <w:rFonts w:hint="default"/>
          <w:u w:val="none"/>
          <w:lang w:val="en-US" w:eastAsia="zh-CN"/>
        </w:rPr>
      </w:pPr>
    </w:p>
    <w:p>
      <w:pPr>
        <w:pStyle w:val="11"/>
        <w:rPr>
          <w:rFonts w:hint="eastAsia" w:ascii="仿宋_GB2312" w:eastAsia="仿宋_GB2312" w:cs="宋体"/>
          <w:szCs w:val="32"/>
          <w:lang w:val="en-US" w:eastAsia="zh-CN"/>
        </w:rPr>
      </w:pPr>
    </w:p>
    <w:p>
      <w:pPr>
        <w:ind w:firstLine="640"/>
        <w:jc w:val="both"/>
        <w:rPr>
          <w:rFonts w:hint="default" w:ascii="仿宋_GB2312" w:hAnsi="仿宋_GB2312" w:eastAsia="仿宋_GB2312" w:cs="仿宋_GB2312"/>
          <w:sz w:val="32"/>
          <w:szCs w:val="3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楷体" w:hAnsi="楷体" w:eastAsia="楷体" w:cs="楷体"/>
          <w:bCs/>
          <w:kern w:val="44"/>
          <w:sz w:val="32"/>
          <w:szCs w:val="32"/>
          <w:highlight w:val="none"/>
          <w:u w:val="none"/>
          <w:lang w:val="en-US" w:eastAsia="zh-CN"/>
        </w:rPr>
      </w:pPr>
    </w:p>
    <w:p>
      <w:pPr>
        <w:numPr>
          <w:ilvl w:val="0"/>
          <w:numId w:val="0"/>
        </w:numPr>
        <w:bidi w:val="0"/>
        <w:ind w:firstLine="640" w:firstLineChars="200"/>
        <w:rPr>
          <w:rFonts w:hint="default" w:ascii="楷体" w:hAnsi="楷体" w:eastAsia="楷体" w:cs="楷体"/>
          <w:b w:val="0"/>
          <w:bCs w:val="0"/>
          <w:sz w:val="32"/>
          <w:szCs w:val="32"/>
          <w:highlight w:val="none"/>
          <w:u w:val="none"/>
          <w:lang w:val="en-US" w:eastAsia="zh-CN"/>
        </w:rPr>
      </w:pPr>
    </w:p>
    <w:p>
      <w:pPr>
        <w:numPr>
          <w:ilvl w:val="0"/>
          <w:numId w:val="0"/>
        </w:numPr>
        <w:bidi w:val="0"/>
        <w:rPr>
          <w:rFonts w:hint="eastAsia" w:ascii="楷体_GB2312" w:hAnsi="楷体_GB2312" w:eastAsia="楷体_GB2312" w:cs="楷体_GB2312"/>
          <w:bCs/>
          <w:kern w:val="44"/>
          <w:sz w:val="32"/>
          <w:szCs w:val="32"/>
          <w:highlight w:val="none"/>
          <w:lang w:eastAsia="zh-CN"/>
        </w:rPr>
      </w:pPr>
    </w:p>
    <w:p>
      <w:pPr>
        <w:numPr>
          <w:ilvl w:val="0"/>
          <w:numId w:val="0"/>
        </w:numPr>
        <w:bidi w:val="0"/>
        <w:ind w:left="640" w:leftChars="0"/>
        <w:rPr>
          <w:rFonts w:hint="default" w:ascii="楷体_GB2312" w:hAnsi="楷体_GB2312" w:eastAsia="楷体_GB2312" w:cs="楷体_GB2312"/>
          <w:bCs/>
          <w:kern w:val="44"/>
          <w:sz w:val="32"/>
          <w:szCs w:val="32"/>
          <w:highlight w:val="none"/>
          <w:lang w:val="en-US" w:eastAsia="zh-CN"/>
        </w:rPr>
      </w:pPr>
    </w:p>
    <w:p>
      <w:pPr>
        <w:numPr>
          <w:ilvl w:val="0"/>
          <w:numId w:val="0"/>
        </w:numPr>
        <w:bidi w:val="0"/>
        <w:ind w:leftChars="3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adjustRightInd w:val="0"/>
        <w:snapToGrid w:val="0"/>
        <w:spacing w:line="580" w:lineRule="atLeast"/>
        <w:ind w:firstLine="640" w:firstLineChars="200"/>
        <w:rPr>
          <w:rFonts w:hint="eastAsia" w:ascii="仿宋_GB2312" w:hAnsi="宋体"/>
          <w:bCs/>
          <w:sz w:val="32"/>
          <w:szCs w:val="32"/>
          <w:highlight w:val="none"/>
          <w:lang w:val="en-US" w:eastAsia="zh-CN"/>
        </w:rPr>
      </w:pP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D0D46"/>
    <w:multiLevelType w:val="singleLevel"/>
    <w:tmpl w:val="B19D0D46"/>
    <w:lvl w:ilvl="0" w:tentative="0">
      <w:start w:val="2"/>
      <w:numFmt w:val="chineseCounting"/>
      <w:suff w:val="nothing"/>
      <w:lvlText w:val="%1、"/>
      <w:lvlJc w:val="left"/>
      <w:rPr>
        <w:rFonts w:hint="eastAsia"/>
      </w:rPr>
    </w:lvl>
  </w:abstractNum>
  <w:abstractNum w:abstractNumId="1">
    <w:nsid w:val="1957BB01"/>
    <w:multiLevelType w:val="singleLevel"/>
    <w:tmpl w:val="1957BB01"/>
    <w:lvl w:ilvl="0" w:tentative="0">
      <w:start w:val="5"/>
      <w:numFmt w:val="chineseCounting"/>
      <w:suff w:val="nothing"/>
      <w:lvlText w:val="%1、"/>
      <w:lvlJc w:val="left"/>
      <w:rPr>
        <w:rFonts w:hint="eastAsia"/>
      </w:rPr>
    </w:lvl>
  </w:abstractNum>
  <w:abstractNum w:abstractNumId="2">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MjQ2YTcwZmIyNDVmMjNjNmFhM2JhZDM4M2JlOWEifQ=="/>
  </w:docVars>
  <w:rsids>
    <w:rsidRoot w:val="00000000"/>
    <w:rsid w:val="005675FF"/>
    <w:rsid w:val="088A1BF0"/>
    <w:rsid w:val="0B9D36ED"/>
    <w:rsid w:val="0C023101"/>
    <w:rsid w:val="0D6515C9"/>
    <w:rsid w:val="0DD56120"/>
    <w:rsid w:val="14CA2B35"/>
    <w:rsid w:val="1A05549C"/>
    <w:rsid w:val="1B537351"/>
    <w:rsid w:val="1D0767B7"/>
    <w:rsid w:val="1E085F02"/>
    <w:rsid w:val="2304251E"/>
    <w:rsid w:val="263C0693"/>
    <w:rsid w:val="266668CE"/>
    <w:rsid w:val="2E1C3F14"/>
    <w:rsid w:val="38563836"/>
    <w:rsid w:val="3E5A0732"/>
    <w:rsid w:val="46206CE3"/>
    <w:rsid w:val="4BAF7AD9"/>
    <w:rsid w:val="4CD90E03"/>
    <w:rsid w:val="4D664345"/>
    <w:rsid w:val="4E4E19C6"/>
    <w:rsid w:val="4FB329D5"/>
    <w:rsid w:val="52471974"/>
    <w:rsid w:val="6A9307EB"/>
    <w:rsid w:val="6B833097"/>
    <w:rsid w:val="706B3DB7"/>
    <w:rsid w:val="74A27A13"/>
    <w:rsid w:val="752D7AA5"/>
    <w:rsid w:val="7B6D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styleId="9">
    <w:name w:val="List Paragraph"/>
    <w:basedOn w:val="1"/>
    <w:unhideWhenUsed/>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8082</Words>
  <Characters>8811</Characters>
  <Lines>0</Lines>
  <Paragraphs>0</Paragraphs>
  <TotalTime>2</TotalTime>
  <ScaleCrop>false</ScaleCrop>
  <LinksUpToDate>false</LinksUpToDate>
  <CharactersWithSpaces>9164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2023-09-06T02:09:00Z</dcterms:created>
  <dc:creator>Administrator</dc:creator>
  <cp:lastModifiedBy>biubiu</cp:lastModifiedBy>
  <dcterms:modified xsi:type="dcterms:W3CDTF">2023-09-21T10:37:02Z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49E575BFEF8448DD9AAC55E2D24E5C08_12</vt:lpwstr>
  </property>
</Properties>
</file>