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75" w:afterAutospacing="0" w:line="450" w:lineRule="atLeast"/>
        <w:ind w:left="0" w:right="0" w:firstLine="0"/>
        <w:jc w:val="center"/>
        <w:rPr>
          <w:rFonts w:ascii="微软雅黑" w:hAnsi="微软雅黑" w:eastAsia="微软雅黑" w:cs="微软雅黑"/>
          <w:b/>
          <w:i w:val="0"/>
          <w:caps w:val="0"/>
          <w:color w:val="BC1010"/>
          <w:spacing w:val="0"/>
          <w:sz w:val="40"/>
          <w:szCs w:val="40"/>
        </w:rPr>
      </w:pPr>
      <w:r>
        <w:rPr>
          <w:rFonts w:hint="eastAsia" w:ascii="微软雅黑" w:hAnsi="微软雅黑" w:eastAsia="微软雅黑" w:cs="微软雅黑"/>
          <w:b/>
          <w:i w:val="0"/>
          <w:caps w:val="0"/>
          <w:color w:val="BC1010"/>
          <w:spacing w:val="0"/>
          <w:sz w:val="40"/>
          <w:szCs w:val="40"/>
          <w:bdr w:val="none" w:color="auto" w:sz="0" w:space="0"/>
          <w:shd w:val="clear" w:fill="FFFFFF"/>
          <w:lang w:eastAsia="zh-CN"/>
        </w:rPr>
        <w:t>区委办</w:t>
      </w:r>
      <w:r>
        <w:rPr>
          <w:rFonts w:hint="eastAsia" w:ascii="微软雅黑" w:hAnsi="微软雅黑" w:eastAsia="微软雅黑" w:cs="微软雅黑"/>
          <w:b/>
          <w:i w:val="0"/>
          <w:caps w:val="0"/>
          <w:color w:val="BC1010"/>
          <w:spacing w:val="0"/>
          <w:sz w:val="40"/>
          <w:szCs w:val="40"/>
          <w:bdr w:val="none" w:color="auto" w:sz="0" w:space="0"/>
          <w:shd w:val="clear" w:fill="FFFFFF"/>
        </w:rPr>
        <w:t>2017年决算公开</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r>
        <w:rPr>
          <w:rStyle w:val="7"/>
          <w:rFonts w:hint="eastAsia" w:ascii="微软雅黑" w:hAnsi="微软雅黑" w:eastAsia="微软雅黑" w:cs="微软雅黑"/>
          <w:i w:val="0"/>
          <w:caps w:val="0"/>
          <w:color w:val="333333"/>
          <w:spacing w:val="0"/>
          <w:sz w:val="24"/>
          <w:szCs w:val="24"/>
          <w:bdr w:val="none" w:color="auto" w:sz="0" w:space="0"/>
          <w:shd w:val="clear" w:fill="FFFFFF"/>
          <w:lang w:eastAsia="zh-CN"/>
        </w:rPr>
        <w:t>黄石港区区委办</w:t>
      </w:r>
      <w:r>
        <w:rPr>
          <w:rStyle w:val="7"/>
          <w:rFonts w:hint="eastAsia" w:ascii="微软雅黑" w:hAnsi="微软雅黑" w:eastAsia="微软雅黑" w:cs="微软雅黑"/>
          <w:i w:val="0"/>
          <w:caps w:val="0"/>
          <w:color w:val="333333"/>
          <w:spacing w:val="0"/>
          <w:sz w:val="24"/>
          <w:szCs w:val="24"/>
          <w:bdr w:val="none" w:color="auto" w:sz="0" w:space="0"/>
          <w:shd w:val="clear" w:fill="FFFFFF"/>
        </w:rPr>
        <w:t>2017年决算公开</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目  录</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第一部分:部门基本情况</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一、部门主要职责</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二、部门决算单位构成</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第二部分: 部门2017年部门决算表</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一、收入支出决算总表（表1）</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二、收入决算表（表2）</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三、支出决算表（表3）</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四、财政拨款收入支出决算总表（表4）</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五、一般公共预算财政拨款支出决算表（表5）</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六、一般公共预算财政拨款基本支出决算表（表6）</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七、一般公共预算财政拨款“三公”经费支出决算表（表7）</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八、政府性基金预算财政拨款收入支出决算表（8）</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第三部分：部门2017年部门决算情况说明</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rPr>
      </w:pPr>
      <w:r>
        <w:rPr>
          <w:rFonts w:hint="eastAsia" w:ascii="微软雅黑" w:hAnsi="微软雅黑" w:eastAsia="微软雅黑" w:cs="微软雅黑"/>
          <w:b w:val="0"/>
          <w:i w:val="0"/>
          <w:caps w:val="0"/>
          <w:color w:val="333333"/>
          <w:spacing w:val="0"/>
          <w:sz w:val="24"/>
          <w:szCs w:val="24"/>
          <w:shd w:val="clear" w:fill="FFFFFF"/>
          <w:lang w:eastAsia="zh-CN"/>
        </w:rPr>
        <w:t>一、</w:t>
      </w:r>
      <w:r>
        <w:rPr>
          <w:rFonts w:hint="eastAsia" w:ascii="微软雅黑" w:hAnsi="微软雅黑" w:eastAsia="微软雅黑" w:cs="微软雅黑"/>
          <w:b w:val="0"/>
          <w:i w:val="0"/>
          <w:caps w:val="0"/>
          <w:color w:val="333333"/>
          <w:spacing w:val="0"/>
          <w:sz w:val="24"/>
          <w:szCs w:val="24"/>
          <w:shd w:val="clear" w:fill="FFFFFF"/>
        </w:rPr>
        <w:t>预算执行情况分析</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rPr>
      </w:pPr>
      <w:r>
        <w:rPr>
          <w:rFonts w:hint="eastAsia" w:ascii="微软雅黑" w:hAnsi="微软雅黑" w:eastAsia="微软雅黑" w:cs="微软雅黑"/>
          <w:b w:val="0"/>
          <w:i w:val="0"/>
          <w:caps w:val="0"/>
          <w:color w:val="333333"/>
          <w:spacing w:val="0"/>
          <w:sz w:val="24"/>
          <w:szCs w:val="24"/>
          <w:shd w:val="clear" w:fill="FFFFFF"/>
          <w:lang w:eastAsia="zh-CN"/>
        </w:rPr>
        <w:t>二、</w:t>
      </w:r>
      <w:r>
        <w:rPr>
          <w:rFonts w:hint="eastAsia" w:ascii="微软雅黑" w:hAnsi="微软雅黑" w:eastAsia="微软雅黑" w:cs="微软雅黑"/>
          <w:b w:val="0"/>
          <w:i w:val="0"/>
          <w:caps w:val="0"/>
          <w:color w:val="333333"/>
          <w:spacing w:val="0"/>
          <w:sz w:val="24"/>
          <w:szCs w:val="24"/>
          <w:shd w:val="clear" w:fill="FFFFFF"/>
        </w:rPr>
        <w:t>关于“三公”经费支出说明</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rPr>
      </w:pPr>
      <w:r>
        <w:rPr>
          <w:rFonts w:hint="eastAsia" w:ascii="微软雅黑" w:hAnsi="微软雅黑" w:eastAsia="微软雅黑" w:cs="微软雅黑"/>
          <w:b w:val="0"/>
          <w:i w:val="0"/>
          <w:caps w:val="0"/>
          <w:color w:val="333333"/>
          <w:spacing w:val="0"/>
          <w:sz w:val="24"/>
          <w:szCs w:val="24"/>
          <w:shd w:val="clear" w:fill="FFFFFF"/>
          <w:lang w:eastAsia="zh-CN"/>
        </w:rPr>
        <w:t>三、</w:t>
      </w:r>
      <w:r>
        <w:rPr>
          <w:rFonts w:hint="eastAsia" w:ascii="微软雅黑" w:hAnsi="微软雅黑" w:eastAsia="微软雅黑" w:cs="微软雅黑"/>
          <w:b w:val="0"/>
          <w:i w:val="0"/>
          <w:caps w:val="0"/>
          <w:color w:val="333333"/>
          <w:spacing w:val="0"/>
          <w:sz w:val="24"/>
          <w:szCs w:val="24"/>
          <w:shd w:val="clear" w:fill="FFFFFF"/>
        </w:rPr>
        <w:t>关于机关运行经费支出说明</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rPr>
      </w:pPr>
      <w:r>
        <w:rPr>
          <w:rFonts w:hint="eastAsia" w:ascii="微软雅黑" w:hAnsi="微软雅黑" w:eastAsia="微软雅黑" w:cs="微软雅黑"/>
          <w:b w:val="0"/>
          <w:i w:val="0"/>
          <w:caps w:val="0"/>
          <w:color w:val="333333"/>
          <w:spacing w:val="0"/>
          <w:sz w:val="24"/>
          <w:szCs w:val="24"/>
          <w:shd w:val="clear" w:fill="FFFFFF"/>
        </w:rPr>
        <w:t>四</w:t>
      </w:r>
      <w:r>
        <w:rPr>
          <w:rFonts w:hint="eastAsia" w:ascii="微软雅黑" w:hAnsi="微软雅黑" w:eastAsia="微软雅黑" w:cs="微软雅黑"/>
          <w:b w:val="0"/>
          <w:i w:val="0"/>
          <w:caps w:val="0"/>
          <w:color w:val="333333"/>
          <w:spacing w:val="0"/>
          <w:sz w:val="24"/>
          <w:szCs w:val="24"/>
          <w:shd w:val="clear" w:fill="FFFFFF"/>
          <w:lang w:eastAsia="zh-CN"/>
        </w:rPr>
        <w:t>、</w:t>
      </w:r>
      <w:r>
        <w:rPr>
          <w:rFonts w:hint="eastAsia" w:ascii="微软雅黑" w:hAnsi="微软雅黑" w:eastAsia="微软雅黑" w:cs="微软雅黑"/>
          <w:b w:val="0"/>
          <w:i w:val="0"/>
          <w:caps w:val="0"/>
          <w:color w:val="333333"/>
          <w:spacing w:val="0"/>
          <w:sz w:val="24"/>
          <w:szCs w:val="24"/>
          <w:shd w:val="clear" w:fill="FFFFFF"/>
        </w:rPr>
        <w:t>关于政府采购支出说明</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rPr>
      </w:pPr>
      <w:r>
        <w:rPr>
          <w:rFonts w:hint="eastAsia" w:ascii="微软雅黑" w:hAnsi="微软雅黑" w:eastAsia="微软雅黑" w:cs="微软雅黑"/>
          <w:b w:val="0"/>
          <w:i w:val="0"/>
          <w:caps w:val="0"/>
          <w:color w:val="333333"/>
          <w:spacing w:val="0"/>
          <w:sz w:val="24"/>
          <w:szCs w:val="24"/>
          <w:shd w:val="clear" w:fill="FFFFFF"/>
        </w:rPr>
        <w:t>五</w:t>
      </w:r>
      <w:r>
        <w:rPr>
          <w:rFonts w:hint="eastAsia" w:ascii="微软雅黑" w:hAnsi="微软雅黑" w:eastAsia="微软雅黑" w:cs="微软雅黑"/>
          <w:b w:val="0"/>
          <w:i w:val="0"/>
          <w:caps w:val="0"/>
          <w:color w:val="333333"/>
          <w:spacing w:val="0"/>
          <w:sz w:val="24"/>
          <w:szCs w:val="24"/>
          <w:shd w:val="clear" w:fill="FFFFFF"/>
          <w:lang w:eastAsia="zh-CN"/>
        </w:rPr>
        <w:t>、</w:t>
      </w:r>
      <w:r>
        <w:rPr>
          <w:rFonts w:hint="eastAsia" w:ascii="微软雅黑" w:hAnsi="微软雅黑" w:eastAsia="微软雅黑" w:cs="微软雅黑"/>
          <w:b w:val="0"/>
          <w:i w:val="0"/>
          <w:caps w:val="0"/>
          <w:color w:val="333333"/>
          <w:spacing w:val="0"/>
          <w:sz w:val="24"/>
          <w:szCs w:val="24"/>
          <w:shd w:val="clear" w:fill="FFFFFF"/>
        </w:rPr>
        <w:t>关于国有资产占用情况说明</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第四部分：名词解释 </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r>
        <w:rPr>
          <w:rStyle w:val="7"/>
          <w:rFonts w:hint="eastAsia" w:ascii="微软雅黑" w:hAnsi="微软雅黑" w:eastAsia="微软雅黑" w:cs="微软雅黑"/>
          <w:i w:val="0"/>
          <w:caps w:val="0"/>
          <w:color w:val="333333"/>
          <w:spacing w:val="0"/>
          <w:sz w:val="24"/>
          <w:szCs w:val="24"/>
          <w:bdr w:val="none" w:color="auto" w:sz="0" w:space="0"/>
          <w:shd w:val="clear" w:fill="FFFFFF"/>
        </w:rPr>
        <w:t>2017年部门决算</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Style w:val="7"/>
          <w:rFonts w:hint="eastAsia" w:ascii="微软雅黑" w:hAnsi="微软雅黑" w:eastAsia="微软雅黑" w:cs="微软雅黑"/>
          <w:i w:val="0"/>
          <w:caps w:val="0"/>
          <w:color w:val="333333"/>
          <w:spacing w:val="0"/>
          <w:sz w:val="24"/>
          <w:szCs w:val="24"/>
          <w:bdr w:val="none" w:color="auto" w:sz="0" w:space="0"/>
          <w:shd w:val="clear" w:fill="FFFFFF"/>
          <w:lang w:eastAsia="zh-CN"/>
        </w:rPr>
        <w:t>第一部分</w:t>
      </w:r>
      <w:r>
        <w:rPr>
          <w:rStyle w:val="7"/>
          <w:rFonts w:hint="eastAsia" w:ascii="微软雅黑" w:hAnsi="微软雅黑" w:eastAsia="微软雅黑" w:cs="微软雅黑"/>
          <w:i w:val="0"/>
          <w:caps w:val="0"/>
          <w:color w:val="333333"/>
          <w:spacing w:val="0"/>
          <w:sz w:val="24"/>
          <w:szCs w:val="24"/>
          <w:bdr w:val="none" w:color="auto" w:sz="0" w:space="0"/>
          <w:shd w:val="clear" w:fill="FFFFFF"/>
          <w:lang w:val="en-US" w:eastAsia="zh-CN"/>
        </w:rPr>
        <w:t xml:space="preserve"> </w:t>
      </w:r>
      <w:r>
        <w:rPr>
          <w:rStyle w:val="7"/>
          <w:rFonts w:hint="eastAsia" w:ascii="微软雅黑" w:hAnsi="微软雅黑" w:eastAsia="微软雅黑" w:cs="微软雅黑"/>
          <w:i w:val="0"/>
          <w:caps w:val="0"/>
          <w:color w:val="333333"/>
          <w:spacing w:val="0"/>
          <w:sz w:val="24"/>
          <w:szCs w:val="24"/>
          <w:bdr w:val="none" w:color="auto" w:sz="0" w:space="0"/>
          <w:shd w:val="clear" w:fill="FFFFFF"/>
        </w:rPr>
        <w:t>部门概况</w:t>
      </w:r>
    </w:p>
    <w:p>
      <w:pPr>
        <w:widowControl/>
        <w:shd w:val="clear" w:color="auto" w:fill="FFFFFF"/>
        <w:snapToGrid w:val="0"/>
        <w:spacing w:line="560" w:lineRule="atLeast"/>
        <w:ind w:firstLine="562"/>
        <w:jc w:val="left"/>
        <w:rPr>
          <w:rFonts w:ascii="宋体" w:hAnsi="宋体" w:cs="宋体"/>
          <w:b/>
          <w:bCs/>
          <w:color w:val="333333"/>
          <w:kern w:val="0"/>
          <w:sz w:val="28"/>
          <w:szCs w:val="28"/>
        </w:rPr>
      </w:pPr>
      <w:r>
        <w:rPr>
          <w:rFonts w:hint="eastAsia" w:ascii="宋体" w:hAnsi="宋体" w:cs="宋体"/>
          <w:color w:val="333333"/>
          <w:kern w:val="0"/>
          <w:sz w:val="24"/>
        </w:rPr>
        <w:t>　</w:t>
      </w:r>
      <w:r>
        <w:rPr>
          <w:rFonts w:hint="eastAsia" w:ascii="宋体" w:hAnsi="宋体" w:cs="宋体"/>
          <w:color w:val="333333"/>
          <w:kern w:val="0"/>
          <w:sz w:val="28"/>
          <w:szCs w:val="28"/>
        </w:rPr>
        <w:t>（</w:t>
      </w:r>
      <w:r>
        <w:rPr>
          <w:rFonts w:hint="eastAsia" w:ascii="宋体" w:hAnsi="宋体"/>
          <w:sz w:val="28"/>
          <w:szCs w:val="28"/>
        </w:rPr>
        <w:t>一）主要职责</w:t>
      </w:r>
    </w:p>
    <w:p>
      <w:pPr>
        <w:spacing w:line="620" w:lineRule="exact"/>
        <w:ind w:firstLine="560" w:firstLineChars="200"/>
        <w:rPr>
          <w:rFonts w:hint="eastAsia" w:ascii="宋体" w:hAnsi="宋体" w:cs="宋体"/>
          <w:kern w:val="0"/>
          <w:sz w:val="28"/>
          <w:szCs w:val="28"/>
        </w:rPr>
      </w:pPr>
      <w:r>
        <w:rPr>
          <w:rFonts w:hint="eastAsia" w:ascii="宋体" w:hAnsi="宋体" w:cs="宋体"/>
          <w:kern w:val="0"/>
          <w:sz w:val="28"/>
          <w:szCs w:val="28"/>
        </w:rPr>
        <w:t>负责区委的日常文书处理和日常事务工作；协助区委领导组织起草或审核以区委、区委办公室名义发布的文件，承办区委规范性文件的备案工作，受理区委各部门规范性文件的备案审查工作；根据上级精神、领导意图和区委的中心工作，草拟工作计划、总结报告和汇报材料，负责组织或参与、配合有关部门起草和准备区委领导讲话稿或提纲，负责做好信息的收集、编写、上报、反馈等工作，做好阶段性和突击性的调查研究工作，为区委决策提供有参考价值的建议；负责区委各种会议的筹备、组织工作，协助区委领导做好实施各项决定的组织和协调督办工作；组织、协调区委有关部门的工作，对有争议的问题提出处理意见，报区委领导决定；督促、检查、指导区委工作范围内的人大代表建议、意见和政协委员提案答复工作，协调处理过程中出现的问题；</w:t>
      </w:r>
    </w:p>
    <w:p>
      <w:pPr>
        <w:spacing w:line="620" w:lineRule="exact"/>
        <w:rPr>
          <w:rFonts w:hint="eastAsia" w:ascii="宋体" w:hAnsi="宋体" w:cs="宋体"/>
          <w:kern w:val="0"/>
          <w:sz w:val="28"/>
          <w:szCs w:val="28"/>
        </w:rPr>
      </w:pPr>
      <w:r>
        <w:rPr>
          <w:rFonts w:hint="eastAsia" w:ascii="宋体" w:hAnsi="宋体" w:cs="宋体"/>
          <w:kern w:val="0"/>
          <w:sz w:val="28"/>
          <w:szCs w:val="28"/>
        </w:rPr>
        <w:t>负责上级党委文件、电报、信函的收发、登记、分发、传阅、催办与立卷保管的归档和销退，转办或答复区属各单位的来信来访，交办、转办、督办群众和基层单位反映的有关问题；指导全区保密工作，管理区机关各类档案，组织、指导区直单位开展保密工作和档案管理规范化工作，并负责实施检查；完成上级交办的其他工作任务。</w:t>
      </w:r>
    </w:p>
    <w:p>
      <w:pPr>
        <w:wordWrap w:val="0"/>
        <w:spacing w:line="600" w:lineRule="atLeast"/>
        <w:ind w:firstLine="420" w:firstLineChars="150"/>
        <w:rPr>
          <w:rFonts w:ascii="宋体" w:hAnsi="宋体" w:cs="宋体"/>
          <w:color w:val="333333"/>
          <w:kern w:val="0"/>
          <w:sz w:val="28"/>
          <w:szCs w:val="28"/>
        </w:rPr>
      </w:pPr>
      <w:r>
        <w:rPr>
          <w:rFonts w:ascii="宋体" w:hAnsi="宋体" w:cs="Tahoma"/>
          <w:color w:val="333333"/>
          <w:kern w:val="0"/>
          <w:sz w:val="28"/>
          <w:szCs w:val="28"/>
        </w:rPr>
        <w:t>及时收集区委开展工作所需的各类信息，参与区委工作性调研，处理区委文件、资料，及时签收、登记、分发、送阅、督办、催办。负责区委全委会议、区委常委会议、书记办公会议及区委交办的其他会议的组织准备工作。对区委部署的工作执行情况以及区委领导和上级机关交办的事项进行抄告、催办、督办，负责全区党委办公室系统业务指导和培训等工作。根据区委领导要求，做好本区各级机关单位和部门的协调工作</w:t>
      </w:r>
      <w:r>
        <w:rPr>
          <w:rFonts w:hint="eastAsia" w:ascii="宋体" w:hAnsi="宋体" w:cs="Tahoma"/>
          <w:color w:val="333333"/>
          <w:kern w:val="0"/>
          <w:sz w:val="28"/>
          <w:szCs w:val="28"/>
        </w:rPr>
        <w:t>等。</w:t>
      </w:r>
    </w:p>
    <w:p>
      <w:pPr>
        <w:widowControl/>
        <w:wordWrap w:val="0"/>
        <w:spacing w:line="600" w:lineRule="atLeast"/>
        <w:ind w:firstLine="640"/>
        <w:jc w:val="left"/>
        <w:rPr>
          <w:rFonts w:hint="eastAsia" w:ascii="宋体" w:hAnsi="宋体" w:cs="宋体"/>
          <w:color w:val="333333"/>
          <w:kern w:val="0"/>
          <w:sz w:val="28"/>
          <w:szCs w:val="28"/>
        </w:rPr>
      </w:pPr>
      <w:r>
        <w:rPr>
          <w:rFonts w:hint="eastAsia" w:ascii="宋体" w:hAnsi="宋体"/>
          <w:sz w:val="28"/>
          <w:szCs w:val="28"/>
        </w:rPr>
        <w:t>（二）机构设置：</w:t>
      </w:r>
      <w:r>
        <w:rPr>
          <w:rFonts w:hint="eastAsia" w:ascii="宋体" w:hAnsi="宋体" w:cs="Tahoma"/>
          <w:color w:val="333333"/>
          <w:kern w:val="0"/>
          <w:sz w:val="28"/>
          <w:szCs w:val="28"/>
        </w:rPr>
        <w:t>档案局、政研督办室、主体办、保密办。</w:t>
      </w:r>
    </w:p>
    <w:p>
      <w:pPr>
        <w:autoSpaceDE w:val="0"/>
        <w:spacing w:line="520" w:lineRule="exact"/>
        <w:ind w:firstLine="640" w:firstLineChars="200"/>
        <w:rPr>
          <w:rFonts w:hint="eastAsia" w:ascii="仿宋" w:hAnsi="仿宋" w:eastAsia="仿宋" w:cs="仿宋"/>
          <w:sz w:val="32"/>
          <w:szCs w:val="32"/>
        </w:rPr>
      </w:pPr>
    </w:p>
    <w:p>
      <w:pPr>
        <w:widowControl/>
        <w:shd w:val="clear" w:color="auto" w:fill="FFFFFF"/>
        <w:spacing w:line="520" w:lineRule="exact"/>
        <w:ind w:firstLine="640" w:firstLineChars="200"/>
        <w:jc w:val="left"/>
        <w:rPr>
          <w:rFonts w:hint="eastAsia" w:ascii="仿宋_GB2312" w:hAnsi="宋体" w:eastAsia="仿宋_GB2312" w:cs="宋体"/>
          <w:color w:val="333333"/>
          <w:kern w:val="0"/>
          <w:sz w:val="32"/>
          <w:szCs w:val="32"/>
        </w:rPr>
      </w:pPr>
    </w:p>
    <w:p>
      <w:pPr>
        <w:widowControl/>
        <w:spacing w:before="100" w:beforeAutospacing="1" w:after="100" w:afterAutospacing="1" w:line="408" w:lineRule="auto"/>
        <w:ind w:firstLine="620"/>
        <w:jc w:val="left"/>
        <w:rPr>
          <w:rFonts w:hint="eastAsia"/>
          <w:color w:val="333333"/>
          <w:sz w:val="28"/>
          <w:szCs w:val="28"/>
        </w:rPr>
      </w:pPr>
    </w:p>
    <w:p>
      <w:pPr>
        <w:widowControl/>
        <w:shd w:val="clear" w:color="auto" w:fill="FFFFFF"/>
        <w:jc w:val="left"/>
        <w:rPr>
          <w:rFonts w:hint="eastAsia" w:ascii="宋体" w:hAnsi="宋体" w:cs="宋体"/>
          <w:color w:val="333333"/>
          <w:kern w:val="0"/>
          <w:sz w:val="30"/>
          <w:szCs w:val="30"/>
        </w:rPr>
      </w:pPr>
      <w:r>
        <w:rPr>
          <w:rFonts w:hint="eastAsia" w:ascii="宋体" w:hAnsi="宋体" w:cs="宋体"/>
          <w:color w:val="333333"/>
          <w:kern w:val="0"/>
          <w:sz w:val="30"/>
          <w:szCs w:val="30"/>
        </w:rPr>
        <w:t xml:space="preserve"> </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Style w:val="7"/>
          <w:rFonts w:hint="eastAsia" w:ascii="微软雅黑" w:hAnsi="微软雅黑" w:eastAsia="微软雅黑" w:cs="微软雅黑"/>
          <w:i w:val="0"/>
          <w:caps w:val="0"/>
          <w:color w:val="333333"/>
          <w:spacing w:val="0"/>
          <w:sz w:val="24"/>
          <w:szCs w:val="24"/>
          <w:bdr w:val="none" w:color="auto" w:sz="0" w:space="0"/>
          <w:shd w:val="clear" w:fill="FFFFFF"/>
        </w:rPr>
      </w:pPr>
      <w:r>
        <w:rPr>
          <w:rStyle w:val="7"/>
          <w:rFonts w:hint="eastAsia" w:ascii="微软雅黑" w:hAnsi="微软雅黑" w:eastAsia="微软雅黑" w:cs="微软雅黑"/>
          <w:i w:val="0"/>
          <w:caps w:val="0"/>
          <w:color w:val="333333"/>
          <w:spacing w:val="0"/>
          <w:sz w:val="24"/>
          <w:szCs w:val="24"/>
          <w:bdr w:val="none" w:color="auto" w:sz="0" w:space="0"/>
          <w:shd w:val="clear" w:fill="FFFFFF"/>
          <w:lang w:eastAsia="zh-CN"/>
        </w:rPr>
        <w:t>第二部分</w:t>
      </w:r>
      <w:r>
        <w:rPr>
          <w:rStyle w:val="7"/>
          <w:rFonts w:hint="eastAsia" w:ascii="微软雅黑" w:hAnsi="微软雅黑" w:eastAsia="微软雅黑" w:cs="微软雅黑"/>
          <w:i w:val="0"/>
          <w:caps w:val="0"/>
          <w:color w:val="333333"/>
          <w:spacing w:val="0"/>
          <w:sz w:val="24"/>
          <w:szCs w:val="24"/>
          <w:bdr w:val="none" w:color="auto" w:sz="0" w:space="0"/>
          <w:shd w:val="clear" w:fill="FFFFFF"/>
          <w:lang w:val="en-US" w:eastAsia="zh-CN"/>
        </w:rPr>
        <w:t xml:space="preserve"> </w:t>
      </w:r>
      <w:r>
        <w:rPr>
          <w:rStyle w:val="7"/>
          <w:rFonts w:hint="eastAsia" w:ascii="微软雅黑" w:hAnsi="微软雅黑" w:eastAsia="微软雅黑" w:cs="微软雅黑"/>
          <w:i w:val="0"/>
          <w:caps w:val="0"/>
          <w:color w:val="333333"/>
          <w:spacing w:val="0"/>
          <w:sz w:val="24"/>
          <w:szCs w:val="24"/>
          <w:bdr w:val="none" w:color="auto" w:sz="0" w:space="0"/>
          <w:shd w:val="clear" w:fill="FFFFFF"/>
        </w:rPr>
        <w:t>2017年部门决算表</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rPr>
          <w:color w:val="333333"/>
          <w:sz w:val="24"/>
          <w:szCs w:val="24"/>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rPr>
          <w:color w:val="333333"/>
          <w:sz w:val="24"/>
          <w:szCs w:val="24"/>
        </w:rPr>
        <w:sectPr>
          <w:pgSz w:w="16838" w:h="11906" w:orient="landscape"/>
          <w:pgMar w:top="1800" w:right="1440" w:bottom="1800" w:left="1440" w:header="851" w:footer="992" w:gutter="0"/>
          <w:cols w:space="425" w:num="1"/>
          <w:docGrid w:type="lines" w:linePitch="312" w:charSpace="0"/>
        </w:sectPr>
      </w:pPr>
      <w:r>
        <w:drawing>
          <wp:inline distT="0" distB="0" distL="114300" distR="114300">
            <wp:extent cx="5946140" cy="5272405"/>
            <wp:effectExtent l="0" t="0" r="16510" b="4445"/>
            <wp:docPr id="237" name="图片 2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7" name="图片 237"/>
                    <pic:cNvPicPr>
                      <a:picLocks noChangeAspect="1"/>
                    </pic:cNvPicPr>
                  </pic:nvPicPr>
                  <pic:blipFill>
                    <a:blip r:embed="rId4"/>
                    <a:stretch>
                      <a:fillRect/>
                    </a:stretch>
                  </pic:blipFill>
                  <pic:spPr>
                    <a:xfrm>
                      <a:off x="0" y="0"/>
                      <a:ext cx="5946140" cy="5272405"/>
                    </a:xfrm>
                    <a:prstGeom prst="rect">
                      <a:avLst/>
                    </a:prstGeom>
                    <a:noFill/>
                    <a:ln w="9525">
                      <a:noFill/>
                    </a:ln>
                  </pic:spPr>
                </pic:pic>
              </a:graphicData>
            </a:graphic>
          </wp:inline>
        </w:drawing>
      </w:r>
      <w:r>
        <w:drawing>
          <wp:inline distT="0" distB="0" distL="114300" distR="114300">
            <wp:extent cx="8858885" cy="2450465"/>
            <wp:effectExtent l="0" t="0" r="18415" b="6985"/>
            <wp:docPr id="238" name="图片 2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8" name="图片 238"/>
                    <pic:cNvPicPr>
                      <a:picLocks noChangeAspect="1"/>
                    </pic:cNvPicPr>
                  </pic:nvPicPr>
                  <pic:blipFill>
                    <a:blip r:embed="rId5"/>
                    <a:stretch>
                      <a:fillRect/>
                    </a:stretch>
                  </pic:blipFill>
                  <pic:spPr>
                    <a:xfrm>
                      <a:off x="0" y="0"/>
                      <a:ext cx="8858885" cy="2450465"/>
                    </a:xfrm>
                    <a:prstGeom prst="rect">
                      <a:avLst/>
                    </a:prstGeom>
                    <a:noFill/>
                    <a:ln w="9525">
                      <a:noFill/>
                    </a:ln>
                  </pic:spPr>
                </pic:pic>
              </a:graphicData>
            </a:graphic>
          </wp:inline>
        </w:drawing>
      </w:r>
      <w:r>
        <w:drawing>
          <wp:inline distT="0" distB="0" distL="114300" distR="114300">
            <wp:extent cx="8856345" cy="2682875"/>
            <wp:effectExtent l="0" t="0" r="1905" b="3175"/>
            <wp:docPr id="239" name="图片 2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9" name="图片 239"/>
                    <pic:cNvPicPr>
                      <a:picLocks noChangeAspect="1"/>
                    </pic:cNvPicPr>
                  </pic:nvPicPr>
                  <pic:blipFill>
                    <a:blip r:embed="rId6"/>
                    <a:stretch>
                      <a:fillRect/>
                    </a:stretch>
                  </pic:blipFill>
                  <pic:spPr>
                    <a:xfrm>
                      <a:off x="0" y="0"/>
                      <a:ext cx="8856345" cy="2682875"/>
                    </a:xfrm>
                    <a:prstGeom prst="rect">
                      <a:avLst/>
                    </a:prstGeom>
                    <a:noFill/>
                    <a:ln w="9525">
                      <a:noFill/>
                    </a:ln>
                  </pic:spPr>
                </pic:pic>
              </a:graphicData>
            </a:graphic>
          </wp:inline>
        </w:drawing>
      </w:r>
      <w:r>
        <w:drawing>
          <wp:inline distT="0" distB="0" distL="114300" distR="114300">
            <wp:extent cx="6391275" cy="5162550"/>
            <wp:effectExtent l="0" t="0" r="9525" b="0"/>
            <wp:docPr id="240" name="图片 2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0" name="图片 240"/>
                    <pic:cNvPicPr>
                      <a:picLocks noChangeAspect="1"/>
                    </pic:cNvPicPr>
                  </pic:nvPicPr>
                  <pic:blipFill>
                    <a:blip r:embed="rId7"/>
                    <a:stretch>
                      <a:fillRect/>
                    </a:stretch>
                  </pic:blipFill>
                  <pic:spPr>
                    <a:xfrm>
                      <a:off x="0" y="0"/>
                      <a:ext cx="6391275" cy="5162550"/>
                    </a:xfrm>
                    <a:prstGeom prst="rect">
                      <a:avLst/>
                    </a:prstGeom>
                    <a:noFill/>
                    <a:ln w="9525">
                      <a:noFill/>
                    </a:ln>
                  </pic:spPr>
                </pic:pic>
              </a:graphicData>
            </a:graphic>
          </wp:inline>
        </w:drawing>
      </w:r>
      <w:r>
        <w:drawing>
          <wp:inline distT="0" distB="0" distL="114300" distR="114300">
            <wp:extent cx="6048375" cy="3200400"/>
            <wp:effectExtent l="0" t="0" r="9525" b="0"/>
            <wp:docPr id="241" name="图片 2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1" name="图片 241"/>
                    <pic:cNvPicPr>
                      <a:picLocks noChangeAspect="1"/>
                    </pic:cNvPicPr>
                  </pic:nvPicPr>
                  <pic:blipFill>
                    <a:blip r:embed="rId8"/>
                    <a:stretch>
                      <a:fillRect/>
                    </a:stretch>
                  </pic:blipFill>
                  <pic:spPr>
                    <a:xfrm>
                      <a:off x="0" y="0"/>
                      <a:ext cx="6048375" cy="3200400"/>
                    </a:xfrm>
                    <a:prstGeom prst="rect">
                      <a:avLst/>
                    </a:prstGeom>
                    <a:noFill/>
                    <a:ln w="9525">
                      <a:noFill/>
                    </a:ln>
                  </pic:spPr>
                </pic:pic>
              </a:graphicData>
            </a:graphic>
          </wp:inline>
        </w:drawing>
      </w:r>
      <w:r>
        <w:drawing>
          <wp:inline distT="0" distB="0" distL="114300" distR="114300">
            <wp:extent cx="8639175" cy="5038725"/>
            <wp:effectExtent l="0" t="0" r="9525" b="9525"/>
            <wp:docPr id="242" name="图片 2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2" name="图片 242"/>
                    <pic:cNvPicPr>
                      <a:picLocks noChangeAspect="1"/>
                    </pic:cNvPicPr>
                  </pic:nvPicPr>
                  <pic:blipFill>
                    <a:blip r:embed="rId9"/>
                    <a:stretch>
                      <a:fillRect/>
                    </a:stretch>
                  </pic:blipFill>
                  <pic:spPr>
                    <a:xfrm>
                      <a:off x="0" y="0"/>
                      <a:ext cx="8639175" cy="5038725"/>
                    </a:xfrm>
                    <a:prstGeom prst="rect">
                      <a:avLst/>
                    </a:prstGeom>
                    <a:noFill/>
                    <a:ln w="9525">
                      <a:noFill/>
                    </a:ln>
                  </pic:spPr>
                </pic:pic>
              </a:graphicData>
            </a:graphic>
          </wp:inline>
        </w:drawing>
      </w:r>
      <w:r>
        <w:drawing>
          <wp:inline distT="0" distB="0" distL="114300" distR="114300">
            <wp:extent cx="8856980" cy="1687195"/>
            <wp:effectExtent l="0" t="0" r="1270" b="8255"/>
            <wp:docPr id="243" name="图片 2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3" name="图片 243"/>
                    <pic:cNvPicPr>
                      <a:picLocks noChangeAspect="1"/>
                    </pic:cNvPicPr>
                  </pic:nvPicPr>
                  <pic:blipFill>
                    <a:blip r:embed="rId10"/>
                    <a:stretch>
                      <a:fillRect/>
                    </a:stretch>
                  </pic:blipFill>
                  <pic:spPr>
                    <a:xfrm>
                      <a:off x="0" y="0"/>
                      <a:ext cx="8856980" cy="1687195"/>
                    </a:xfrm>
                    <a:prstGeom prst="rect">
                      <a:avLst/>
                    </a:prstGeom>
                    <a:noFill/>
                    <a:ln w="9525">
                      <a:noFill/>
                    </a:ln>
                  </pic:spPr>
                </pic:pic>
              </a:graphicData>
            </a:graphic>
          </wp:inline>
        </w:drawing>
      </w:r>
      <w:r>
        <w:drawing>
          <wp:inline distT="0" distB="0" distL="114300" distR="114300">
            <wp:extent cx="8857615" cy="2229485"/>
            <wp:effectExtent l="0" t="0" r="635" b="18415"/>
            <wp:docPr id="244" name="图片 2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4" name="图片 244"/>
                    <pic:cNvPicPr>
                      <a:picLocks noChangeAspect="1"/>
                    </pic:cNvPicPr>
                  </pic:nvPicPr>
                  <pic:blipFill>
                    <a:blip r:embed="rId11"/>
                    <a:stretch>
                      <a:fillRect/>
                    </a:stretch>
                  </pic:blipFill>
                  <pic:spPr>
                    <a:xfrm>
                      <a:off x="0" y="0"/>
                      <a:ext cx="8857615" cy="2229485"/>
                    </a:xfrm>
                    <a:prstGeom prst="rect">
                      <a:avLst/>
                    </a:prstGeom>
                    <a:noFill/>
                    <a:ln w="9525">
                      <a:noFill/>
                    </a:ln>
                  </pic:spPr>
                </pic:pic>
              </a:graphicData>
            </a:graphic>
          </wp:inline>
        </w:drawing>
      </w:r>
      <w:bookmarkStart w:id="0" w:name="_GoBack"/>
      <w:bookmarkEnd w:id="0"/>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rPr>
          <w:color w:val="333333"/>
          <w:sz w:val="24"/>
          <w:szCs w:val="24"/>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Style w:val="7"/>
          <w:rFonts w:hint="eastAsia" w:ascii="微软雅黑" w:hAnsi="微软雅黑" w:eastAsia="微软雅黑" w:cs="微软雅黑"/>
          <w:i w:val="0"/>
          <w:caps w:val="0"/>
          <w:color w:val="333333"/>
          <w:spacing w:val="0"/>
          <w:sz w:val="24"/>
          <w:szCs w:val="24"/>
          <w:bdr w:val="none" w:color="auto" w:sz="0" w:space="0"/>
          <w:shd w:val="clear" w:fill="FFFFFF"/>
          <w:lang w:eastAsia="zh-CN"/>
        </w:rPr>
        <w:t>第三部分</w:t>
      </w:r>
      <w:r>
        <w:rPr>
          <w:rStyle w:val="7"/>
          <w:rFonts w:hint="eastAsia" w:ascii="微软雅黑" w:hAnsi="微软雅黑" w:eastAsia="微软雅黑" w:cs="微软雅黑"/>
          <w:i w:val="0"/>
          <w:caps w:val="0"/>
          <w:color w:val="333333"/>
          <w:spacing w:val="0"/>
          <w:sz w:val="24"/>
          <w:szCs w:val="24"/>
          <w:bdr w:val="none" w:color="auto" w:sz="0" w:space="0"/>
          <w:shd w:val="clear" w:fill="FFFFFF"/>
          <w:lang w:val="en-US" w:eastAsia="zh-CN"/>
        </w:rPr>
        <w:t xml:space="preserve"> </w:t>
      </w:r>
      <w:r>
        <w:rPr>
          <w:rStyle w:val="7"/>
          <w:rFonts w:hint="eastAsia" w:ascii="微软雅黑" w:hAnsi="微软雅黑" w:eastAsia="微软雅黑" w:cs="微软雅黑"/>
          <w:i w:val="0"/>
          <w:caps w:val="0"/>
          <w:color w:val="333333"/>
          <w:spacing w:val="0"/>
          <w:sz w:val="24"/>
          <w:szCs w:val="24"/>
          <w:bdr w:val="none" w:color="auto" w:sz="0" w:space="0"/>
          <w:shd w:val="clear" w:fill="FFFFFF"/>
        </w:rPr>
        <w:t>2017年部门决算情况说明</w:t>
      </w:r>
    </w:p>
    <w:p>
      <w:pPr>
        <w:widowControl/>
        <w:shd w:val="clear" w:color="auto" w:fill="FFFFFF"/>
        <w:ind w:firstLine="480"/>
        <w:jc w:val="left"/>
        <w:rPr>
          <w:rFonts w:hint="eastAsia" w:ascii="宋体" w:hAnsi="宋体"/>
          <w:sz w:val="28"/>
          <w:szCs w:val="28"/>
        </w:rPr>
      </w:pPr>
      <w:r>
        <w:rPr>
          <w:rFonts w:hint="eastAsia" w:ascii="宋体" w:hAnsi="宋体"/>
          <w:sz w:val="28"/>
          <w:szCs w:val="28"/>
        </w:rPr>
        <w:t>（一）预算执行情况分析</w:t>
      </w:r>
    </w:p>
    <w:p>
      <w:pPr>
        <w:widowControl/>
        <w:shd w:val="clear" w:color="auto" w:fill="FFFFFF"/>
        <w:snapToGrid w:val="0"/>
        <w:spacing w:line="560" w:lineRule="atLeast"/>
        <w:ind w:firstLine="700" w:firstLineChars="250"/>
        <w:jc w:val="left"/>
        <w:rPr>
          <w:rFonts w:hint="eastAsia" w:ascii="宋体" w:hAnsi="宋体" w:cs="宋体"/>
          <w:color w:val="333333"/>
          <w:kern w:val="0"/>
          <w:sz w:val="28"/>
          <w:szCs w:val="28"/>
        </w:rPr>
      </w:pPr>
      <w:r>
        <w:rPr>
          <w:rFonts w:hint="eastAsia" w:ascii="宋体" w:hAnsi="宋体" w:cs="宋体"/>
          <w:color w:val="333333"/>
          <w:kern w:val="0"/>
          <w:sz w:val="28"/>
          <w:szCs w:val="28"/>
        </w:rPr>
        <w:t>1、收入分析：</w:t>
      </w:r>
    </w:p>
    <w:p>
      <w:pPr>
        <w:widowControl/>
        <w:shd w:val="clear" w:color="auto" w:fill="FFFFFF"/>
        <w:snapToGrid w:val="0"/>
        <w:spacing w:line="560" w:lineRule="atLeast"/>
        <w:ind w:firstLine="560" w:firstLineChars="200"/>
        <w:jc w:val="left"/>
        <w:rPr>
          <w:rFonts w:hint="eastAsia" w:ascii="宋体" w:hAnsi="宋体" w:cs="宋体"/>
          <w:color w:val="333333"/>
          <w:kern w:val="0"/>
          <w:sz w:val="28"/>
          <w:szCs w:val="28"/>
        </w:rPr>
      </w:pPr>
      <w:r>
        <w:rPr>
          <w:rFonts w:hint="eastAsia" w:ascii="宋体" w:hAnsi="宋体" w:cs="宋体"/>
          <w:color w:val="333333"/>
          <w:kern w:val="0"/>
          <w:sz w:val="28"/>
          <w:szCs w:val="28"/>
        </w:rPr>
        <w:t>2017年总收入354.01万元。比去年的250.30万元增加103.71万元，</w:t>
      </w:r>
    </w:p>
    <w:p>
      <w:pPr>
        <w:widowControl/>
        <w:shd w:val="clear" w:color="auto" w:fill="FFFFFF"/>
        <w:snapToGrid w:val="0"/>
        <w:spacing w:line="560" w:lineRule="atLeast"/>
        <w:ind w:firstLine="560" w:firstLineChars="200"/>
        <w:jc w:val="left"/>
        <w:rPr>
          <w:rFonts w:hint="eastAsia" w:ascii="宋体" w:hAnsi="宋体" w:cs="宋体"/>
          <w:color w:val="333333"/>
          <w:kern w:val="0"/>
          <w:sz w:val="28"/>
          <w:szCs w:val="28"/>
        </w:rPr>
      </w:pPr>
      <w:r>
        <w:rPr>
          <w:rFonts w:hint="eastAsia" w:ascii="宋体" w:hAnsi="宋体" w:cs="宋体"/>
          <w:color w:val="333333"/>
          <w:kern w:val="0"/>
          <w:sz w:val="28"/>
          <w:szCs w:val="28"/>
        </w:rPr>
        <w:t>其中:财政拨款347.94万元，占总收入的98.29%;</w:t>
      </w:r>
    </w:p>
    <w:p>
      <w:pPr>
        <w:widowControl/>
        <w:shd w:val="clear" w:color="auto" w:fill="FFFFFF"/>
        <w:snapToGrid w:val="0"/>
        <w:spacing w:line="560" w:lineRule="atLeast"/>
        <w:ind w:firstLine="560" w:firstLineChars="200"/>
        <w:jc w:val="left"/>
        <w:rPr>
          <w:rFonts w:hint="eastAsia" w:ascii="宋体" w:hAnsi="宋体" w:cs="宋体"/>
          <w:color w:val="333333"/>
          <w:kern w:val="0"/>
          <w:sz w:val="28"/>
          <w:szCs w:val="28"/>
        </w:rPr>
      </w:pPr>
      <w:r>
        <w:rPr>
          <w:rFonts w:hint="eastAsia" w:ascii="宋体" w:hAnsi="宋体" w:cs="宋体"/>
          <w:color w:val="333333"/>
          <w:kern w:val="0"/>
          <w:sz w:val="28"/>
          <w:szCs w:val="28"/>
        </w:rPr>
        <w:t>其他收入6.08万元占总收入1.71%</w:t>
      </w:r>
    </w:p>
    <w:p>
      <w:pPr>
        <w:widowControl/>
        <w:shd w:val="clear" w:color="auto" w:fill="FFFFFF"/>
        <w:snapToGrid w:val="0"/>
        <w:spacing w:line="560" w:lineRule="atLeast"/>
        <w:ind w:firstLine="560" w:firstLineChars="200"/>
        <w:jc w:val="left"/>
        <w:rPr>
          <w:rFonts w:hint="eastAsia" w:ascii="宋体" w:hAnsi="宋体" w:cs="宋体"/>
          <w:color w:val="333333"/>
          <w:kern w:val="0"/>
          <w:sz w:val="28"/>
          <w:szCs w:val="28"/>
        </w:rPr>
      </w:pPr>
      <w:r>
        <w:rPr>
          <w:rFonts w:hint="eastAsia" w:ascii="宋体" w:hAnsi="宋体" w:cs="宋体"/>
          <w:color w:val="333333"/>
          <w:kern w:val="0"/>
          <w:sz w:val="28"/>
          <w:szCs w:val="28"/>
        </w:rPr>
        <w:t>2、支出分析：</w:t>
      </w:r>
    </w:p>
    <w:p>
      <w:pPr>
        <w:widowControl/>
        <w:shd w:val="clear" w:color="auto" w:fill="FFFFFF"/>
        <w:snapToGrid w:val="0"/>
        <w:spacing w:line="560" w:lineRule="atLeast"/>
        <w:ind w:firstLine="560" w:firstLineChars="200"/>
        <w:jc w:val="left"/>
        <w:rPr>
          <w:rFonts w:hint="eastAsia" w:ascii="宋体" w:hAnsi="宋体" w:cs="宋体"/>
          <w:color w:val="333333"/>
          <w:kern w:val="0"/>
          <w:sz w:val="28"/>
          <w:szCs w:val="28"/>
        </w:rPr>
      </w:pPr>
      <w:r>
        <w:rPr>
          <w:rFonts w:hint="eastAsia" w:ascii="宋体" w:hAnsi="宋体" w:cs="宋体"/>
          <w:color w:val="333333"/>
          <w:kern w:val="0"/>
          <w:sz w:val="28"/>
          <w:szCs w:val="28"/>
        </w:rPr>
        <w:t>2017年总支出为353.84万元。比去年的261.03万元增加92.81万元，其中一般公共预算财政拨款支出347.94万元，具体构成如下：</w:t>
      </w:r>
    </w:p>
    <w:p>
      <w:pPr>
        <w:widowControl/>
        <w:shd w:val="clear" w:color="auto" w:fill="FFFFFF"/>
        <w:spacing w:line="360" w:lineRule="auto"/>
        <w:ind w:firstLine="560"/>
        <w:jc w:val="left"/>
        <w:rPr>
          <w:rFonts w:hint="eastAsia" w:ascii="宋体" w:hAnsi="宋体" w:cs="宋体"/>
          <w:color w:val="333333"/>
          <w:kern w:val="0"/>
          <w:sz w:val="28"/>
          <w:szCs w:val="28"/>
        </w:rPr>
      </w:pPr>
      <w:r>
        <w:rPr>
          <w:rFonts w:hint="eastAsia" w:ascii="宋体" w:hAnsi="宋体" w:cs="宋体"/>
          <w:color w:val="333333"/>
          <w:kern w:val="0"/>
          <w:sz w:val="28"/>
          <w:szCs w:val="28"/>
        </w:rPr>
        <w:t>（1）工资福利支出216.95万元。</w:t>
      </w:r>
    </w:p>
    <w:p>
      <w:pPr>
        <w:widowControl/>
        <w:shd w:val="clear" w:color="auto" w:fill="FFFFFF"/>
        <w:spacing w:line="360" w:lineRule="auto"/>
        <w:ind w:firstLine="560" w:firstLineChars="200"/>
        <w:jc w:val="left"/>
        <w:rPr>
          <w:rFonts w:hint="eastAsia" w:ascii="宋体" w:hAnsi="宋体" w:cs="宋体"/>
          <w:color w:val="333333"/>
          <w:kern w:val="0"/>
          <w:sz w:val="28"/>
          <w:szCs w:val="28"/>
        </w:rPr>
      </w:pPr>
      <w:r>
        <w:rPr>
          <w:rFonts w:hint="eastAsia" w:ascii="宋体" w:hAnsi="宋体" w:cs="宋体"/>
          <w:color w:val="333333"/>
          <w:kern w:val="0"/>
          <w:sz w:val="28"/>
          <w:szCs w:val="28"/>
        </w:rPr>
        <w:t>（2）商品和服务支出72.42万元。</w:t>
      </w:r>
    </w:p>
    <w:p>
      <w:pPr>
        <w:widowControl/>
        <w:shd w:val="clear" w:color="auto" w:fill="FFFFFF"/>
        <w:spacing w:line="360" w:lineRule="auto"/>
        <w:ind w:firstLine="420" w:firstLineChars="150"/>
        <w:jc w:val="left"/>
        <w:rPr>
          <w:rFonts w:hint="eastAsia" w:ascii="宋体" w:hAnsi="宋体" w:cs="宋体"/>
          <w:color w:val="333333"/>
          <w:kern w:val="0"/>
          <w:sz w:val="28"/>
          <w:szCs w:val="28"/>
        </w:rPr>
      </w:pPr>
      <w:r>
        <w:rPr>
          <w:rFonts w:hint="eastAsia" w:ascii="宋体" w:hAnsi="宋体" w:cs="宋体"/>
          <w:color w:val="333333"/>
          <w:kern w:val="0"/>
          <w:sz w:val="28"/>
          <w:szCs w:val="28"/>
        </w:rPr>
        <w:t>（3）对个人和家庭的补助支出19.05万元。</w:t>
      </w:r>
    </w:p>
    <w:p>
      <w:pPr>
        <w:widowControl/>
        <w:shd w:val="clear" w:color="auto" w:fill="FFFFFF"/>
        <w:spacing w:line="360" w:lineRule="auto"/>
        <w:ind w:firstLine="420" w:firstLineChars="150"/>
        <w:jc w:val="left"/>
        <w:rPr>
          <w:rFonts w:hint="eastAsia" w:ascii="宋体" w:hAnsi="宋体" w:cs="宋体"/>
          <w:color w:val="333333"/>
          <w:kern w:val="0"/>
          <w:sz w:val="28"/>
          <w:szCs w:val="28"/>
        </w:rPr>
      </w:pPr>
      <w:r>
        <w:rPr>
          <w:rFonts w:hint="eastAsia" w:ascii="宋体" w:hAnsi="宋体" w:cs="宋体"/>
          <w:color w:val="333333"/>
          <w:kern w:val="0"/>
          <w:sz w:val="28"/>
          <w:szCs w:val="28"/>
        </w:rPr>
        <w:t>（4）其他资本性支出39.52万元。</w:t>
      </w:r>
    </w:p>
    <w:p>
      <w:pPr>
        <w:widowControl/>
        <w:shd w:val="clear" w:color="auto" w:fill="FFFFFF"/>
        <w:ind w:firstLine="280" w:firstLineChars="100"/>
        <w:jc w:val="left"/>
        <w:rPr>
          <w:rFonts w:hint="eastAsia" w:ascii="宋体" w:hAnsi="宋体"/>
          <w:sz w:val="28"/>
          <w:szCs w:val="28"/>
        </w:rPr>
      </w:pPr>
      <w:r>
        <w:rPr>
          <w:rFonts w:hint="eastAsia" w:ascii="宋体" w:hAnsi="宋体"/>
          <w:sz w:val="28"/>
          <w:szCs w:val="28"/>
        </w:rPr>
        <w:t>（二）关于</w:t>
      </w:r>
      <w:r>
        <w:rPr>
          <w:rFonts w:hint="eastAsia" w:ascii="宋体" w:hAnsi="宋体"/>
          <w:color w:val="333333"/>
          <w:sz w:val="28"/>
          <w:szCs w:val="28"/>
          <w:shd w:val="clear" w:color="auto" w:fill="FFFFFF"/>
        </w:rPr>
        <w:t>一般公共预算财政拨款</w:t>
      </w:r>
      <w:r>
        <w:rPr>
          <w:rFonts w:hint="eastAsia" w:ascii="宋体" w:hAnsi="宋体"/>
          <w:sz w:val="28"/>
          <w:szCs w:val="28"/>
        </w:rPr>
        <w:t>“三公”经费支出说明</w:t>
      </w:r>
    </w:p>
    <w:p>
      <w:pPr>
        <w:ind w:firstLine="480"/>
        <w:rPr>
          <w:rFonts w:hint="eastAsia" w:ascii="宋体" w:hAnsi="宋体" w:cs="仿宋"/>
          <w:color w:val="000000"/>
          <w:sz w:val="28"/>
          <w:szCs w:val="28"/>
        </w:rPr>
      </w:pPr>
      <w:r>
        <w:rPr>
          <w:rFonts w:hint="eastAsia" w:ascii="宋体" w:hAnsi="宋体" w:cs="仿宋"/>
          <w:bCs/>
          <w:color w:val="000000"/>
          <w:sz w:val="28"/>
          <w:szCs w:val="28"/>
        </w:rPr>
        <w:t>一般公共预算财政拨款支出</w:t>
      </w:r>
      <w:r>
        <w:rPr>
          <w:rFonts w:hint="eastAsia" w:ascii="宋体" w:hAnsi="宋体" w:cs="仿宋"/>
          <w:color w:val="000000"/>
          <w:sz w:val="28"/>
          <w:szCs w:val="28"/>
        </w:rPr>
        <w:t>公务用车运行维护费开支4.64万元，</w:t>
      </w:r>
      <w:r>
        <w:rPr>
          <w:rFonts w:hint="eastAsia" w:ascii="宋体" w:hAnsi="宋体" w:cs="宋体"/>
          <w:color w:val="333333"/>
          <w:kern w:val="0"/>
          <w:sz w:val="28"/>
          <w:szCs w:val="28"/>
        </w:rPr>
        <w:t>因公接待1批次9人公务招待费开支672元。</w:t>
      </w:r>
    </w:p>
    <w:p>
      <w:pPr>
        <w:widowControl/>
        <w:shd w:val="clear" w:color="auto" w:fill="FFFFFF"/>
        <w:ind w:firstLine="280" w:firstLineChars="100"/>
        <w:jc w:val="left"/>
        <w:rPr>
          <w:rFonts w:hint="eastAsia" w:ascii="宋体" w:hAnsi="宋体"/>
          <w:sz w:val="28"/>
          <w:szCs w:val="28"/>
        </w:rPr>
      </w:pPr>
      <w:r>
        <w:rPr>
          <w:rFonts w:hint="eastAsia" w:ascii="宋体" w:hAnsi="宋体"/>
          <w:sz w:val="28"/>
          <w:szCs w:val="28"/>
        </w:rPr>
        <w:t>（三）关于机关运行经费支出说明</w:t>
      </w:r>
    </w:p>
    <w:p>
      <w:pPr>
        <w:ind w:left="-2" w:leftChars="-1" w:firstLine="420" w:firstLineChars="150"/>
        <w:rPr>
          <w:rFonts w:hint="eastAsia" w:ascii="宋体" w:hAnsi="宋体"/>
          <w:sz w:val="28"/>
          <w:szCs w:val="28"/>
        </w:rPr>
      </w:pPr>
      <w:r>
        <w:rPr>
          <w:rFonts w:hint="eastAsia" w:ascii="宋体" w:hAnsi="宋体"/>
          <w:sz w:val="28"/>
          <w:szCs w:val="28"/>
        </w:rPr>
        <w:t>机关运行经费支出情况：</w:t>
      </w:r>
      <w:r>
        <w:rPr>
          <w:rFonts w:hint="eastAsia" w:ascii="宋体" w:hAnsi="宋体" w:cs="仿宋"/>
          <w:bCs/>
          <w:color w:val="000000"/>
          <w:sz w:val="28"/>
          <w:szCs w:val="28"/>
        </w:rPr>
        <w:t>本单位机关运行经费本年支出111.94万元，去年支出为72.38万元，对比增加39.56万元，主要原因为事务增加所致。</w:t>
      </w:r>
    </w:p>
    <w:p>
      <w:pPr>
        <w:pStyle w:val="9"/>
        <w:numPr>
          <w:ilvl w:val="0"/>
          <w:numId w:val="1"/>
        </w:numPr>
        <w:spacing w:line="520" w:lineRule="exact"/>
        <w:ind w:firstLineChars="200"/>
        <w:rPr>
          <w:rFonts w:hint="eastAsia" w:ascii="宋体" w:hAnsi="宋体"/>
          <w:sz w:val="28"/>
          <w:szCs w:val="28"/>
        </w:rPr>
      </w:pPr>
      <w:r>
        <w:rPr>
          <w:rFonts w:hint="eastAsia" w:ascii="宋体" w:hAnsi="宋体" w:cs="仿宋"/>
          <w:bCs/>
          <w:color w:val="000000"/>
          <w:sz w:val="28"/>
          <w:szCs w:val="28"/>
        </w:rPr>
        <w:t>本部门本年无政府采购</w:t>
      </w:r>
      <w:r>
        <w:rPr>
          <w:rFonts w:hint="eastAsia" w:ascii="宋体" w:hAnsi="宋体"/>
          <w:sz w:val="28"/>
          <w:szCs w:val="28"/>
        </w:rPr>
        <w:t>　</w:t>
      </w:r>
    </w:p>
    <w:p>
      <w:pPr>
        <w:pStyle w:val="9"/>
        <w:numPr>
          <w:ilvl w:val="0"/>
          <w:numId w:val="1"/>
        </w:numPr>
        <w:spacing w:line="520" w:lineRule="exact"/>
        <w:ind w:firstLineChars="200"/>
        <w:rPr>
          <w:rFonts w:hint="eastAsia" w:ascii="宋体" w:hAnsi="宋体"/>
          <w:sz w:val="28"/>
          <w:szCs w:val="28"/>
        </w:rPr>
      </w:pPr>
      <w:r>
        <w:rPr>
          <w:rFonts w:hint="eastAsia" w:ascii="宋体" w:hAnsi="宋体"/>
          <w:sz w:val="28"/>
          <w:szCs w:val="28"/>
          <w:lang w:eastAsia="zh-CN"/>
        </w:rPr>
        <w:t>本部门无占用国有资产占用情况</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仿宋_GB2312" w:eastAsia="仿宋_GB2312"/>
          <w:sz w:val="27"/>
          <w:szCs w:val="27"/>
        </w:rPr>
        <w:t xml:space="preserve"> </w:t>
      </w:r>
      <w:r>
        <w:rPr>
          <w:rStyle w:val="7"/>
          <w:rFonts w:hint="eastAsia" w:ascii="微软雅黑" w:hAnsi="微软雅黑" w:eastAsia="微软雅黑" w:cs="微软雅黑"/>
          <w:i w:val="0"/>
          <w:caps w:val="0"/>
          <w:color w:val="333333"/>
          <w:spacing w:val="0"/>
          <w:sz w:val="24"/>
          <w:szCs w:val="24"/>
          <w:bdr w:val="none" w:color="auto" w:sz="0" w:space="0"/>
          <w:shd w:val="clear" w:fill="FFFFFF"/>
        </w:rPr>
        <w:t>第四部分</w:t>
      </w:r>
      <w:r>
        <w:rPr>
          <w:rStyle w:val="7"/>
          <w:rFonts w:hint="eastAsia" w:ascii="微软雅黑" w:hAnsi="微软雅黑" w:eastAsia="微软雅黑" w:cs="微软雅黑"/>
          <w:i w:val="0"/>
          <w:caps w:val="0"/>
          <w:color w:val="333333"/>
          <w:spacing w:val="0"/>
          <w:sz w:val="24"/>
          <w:szCs w:val="24"/>
          <w:bdr w:val="none" w:color="auto" w:sz="0" w:space="0"/>
          <w:shd w:val="clear" w:fill="FFFFFF"/>
          <w:lang w:val="en-US" w:eastAsia="zh-CN"/>
        </w:rPr>
        <w:t xml:space="preserve"> </w:t>
      </w:r>
      <w:r>
        <w:rPr>
          <w:rStyle w:val="7"/>
          <w:rFonts w:hint="eastAsia" w:ascii="微软雅黑" w:hAnsi="微软雅黑" w:eastAsia="微软雅黑" w:cs="微软雅黑"/>
          <w:i w:val="0"/>
          <w:caps w:val="0"/>
          <w:color w:val="333333"/>
          <w:spacing w:val="0"/>
          <w:sz w:val="24"/>
          <w:szCs w:val="24"/>
          <w:bdr w:val="none" w:color="auto" w:sz="0" w:space="0"/>
          <w:shd w:val="clear" w:fill="FFFFFF"/>
        </w:rPr>
        <w:t>名词解释</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一、财政补助收入：指县级财政当年拨付的资金。</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二、其他收入：指除“财政拨款收入”、“上级补助收入”、“事业收入”、“经营收入”等以外的收入。主要是存款利息收入等。</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三、年初结转和结余：指以前年度尚未完成、结转到本年按有关规定继续使用的资金。</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四、一般公共服务（类）行政运行（项）：指县行政单位及参照公务员管理事业单位用于保障机构正常运行、开展日常工作的基本支出。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五、一般公共服务（类）一般行政管理事务（项）：指县行政单位及参照公务员管理事业单位用于开展立法调研、财政信息宣传、非税收入征管等未单独设置项级科目的专门性财政管理工作的项目支出。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六、一般公共服务（类）机关服务（项）：指县</w:t>
      </w:r>
      <w:r>
        <w:rPr>
          <w:rFonts w:hint="eastAsia" w:ascii="微软雅黑" w:hAnsi="微软雅黑" w:eastAsia="微软雅黑" w:cs="微软雅黑"/>
          <w:b w:val="0"/>
          <w:i w:val="0"/>
          <w:caps w:val="0"/>
          <w:color w:val="333333"/>
          <w:spacing w:val="0"/>
          <w:sz w:val="24"/>
          <w:szCs w:val="24"/>
          <w:bdr w:val="none" w:color="auto" w:sz="0" w:space="0"/>
          <w:shd w:val="clear" w:fill="FFFFFF"/>
          <w:lang w:eastAsia="zh-CN"/>
        </w:rPr>
        <w:t>黄石港区区委办</w:t>
      </w:r>
      <w:r>
        <w:rPr>
          <w:rFonts w:hint="eastAsia" w:ascii="微软雅黑" w:hAnsi="微软雅黑" w:eastAsia="微软雅黑" w:cs="微软雅黑"/>
          <w:b w:val="0"/>
          <w:i w:val="0"/>
          <w:caps w:val="0"/>
          <w:color w:val="333333"/>
          <w:spacing w:val="0"/>
          <w:sz w:val="24"/>
          <w:szCs w:val="24"/>
          <w:bdr w:val="none" w:color="auto" w:sz="0" w:space="0"/>
          <w:shd w:val="clear" w:fill="FFFFFF"/>
        </w:rPr>
        <w:t>服务中心为机关提供办公楼日常维修、维护等后勤保障服务的支出。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七、一般公共服务（类）其他一般公共服务支出（款）其他一般公共服务支出（项）：指</w:t>
      </w:r>
      <w:r>
        <w:rPr>
          <w:rFonts w:hint="eastAsia" w:ascii="微软雅黑" w:hAnsi="微软雅黑" w:eastAsia="微软雅黑" w:cs="微软雅黑"/>
          <w:b w:val="0"/>
          <w:i w:val="0"/>
          <w:caps w:val="0"/>
          <w:color w:val="333333"/>
          <w:spacing w:val="0"/>
          <w:sz w:val="24"/>
          <w:szCs w:val="24"/>
          <w:bdr w:val="none" w:color="auto" w:sz="0" w:space="0"/>
          <w:shd w:val="clear" w:fill="FFFFFF"/>
          <w:lang w:eastAsia="zh-CN"/>
        </w:rPr>
        <w:t>黄石港区区委办</w:t>
      </w:r>
      <w:r>
        <w:rPr>
          <w:rFonts w:hint="eastAsia" w:ascii="微软雅黑" w:hAnsi="微软雅黑" w:eastAsia="微软雅黑" w:cs="微软雅黑"/>
          <w:b w:val="0"/>
          <w:i w:val="0"/>
          <w:caps w:val="0"/>
          <w:color w:val="333333"/>
          <w:spacing w:val="0"/>
          <w:sz w:val="24"/>
          <w:szCs w:val="24"/>
          <w:bdr w:val="none" w:color="auto" w:sz="0" w:space="0"/>
          <w:shd w:val="clear" w:fill="FFFFFF"/>
        </w:rPr>
        <w:t>用于其他一般公共服务方面的支出。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八、教育（类）普通教育（款）高等教育（项）：指</w:t>
      </w:r>
      <w:r>
        <w:rPr>
          <w:rFonts w:hint="eastAsia" w:ascii="微软雅黑" w:hAnsi="微软雅黑" w:eastAsia="微软雅黑" w:cs="微软雅黑"/>
          <w:b w:val="0"/>
          <w:i w:val="0"/>
          <w:caps w:val="0"/>
          <w:color w:val="333333"/>
          <w:spacing w:val="0"/>
          <w:sz w:val="24"/>
          <w:szCs w:val="24"/>
          <w:bdr w:val="none" w:color="auto" w:sz="0" w:space="0"/>
          <w:shd w:val="clear" w:fill="FFFFFF"/>
          <w:lang w:eastAsia="zh-CN"/>
        </w:rPr>
        <w:t>黄石港区区委办</w:t>
      </w:r>
      <w:r>
        <w:rPr>
          <w:rFonts w:hint="eastAsia" w:ascii="微软雅黑" w:hAnsi="微软雅黑" w:eastAsia="微软雅黑" w:cs="微软雅黑"/>
          <w:b w:val="0"/>
          <w:i w:val="0"/>
          <w:caps w:val="0"/>
          <w:color w:val="333333"/>
          <w:spacing w:val="0"/>
          <w:sz w:val="24"/>
          <w:szCs w:val="24"/>
          <w:bdr w:val="none" w:color="auto" w:sz="0" w:space="0"/>
          <w:shd w:val="clear" w:fill="FFFFFF"/>
        </w:rPr>
        <w:t>厅支持地方高校的重点发展和特色办学，组织专家对省属院校申报的建设规划和项目预算进行评审等相关工作的支出。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九、社会保障和就业(类)行政事业单位离退休（款）归口管理的行政单位离退休（项）：指</w:t>
      </w:r>
      <w:r>
        <w:rPr>
          <w:rFonts w:hint="eastAsia" w:ascii="微软雅黑" w:hAnsi="微软雅黑" w:eastAsia="微软雅黑" w:cs="微软雅黑"/>
          <w:b w:val="0"/>
          <w:i w:val="0"/>
          <w:caps w:val="0"/>
          <w:color w:val="333333"/>
          <w:spacing w:val="0"/>
          <w:sz w:val="24"/>
          <w:szCs w:val="24"/>
          <w:bdr w:val="none" w:color="auto" w:sz="0" w:space="0"/>
          <w:shd w:val="clear" w:fill="FFFFFF"/>
          <w:lang w:eastAsia="zh-CN"/>
        </w:rPr>
        <w:t>黄石港区区委办</w:t>
      </w:r>
      <w:r>
        <w:rPr>
          <w:rFonts w:hint="eastAsia" w:ascii="微软雅黑" w:hAnsi="微软雅黑" w:eastAsia="微软雅黑" w:cs="微软雅黑"/>
          <w:b w:val="0"/>
          <w:i w:val="0"/>
          <w:caps w:val="0"/>
          <w:color w:val="333333"/>
          <w:spacing w:val="0"/>
          <w:sz w:val="24"/>
          <w:szCs w:val="24"/>
          <w:bdr w:val="none" w:color="auto" w:sz="0" w:space="0"/>
          <w:shd w:val="clear" w:fill="FFFFFF"/>
        </w:rPr>
        <w:t>用于离退休人员的支出、退休人员支出，以及提供管理服务工作的离退休干部处的支出。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十、社会保障和就业(类)行政事业单位离退休（款）其他行政事业单位离退休支出（项）：指</w:t>
      </w:r>
      <w:r>
        <w:rPr>
          <w:rFonts w:hint="eastAsia" w:ascii="微软雅黑" w:hAnsi="微软雅黑" w:eastAsia="微软雅黑" w:cs="微软雅黑"/>
          <w:b w:val="0"/>
          <w:i w:val="0"/>
          <w:caps w:val="0"/>
          <w:color w:val="333333"/>
          <w:spacing w:val="0"/>
          <w:sz w:val="24"/>
          <w:szCs w:val="24"/>
          <w:bdr w:val="none" w:color="auto" w:sz="0" w:space="0"/>
          <w:shd w:val="clear" w:fill="FFFFFF"/>
          <w:lang w:eastAsia="zh-CN"/>
        </w:rPr>
        <w:t>黄石港区区委办</w:t>
      </w:r>
      <w:r>
        <w:rPr>
          <w:rFonts w:hint="eastAsia" w:ascii="微软雅黑" w:hAnsi="微软雅黑" w:eastAsia="微软雅黑" w:cs="微软雅黑"/>
          <w:b w:val="0"/>
          <w:i w:val="0"/>
          <w:caps w:val="0"/>
          <w:color w:val="333333"/>
          <w:spacing w:val="0"/>
          <w:sz w:val="24"/>
          <w:szCs w:val="24"/>
          <w:bdr w:val="none" w:color="auto" w:sz="0" w:space="0"/>
          <w:shd w:val="clear" w:fill="FFFFFF"/>
        </w:rPr>
        <w:t>用于离退休方面的其他支出。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十一、医疗卫生与计划生育（类）医疗保障（款）行政单位医疗（项）：指</w:t>
      </w:r>
      <w:r>
        <w:rPr>
          <w:rFonts w:hint="eastAsia" w:ascii="微软雅黑" w:hAnsi="微软雅黑" w:eastAsia="微软雅黑" w:cs="微软雅黑"/>
          <w:b w:val="0"/>
          <w:i w:val="0"/>
          <w:caps w:val="0"/>
          <w:color w:val="333333"/>
          <w:spacing w:val="0"/>
          <w:sz w:val="24"/>
          <w:szCs w:val="24"/>
          <w:bdr w:val="none" w:color="auto" w:sz="0" w:space="0"/>
          <w:shd w:val="clear" w:fill="FFFFFF"/>
          <w:lang w:eastAsia="zh-CN"/>
        </w:rPr>
        <w:t>黄石港区区委办</w:t>
      </w:r>
      <w:r>
        <w:rPr>
          <w:rFonts w:hint="eastAsia" w:ascii="微软雅黑" w:hAnsi="微软雅黑" w:eastAsia="微软雅黑" w:cs="微软雅黑"/>
          <w:b w:val="0"/>
          <w:i w:val="0"/>
          <w:caps w:val="0"/>
          <w:color w:val="333333"/>
          <w:spacing w:val="0"/>
          <w:sz w:val="24"/>
          <w:szCs w:val="24"/>
          <w:bdr w:val="none" w:color="auto" w:sz="0" w:space="0"/>
          <w:shd w:val="clear" w:fill="FFFFFF"/>
        </w:rPr>
        <w:t>用于机关干部职工及离退休人员医疗方面的支出。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十二、住房保障（类）住房改革支出（款）购房补贴（项）：指按照相关住房分配货币化改革的政策规定和标准，对无房和住房未达标职工发放的住房分配货币化补贴资金。</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十三、年末结转和结余：指本年度或以前年度预算安排、因客观条件发生变化无法按原计划实施，需要延迟到以后年度按有关规定继续使用的资金。</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十四、基本支出：指为保障机构正常运转、完成日常工作任务而发生的人员支出（包括基本工资、津贴补贴等）和公用支出（包括办公费、水电费、邮电费、交通费、差旅费等）。</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十五、项目支出：指在基本支出之外为完成特定行政任务和事业发展目标所发生的支出。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十六、“三公”经费：是指用财政拨款安排的因公出国（境）费、公务用车购置及运行维护费、公务接待费。</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微软雅黑">
    <w:panose1 w:val="020B0503020204020204"/>
    <w:charset w:val="86"/>
    <w:family w:val="auto"/>
    <w:pitch w:val="default"/>
    <w:sig w:usb0="80000287" w:usb1="280F3C52" w:usb2="00000016" w:usb3="00000000" w:csb0="0004001F" w:csb1="00000000"/>
  </w:font>
  <w:font w:name="Tahoma">
    <w:panose1 w:val="020B0604030504040204"/>
    <w:charset w:val="00"/>
    <w:family w:val="swiss"/>
    <w:pitch w:val="default"/>
    <w:sig w:usb0="E1002EFF" w:usb1="C000605B" w:usb2="00000029" w:usb3="00000000" w:csb0="200101FF" w:csb1="2028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方正仿宋_GBK">
    <w:altName w:val="宋体"/>
    <w:panose1 w:val="00000000000000000000"/>
    <w:charset w:val="86"/>
    <w:family w:val="roman"/>
    <w:pitch w:val="default"/>
    <w:sig w:usb0="00000000" w:usb1="00000000" w:usb2="0000001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B82E3E8"/>
    <w:multiLevelType w:val="singleLevel"/>
    <w:tmpl w:val="2B82E3E8"/>
    <w:lvl w:ilvl="0" w:tentative="0">
      <w:start w:val="4"/>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1956809"/>
    <w:rsid w:val="0664587B"/>
    <w:rsid w:val="09FF39B4"/>
    <w:rsid w:val="0B821CB6"/>
    <w:rsid w:val="10157CA5"/>
    <w:rsid w:val="11411182"/>
    <w:rsid w:val="13FA6E94"/>
    <w:rsid w:val="1D3216D7"/>
    <w:rsid w:val="219E41B4"/>
    <w:rsid w:val="255E033E"/>
    <w:rsid w:val="27272230"/>
    <w:rsid w:val="27390172"/>
    <w:rsid w:val="2CCE2491"/>
    <w:rsid w:val="2F081AB6"/>
    <w:rsid w:val="401A2F36"/>
    <w:rsid w:val="408F5EDF"/>
    <w:rsid w:val="44064590"/>
    <w:rsid w:val="457D21A1"/>
    <w:rsid w:val="49D83A19"/>
    <w:rsid w:val="4A187DA8"/>
    <w:rsid w:val="507C1CF5"/>
    <w:rsid w:val="57193076"/>
    <w:rsid w:val="61773BFF"/>
    <w:rsid w:val="621B3808"/>
    <w:rsid w:val="67E4782B"/>
    <w:rsid w:val="6A5F0092"/>
    <w:rsid w:val="746766E2"/>
    <w:rsid w:val="74EA7B66"/>
    <w:rsid w:val="78186405"/>
    <w:rsid w:val="784C1E5B"/>
    <w:rsid w:val="7D417A4A"/>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5"/>
    <w:basedOn w:val="1"/>
    <w:next w:val="1"/>
    <w:semiHidden/>
    <w:unhideWhenUsed/>
    <w:qFormat/>
    <w:uiPriority w:val="0"/>
    <w:pPr>
      <w:spacing w:before="0" w:beforeAutospacing="1" w:after="0" w:afterAutospacing="1"/>
      <w:jc w:val="left"/>
    </w:pPr>
    <w:rPr>
      <w:rFonts w:hint="eastAsia" w:ascii="宋体" w:hAnsi="宋体" w:eastAsia="宋体" w:cs="宋体"/>
      <w:b/>
      <w:kern w:val="0"/>
      <w:sz w:val="20"/>
      <w:szCs w:val="20"/>
      <w:lang w:val="en-US" w:eastAsia="zh-CN" w:bidi="ar"/>
    </w:rPr>
  </w:style>
  <w:style w:type="character" w:default="1" w:styleId="6">
    <w:name w:val="Default Paragraph Font"/>
    <w:semiHidden/>
    <w:uiPriority w:val="0"/>
  </w:style>
  <w:style w:type="table" w:default="1" w:styleId="8">
    <w:name w:val="Normal Table"/>
    <w:semiHidden/>
    <w:uiPriority w:val="0"/>
    <w:tblPr>
      <w:tblLayout w:type="fixed"/>
      <w:tblCellMar>
        <w:top w:w="0" w:type="dxa"/>
        <w:left w:w="108" w:type="dxa"/>
        <w:bottom w:w="0" w:type="dxa"/>
        <w:right w:w="108" w:type="dxa"/>
      </w:tblCellMar>
    </w:tblPr>
  </w:style>
  <w:style w:type="paragraph" w:styleId="3">
    <w:name w:val="Body Text Indent"/>
    <w:basedOn w:val="1"/>
    <w:uiPriority w:val="0"/>
    <w:pPr>
      <w:spacing w:line="500" w:lineRule="exact"/>
      <w:ind w:firstLine="640" w:firstLineChars="200"/>
    </w:pPr>
    <w:rPr>
      <w:rFonts w:ascii="宋体"/>
      <w:sz w:val="32"/>
    </w:rPr>
  </w:style>
  <w:style w:type="paragraph" w:styleId="4">
    <w:name w:val="Plain Text"/>
    <w:basedOn w:val="1"/>
    <w:uiPriority w:val="0"/>
    <w:rPr>
      <w:rFonts w:ascii="宋体" w:hAnsi="Courier New" w:cs="Courier New"/>
      <w:szCs w:val="21"/>
    </w:rPr>
  </w:style>
  <w:style w:type="paragraph" w:styleId="5">
    <w:name w:val="Normal (Web)"/>
    <w:basedOn w:val="1"/>
    <w:uiPriority w:val="0"/>
    <w:pPr>
      <w:spacing w:before="0" w:beforeAutospacing="1" w:after="0" w:afterAutospacing="1"/>
      <w:ind w:left="0" w:right="0"/>
      <w:jc w:val="left"/>
    </w:pPr>
    <w:rPr>
      <w:kern w:val="0"/>
      <w:sz w:val="24"/>
      <w:lang w:val="en-US" w:eastAsia="zh-CN" w:bidi="ar"/>
    </w:rPr>
  </w:style>
  <w:style w:type="character" w:styleId="7">
    <w:name w:val="Strong"/>
    <w:basedOn w:val="6"/>
    <w:qFormat/>
    <w:uiPriority w:val="0"/>
    <w:rPr>
      <w:b/>
    </w:rPr>
  </w:style>
  <w:style w:type="paragraph" w:customStyle="1" w:styleId="9">
    <w:name w:val="正文缩进 + 首行缩进:  2 字符"/>
    <w:basedOn w:val="1"/>
    <w:uiPriority w:val="0"/>
    <w:pPr>
      <w:spacing w:line="560" w:lineRule="exact"/>
      <w:ind w:firstLine="640"/>
    </w:pPr>
    <w:rPr>
      <w:rFonts w:ascii="仿宋" w:hAnsi="仿宋" w:cs="宋体"/>
      <w:sz w:val="32"/>
      <w:szCs w:val="32"/>
    </w:rPr>
  </w:style>
  <w:style w:type="character" w:customStyle="1" w:styleId="10">
    <w:name w:val="ca-2"/>
    <w:basedOn w:val="6"/>
    <w:uiPriority w:val="0"/>
  </w:style>
  <w:style w:type="paragraph" w:customStyle="1" w:styleId="11">
    <w:name w:val="Normal (Web)"/>
    <w:basedOn w:val="1"/>
    <w:qFormat/>
    <w:uiPriority w:val="0"/>
    <w:pPr>
      <w:widowControl/>
      <w:spacing w:before="100" w:beforeAutospacing="1" w:after="100" w:afterAutospacing="1"/>
      <w:jc w:val="left"/>
    </w:pPr>
    <w:rPr>
      <w:rFonts w:ascii="宋体" w:hAnsi="宋体" w:cs="宋体"/>
      <w:kern w:val="0"/>
      <w:sz w:val="24"/>
    </w:rPr>
  </w:style>
  <w:style w:type="character" w:customStyle="1" w:styleId="12">
    <w:name w:val="ca-3"/>
    <w:basedOn w:val="6"/>
    <w:uiPriority w:val="0"/>
  </w:style>
  <w:style w:type="character" w:customStyle="1" w:styleId="13">
    <w:name w:val="apple-converted-space"/>
    <w:basedOn w:val="6"/>
    <w:uiPriority w:val="99"/>
  </w:style>
  <w:style w:type="paragraph" w:customStyle="1" w:styleId="14">
    <w:name w:val="pa-1"/>
    <w:basedOn w:val="1"/>
    <w:uiPriority w:val="0"/>
    <w:pPr>
      <w:widowControl/>
      <w:spacing w:before="100" w:beforeAutospacing="1" w:after="100" w:afterAutospacing="1"/>
      <w:jc w:val="left"/>
    </w:pPr>
    <w:rPr>
      <w:rFonts w:ascii="宋体" w:hAnsi="宋体" w:cs="宋体"/>
      <w:kern w:val="0"/>
      <w:sz w:val="24"/>
      <w:szCs w:val="24"/>
    </w:rPr>
  </w:style>
</w:styles>
</file>

<file path=word/_rels/document.xml.rels><?xml version="1.0" encoding="UTF-8" standalone="yes"?>
<Relationships xmlns="http://schemas.openxmlformats.org/package/2006/relationships"><Relationship Id="rId9" Type="http://schemas.openxmlformats.org/officeDocument/2006/relationships/image" Target="media/image6.png"/><Relationship Id="rId8" Type="http://schemas.openxmlformats.org/officeDocument/2006/relationships/image" Target="media/image5.png"/><Relationship Id="rId7" Type="http://schemas.openxmlformats.org/officeDocument/2006/relationships/image" Target="media/image4.png"/><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image" Target="media/image8.png"/><Relationship Id="rId10" Type="http://schemas.openxmlformats.org/officeDocument/2006/relationships/image" Target="media/image7.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2</TotalTime>
  <ScaleCrop>false</ScaleCrop>
  <LinksUpToDate>false</LinksUpToDate>
  <CharactersWithSpaces>0</CharactersWithSpaces>
  <Application>WPS Office_11.1.0.7849_F1E327BC-269C-435d-A152-05C5408002CA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gg</dc:creator>
  <cp:lastModifiedBy>侒靜啲喧嘩</cp:lastModifiedBy>
  <dcterms:modified xsi:type="dcterms:W3CDTF">2019-02-27T11:50:58Z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2052-11.1.0.7849</vt:lpwstr>
  </property>
</Properties>
</file>