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区委办</w:t>
      </w:r>
      <w:r>
        <w:rPr>
          <w:rFonts w:ascii="微软雅黑" w:hAnsi="微软雅黑" w:eastAsia="微软雅黑" w:cs="微软雅黑"/>
          <w:color w:val="BC1010"/>
          <w:sz w:val="40"/>
          <w:szCs w:val="40"/>
          <w:shd w:val="clear" w:color="auto" w:fill="FFFFFF"/>
        </w:rPr>
        <w:t>2018</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黄石港区区委办</w:t>
      </w:r>
      <w:r>
        <w:rPr>
          <w:rStyle w:val="10"/>
          <w:rFonts w:ascii="微软雅黑" w:hAnsi="微软雅黑" w:eastAsia="微软雅黑" w:cs="微软雅黑"/>
          <w:color w:val="333333"/>
          <w:shd w:val="clear" w:color="auto" w:fill="FFFFFF"/>
        </w:rPr>
        <w:t>2018</w:t>
      </w:r>
      <w:r>
        <w:rPr>
          <w:rStyle w:val="10"/>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10"/>
          <w:rFonts w:ascii="微软雅黑" w:hAnsi="微软雅黑" w:eastAsia="微软雅黑" w:cs="微软雅黑"/>
          <w:color w:val="333333"/>
          <w:shd w:val="clear" w:color="auto" w:fill="FFFFFF"/>
        </w:rPr>
        <w:t>2018</w:t>
      </w:r>
      <w:r>
        <w:rPr>
          <w:rStyle w:val="10"/>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w:t>
      </w:r>
      <w:r>
        <w:rPr>
          <w:rStyle w:val="10"/>
          <w:rFonts w:ascii="微软雅黑" w:hAnsi="微软雅黑" w:eastAsia="微软雅黑" w:cs="微软雅黑"/>
          <w:color w:val="333333"/>
          <w:shd w:val="clear" w:color="auto" w:fill="FFFFFF"/>
        </w:rPr>
        <w:t xml:space="preserve"> </w:t>
      </w:r>
      <w:r>
        <w:rPr>
          <w:rStyle w:val="10"/>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4"/>
        </w:rPr>
        <w:t>　</w:t>
      </w:r>
      <w:r>
        <w:rPr>
          <w:rFonts w:hint="eastAsia" w:ascii="宋体" w:hAnsi="宋体" w:cs="宋体"/>
          <w:color w:val="333333"/>
          <w:kern w:val="0"/>
          <w:sz w:val="28"/>
          <w:szCs w:val="28"/>
        </w:rPr>
        <w:t>（</w:t>
      </w:r>
      <w:r>
        <w:rPr>
          <w:rFonts w:hint="eastAsia" w:ascii="宋体" w:hAnsi="宋体"/>
          <w:sz w:val="28"/>
          <w:szCs w:val="28"/>
        </w:rPr>
        <w:t>一）主要职责</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责区委的日常文书处理和日常事务工作；协助区委领导组织起草或审核以区委、区委办公室名义发布的文件，承办区委规范性文件的备案工作，受理区委各部门规范性文件的备案审查工作；根据上级精神、领导意图和区委的中心工作，草拟工作计划、总结报告和汇报材料，负责组织或参与、配合有关部门起草和准备区委领导讲话稿或提纲，负责做好信息的收集、编写、上报、反馈等工作，做好阶段性和突击性的调查研究工作，为区委决策提供有参考价值的建议；负责区委各种会议的筹备、组织工作，协助区委领导做好实施各项决定的组织和协调督办工作；组织、协调区委有关部门的工作，对有争议的问题提出处理意见，报区委领导决定；督促、检查、指导区委工作范围内的人大代表建议、意见和政协委员提案答复工作，协调处理过程中出现的问题；</w:t>
      </w:r>
    </w:p>
    <w:p>
      <w:pPr>
        <w:spacing w:line="620" w:lineRule="exact"/>
        <w:rPr>
          <w:rFonts w:ascii="宋体" w:cs="宋体"/>
          <w:kern w:val="0"/>
          <w:sz w:val="28"/>
          <w:szCs w:val="28"/>
        </w:rPr>
      </w:pPr>
      <w:r>
        <w:rPr>
          <w:rFonts w:hint="eastAsia" w:ascii="宋体" w:hAnsi="宋体" w:cs="宋体"/>
          <w:kern w:val="0"/>
          <w:sz w:val="28"/>
          <w:szCs w:val="28"/>
        </w:rPr>
        <w:t>负责上级党委文件、电报、信函的收发、登记、分发、传阅、催办与立卷保管的归档和销退，转办或答复区属各单位的来信来访，交办、转办、督办群众和基层单位反映的有关问题；指导全区保密工作，管理区机关各类档案，组织、指导区直单位开展保密工作和档案管理规范化工作，并负责实施检查；完成上级交办的其他工作任务。</w:t>
      </w:r>
    </w:p>
    <w:p>
      <w:pPr>
        <w:wordWrap w:val="0"/>
        <w:spacing w:line="600" w:lineRule="atLeast"/>
        <w:ind w:firstLine="420" w:firstLineChars="150"/>
        <w:rPr>
          <w:rFonts w:ascii="宋体" w:cs="宋体"/>
          <w:color w:val="333333"/>
          <w:kern w:val="0"/>
          <w:sz w:val="28"/>
          <w:szCs w:val="28"/>
        </w:rPr>
      </w:pPr>
      <w:r>
        <w:rPr>
          <w:rFonts w:hint="eastAsia" w:ascii="宋体" w:hAnsi="宋体" w:cs="Tahoma"/>
          <w:color w:val="333333"/>
          <w:kern w:val="0"/>
          <w:sz w:val="28"/>
          <w:szCs w:val="28"/>
        </w:rPr>
        <w:t>及时收集区委开展工作所需的各类信息，参与区委工作性调研，处理区委文件、资料，及时签收、登记、分发、送阅、督办、催办。负责区委全委会议、区委常委会议、书记办公会议及区委交办的其他会议的组织准备工作。对区委部署的工作执行情况以及区委领导和上级机关交办的事项进行抄告、催办、督办，负责全区党委办公室系统业务指导和培训等工作。根据区委领导要求，做好本区各级机关单位和部门的协调工作等。</w:t>
      </w:r>
    </w:p>
    <w:p>
      <w:pPr>
        <w:widowControl/>
        <w:wordWrap w:val="0"/>
        <w:spacing w:line="600" w:lineRule="atLeast"/>
        <w:ind w:firstLine="640"/>
        <w:jc w:val="left"/>
        <w:rPr>
          <w:rFonts w:ascii="宋体" w:cs="宋体"/>
          <w:color w:val="333333"/>
          <w:kern w:val="0"/>
          <w:sz w:val="28"/>
          <w:szCs w:val="28"/>
        </w:rPr>
      </w:pPr>
      <w:r>
        <w:rPr>
          <w:rFonts w:hint="eastAsia" w:ascii="宋体" w:hAnsi="宋体"/>
          <w:sz w:val="28"/>
          <w:szCs w:val="28"/>
        </w:rPr>
        <w:t>（二）机构设置：</w:t>
      </w:r>
      <w:r>
        <w:rPr>
          <w:rFonts w:hint="eastAsia" w:ascii="宋体" w:hAnsi="宋体" w:cs="Tahoma"/>
          <w:color w:val="333333"/>
          <w:kern w:val="0"/>
          <w:sz w:val="28"/>
          <w:szCs w:val="28"/>
        </w:rPr>
        <w:t>档案局、政研督办室、主体办、保密办。</w:t>
      </w:r>
    </w:p>
    <w:p>
      <w:pPr>
        <w:autoSpaceDE w:val="0"/>
        <w:spacing w:line="520" w:lineRule="exact"/>
        <w:ind w:firstLine="640" w:firstLineChars="200"/>
        <w:rPr>
          <w:rFonts w:ascii="仿宋" w:hAnsi="仿宋" w:eastAsia="仿宋" w:cs="仿宋"/>
          <w:sz w:val="32"/>
          <w:szCs w:val="32"/>
        </w:rPr>
      </w:pPr>
    </w:p>
    <w:p>
      <w:pPr>
        <w:widowControl/>
        <w:shd w:val="clear" w:color="auto" w:fill="FFFFFF"/>
        <w:spacing w:line="520" w:lineRule="exact"/>
        <w:ind w:firstLine="640" w:firstLineChars="200"/>
        <w:jc w:val="left"/>
        <w:rPr>
          <w:rFonts w:ascii="仿宋_GB2312" w:hAnsi="宋体" w:eastAsia="仿宋_GB2312" w:cs="宋体"/>
          <w:color w:val="333333"/>
          <w:kern w:val="0"/>
          <w:sz w:val="32"/>
          <w:szCs w:val="32"/>
        </w:rPr>
      </w:pPr>
    </w:p>
    <w:p>
      <w:pPr>
        <w:widowControl/>
        <w:spacing w:before="100" w:beforeAutospacing="1" w:after="100" w:afterAutospacing="1" w:line="408" w:lineRule="auto"/>
        <w:ind w:firstLine="620"/>
        <w:jc w:val="left"/>
        <w:rPr>
          <w:color w:val="333333"/>
          <w:sz w:val="28"/>
          <w:szCs w:val="28"/>
        </w:rPr>
      </w:pPr>
    </w:p>
    <w:p>
      <w:pPr>
        <w:widowControl/>
        <w:spacing w:before="100" w:beforeAutospacing="1" w:after="100" w:afterAutospacing="1" w:line="408" w:lineRule="auto"/>
        <w:ind w:firstLine="620"/>
        <w:jc w:val="left"/>
        <w:rPr>
          <w:color w:val="333333"/>
          <w:sz w:val="28"/>
          <w:szCs w:val="28"/>
        </w:rPr>
      </w:pPr>
    </w:p>
    <w:p>
      <w:pPr>
        <w:widowControl/>
        <w:spacing w:before="100" w:beforeAutospacing="1" w:after="100" w:afterAutospacing="1" w:line="408" w:lineRule="auto"/>
        <w:ind w:firstLine="620"/>
        <w:jc w:val="left"/>
        <w:rPr>
          <w:color w:val="333333"/>
          <w:sz w:val="28"/>
          <w:szCs w:val="28"/>
        </w:rPr>
      </w:pPr>
    </w:p>
    <w:p>
      <w:pPr>
        <w:widowControl/>
        <w:shd w:val="clear" w:color="auto" w:fill="FFFFFF"/>
        <w:jc w:val="left"/>
        <w:rPr>
          <w:rFonts w:ascii="宋体" w:cs="宋体"/>
          <w:color w:val="333333"/>
          <w:kern w:val="0"/>
          <w:sz w:val="30"/>
          <w:szCs w:val="30"/>
        </w:rPr>
      </w:pPr>
      <w:r>
        <w:rPr>
          <w:rFonts w:ascii="宋体" w:hAnsi="宋体" w:cs="宋体"/>
          <w:color w:val="333333"/>
          <w:kern w:val="0"/>
          <w:sz w:val="30"/>
          <w:szCs w:val="30"/>
        </w:rPr>
        <w:t xml:space="preserve"> </w:t>
      </w: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第二部分</w:t>
      </w:r>
      <w:r>
        <w:rPr>
          <w:rStyle w:val="10"/>
          <w:rFonts w:ascii="微软雅黑" w:hAnsi="微软雅黑" w:eastAsia="微软雅黑" w:cs="微软雅黑"/>
          <w:color w:val="333333"/>
          <w:shd w:val="clear" w:color="auto" w:fill="FFFFFF"/>
        </w:rPr>
        <w:t xml:space="preserve"> </w:t>
      </w:r>
      <w:r>
        <w:rPr>
          <w:rStyle w:val="10"/>
          <w:rFonts w:hint="eastAsia" w:ascii="微软雅黑" w:hAnsi="微软雅黑" w:eastAsia="微软雅黑" w:cs="微软雅黑"/>
          <w:color w:val="333333"/>
          <w:shd w:val="clear" w:color="auto" w:fill="FFFFFF"/>
          <w:lang w:eastAsia="zh-CN"/>
        </w:rPr>
        <w:t>部门</w:t>
      </w:r>
      <w:r>
        <w:rPr>
          <w:rStyle w:val="10"/>
          <w:rFonts w:ascii="微软雅黑" w:hAnsi="微软雅黑" w:eastAsia="微软雅黑" w:cs="微软雅黑"/>
          <w:color w:val="333333"/>
          <w:shd w:val="clear" w:color="auto" w:fill="FFFFFF"/>
        </w:rPr>
        <w:t>2018</w:t>
      </w:r>
      <w:r>
        <w:rPr>
          <w:rStyle w:val="10"/>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jc w:val="center"/>
      </w:pPr>
      <w:r>
        <w:drawing>
          <wp:inline distT="0" distB="0" distL="114300" distR="114300">
            <wp:extent cx="8782685" cy="4603750"/>
            <wp:effectExtent l="0" t="0" r="1841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8782685" cy="4603750"/>
                    </a:xfrm>
                    <a:prstGeom prst="rect">
                      <a:avLst/>
                    </a:prstGeom>
                    <a:noFill/>
                    <a:ln>
                      <a:noFill/>
                    </a:ln>
                  </pic:spPr>
                </pic:pic>
              </a:graphicData>
            </a:graphic>
          </wp:inline>
        </w:drawing>
      </w:r>
    </w:p>
    <w:p>
      <w:pPr>
        <w:pStyle w:val="7"/>
        <w:widowControl/>
        <w:spacing w:before="76" w:beforeAutospacing="0" w:after="76" w:afterAutospacing="0" w:line="450" w:lineRule="atLeast"/>
        <w:jc w:val="center"/>
      </w:pPr>
      <w:r>
        <w:drawing>
          <wp:inline distT="0" distB="0" distL="114300" distR="114300">
            <wp:extent cx="8786495" cy="2409190"/>
            <wp:effectExtent l="0" t="0" r="1460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8786495" cy="2409190"/>
                    </a:xfrm>
                    <a:prstGeom prst="rect">
                      <a:avLst/>
                    </a:prstGeom>
                    <a:noFill/>
                    <a:ln>
                      <a:noFill/>
                    </a:ln>
                  </pic:spPr>
                </pic:pic>
              </a:graphicData>
            </a:graphic>
          </wp:inline>
        </w:drawing>
      </w:r>
    </w:p>
    <w:p>
      <w:pPr>
        <w:pStyle w:val="7"/>
        <w:widowControl/>
        <w:spacing w:before="76" w:beforeAutospacing="0" w:after="76" w:afterAutospacing="0" w:line="450" w:lineRule="atLeast"/>
        <w:jc w:val="center"/>
      </w:pPr>
    </w:p>
    <w:p>
      <w:pPr>
        <w:pStyle w:val="7"/>
        <w:widowControl/>
        <w:spacing w:before="76" w:beforeAutospacing="0" w:after="76" w:afterAutospacing="0" w:line="450" w:lineRule="atLeast"/>
        <w:jc w:val="center"/>
      </w:pPr>
      <w:r>
        <w:drawing>
          <wp:inline distT="0" distB="0" distL="114300" distR="114300">
            <wp:extent cx="8801100" cy="2223135"/>
            <wp:effectExtent l="0" t="0" r="0" b="5715"/>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2"/>
                    <a:stretch>
                      <a:fillRect/>
                    </a:stretch>
                  </pic:blipFill>
                  <pic:spPr>
                    <a:xfrm>
                      <a:off x="0" y="0"/>
                      <a:ext cx="8801100" cy="2223135"/>
                    </a:xfrm>
                    <a:prstGeom prst="rect">
                      <a:avLst/>
                    </a:prstGeom>
                    <a:noFill/>
                    <a:ln>
                      <a:noFill/>
                    </a:ln>
                  </pic:spPr>
                </pic:pic>
              </a:graphicData>
            </a:graphic>
          </wp:inline>
        </w:drawing>
      </w:r>
    </w:p>
    <w:p>
      <w:pPr>
        <w:pStyle w:val="7"/>
        <w:widowControl/>
        <w:spacing w:before="76" w:beforeAutospacing="0" w:after="76" w:afterAutospacing="0" w:line="450" w:lineRule="atLeast"/>
      </w:pPr>
      <w:r>
        <w:drawing>
          <wp:inline distT="0" distB="0" distL="114300" distR="114300">
            <wp:extent cx="8763635" cy="5210175"/>
            <wp:effectExtent l="0" t="0" r="18415" b="952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3"/>
                    <a:stretch>
                      <a:fillRect/>
                    </a:stretch>
                  </pic:blipFill>
                  <pic:spPr>
                    <a:xfrm>
                      <a:off x="0" y="0"/>
                      <a:ext cx="8763635" cy="5210175"/>
                    </a:xfrm>
                    <a:prstGeom prst="rect">
                      <a:avLst/>
                    </a:prstGeom>
                    <a:noFill/>
                    <a:ln>
                      <a:noFill/>
                    </a:ln>
                  </pic:spPr>
                </pic:pic>
              </a:graphicData>
            </a:graphic>
          </wp:inline>
        </w:drawing>
      </w:r>
    </w:p>
    <w:p>
      <w:pPr>
        <w:pStyle w:val="7"/>
        <w:widowControl/>
        <w:spacing w:before="76" w:beforeAutospacing="0" w:after="76" w:afterAutospacing="0" w:line="450" w:lineRule="atLeast"/>
        <w:jc w:val="center"/>
      </w:pPr>
      <w:r>
        <w:drawing>
          <wp:inline distT="0" distB="0" distL="114300" distR="114300">
            <wp:extent cx="8801100" cy="3476625"/>
            <wp:effectExtent l="0" t="0" r="0" b="9525"/>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14"/>
                    <a:stretch>
                      <a:fillRect/>
                    </a:stretch>
                  </pic:blipFill>
                  <pic:spPr>
                    <a:xfrm>
                      <a:off x="0" y="0"/>
                      <a:ext cx="8801100" cy="3476625"/>
                    </a:xfrm>
                    <a:prstGeom prst="rect">
                      <a:avLst/>
                    </a:prstGeom>
                    <a:noFill/>
                    <a:ln>
                      <a:noFill/>
                    </a:ln>
                  </pic:spPr>
                </pic:pic>
              </a:graphicData>
            </a:graphic>
          </wp:inline>
        </w:drawing>
      </w: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rPr>
          <w:color w:val="333333"/>
        </w:rPr>
      </w:pPr>
      <w:r>
        <w:rPr>
          <w:color w:val="333333"/>
        </w:rPr>
        <w:drawing>
          <wp:inline distT="0" distB="0" distL="114300" distR="114300">
            <wp:extent cx="8782050" cy="5219700"/>
            <wp:effectExtent l="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5"/>
                    <a:stretch>
                      <a:fillRect/>
                    </a:stretch>
                  </pic:blipFill>
                  <pic:spPr>
                    <a:xfrm>
                      <a:off x="0" y="0"/>
                      <a:ext cx="8782050" cy="5219700"/>
                    </a:xfrm>
                    <a:prstGeom prst="rect">
                      <a:avLst/>
                    </a:prstGeom>
                    <a:noFill/>
                    <a:ln>
                      <a:noFill/>
                    </a:ln>
                  </pic:spPr>
                </pic:pic>
              </a:graphicData>
            </a:graphic>
          </wp:inline>
        </w:drawing>
      </w:r>
      <w:r>
        <w:rPr>
          <w:color w:val="333333"/>
        </w:rPr>
        <w:drawing>
          <wp:inline distT="0" distB="0" distL="114300" distR="114300">
            <wp:extent cx="8753475" cy="2447290"/>
            <wp:effectExtent l="0" t="0" r="9525" b="1016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6"/>
                    <a:stretch>
                      <a:fillRect/>
                    </a:stretch>
                  </pic:blipFill>
                  <pic:spPr>
                    <a:xfrm>
                      <a:off x="0" y="0"/>
                      <a:ext cx="8753475" cy="244729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r>
        <w:rPr>
          <w:color w:val="333333"/>
        </w:rPr>
        <w:drawing>
          <wp:inline distT="0" distB="0" distL="114300" distR="114300">
            <wp:extent cx="8763000" cy="2152015"/>
            <wp:effectExtent l="0" t="0" r="0" b="63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7"/>
                    <a:stretch>
                      <a:fillRect/>
                    </a:stretch>
                  </pic:blipFill>
                  <pic:spPr>
                    <a:xfrm>
                      <a:off x="0" y="0"/>
                      <a:ext cx="8763000" cy="2152015"/>
                    </a:xfrm>
                    <a:prstGeom prst="rect">
                      <a:avLst/>
                    </a:prstGeom>
                    <a:noFill/>
                    <a:ln>
                      <a:noFill/>
                    </a:ln>
                  </pic:spPr>
                </pic:pic>
              </a:graphicData>
            </a:graphic>
          </wp:inline>
        </w:drawing>
      </w:r>
    </w:p>
    <w:p>
      <w:pPr>
        <w:pStyle w:val="7"/>
        <w:widowControl/>
        <w:spacing w:before="76" w:beforeAutospacing="0" w:after="76" w:afterAutospacing="0" w:line="450" w:lineRule="atLeast"/>
        <w:ind w:firstLine="240" w:firstLineChars="100"/>
        <w:rPr>
          <w:color w:val="333333"/>
        </w:rPr>
      </w:pPr>
      <w:r>
        <w:rPr>
          <w:rStyle w:val="10"/>
          <w:rFonts w:hint="eastAsia" w:ascii="微软雅黑" w:hAnsi="微软雅黑" w:eastAsia="微软雅黑" w:cs="微软雅黑"/>
          <w:color w:val="333333"/>
          <w:shd w:val="clear" w:color="auto" w:fill="FFFFFF"/>
        </w:rPr>
        <w:t>第三部分</w:t>
      </w:r>
      <w:r>
        <w:rPr>
          <w:rStyle w:val="10"/>
          <w:rFonts w:ascii="微软雅黑" w:hAnsi="微软雅黑" w:eastAsia="微软雅黑" w:cs="微软雅黑"/>
          <w:color w:val="333333"/>
          <w:shd w:val="clear" w:color="auto" w:fill="FFFFFF"/>
        </w:rPr>
        <w:t xml:space="preserve"> 2018</w:t>
      </w:r>
      <w:r>
        <w:rPr>
          <w:rStyle w:val="10"/>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color w:val="333333"/>
          <w:sz w:val="28"/>
          <w:szCs w:val="28"/>
          <w:shd w:val="clear" w:color="auto" w:fill="FFFFFF"/>
        </w:rPr>
      </w:pPr>
      <w:r>
        <w:rPr>
          <w:rFonts w:hint="eastAsia" w:asciiTheme="minorEastAsia" w:hAnsiTheme="minorEastAsia" w:eastAsiaTheme="minorEastAsia" w:cstheme="minorEastAsia"/>
          <w:b/>
          <w:bCs/>
          <w:sz w:val="28"/>
          <w:szCs w:val="28"/>
          <w:shd w:val="clear" w:color="auto" w:fill="FFFFFF"/>
          <w:lang w:eastAsia="zh-CN"/>
        </w:rPr>
        <w:t>（一）</w:t>
      </w:r>
      <w:r>
        <w:rPr>
          <w:rFonts w:hint="eastAsia" w:asciiTheme="minorEastAsia" w:hAnsiTheme="minorEastAsia" w:eastAsiaTheme="minorEastAsia" w:cstheme="minorEastAsia"/>
          <w:b/>
          <w:bCs/>
          <w:sz w:val="28"/>
          <w:szCs w:val="28"/>
          <w:shd w:val="clear" w:color="auto" w:fill="FFFFFF"/>
        </w:rPr>
        <w:t>预算执行情况分析</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1、收入分析：</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2018年总收入280.12万元。比去年的354.01万元减少73.89万元，其中财政拨款收入278.12万元，占比99.29%，其他收入2万元，占比0.71%。</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2、支出分析：</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2018年总支出为280.12万元。比去年的353.84万元减少73.72万元，其中一般公共预算财政拨款支出278.12万元。</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eastAsia="zh-CN"/>
        </w:rPr>
      </w:pPr>
      <w:r>
        <w:rPr>
          <w:rFonts w:hint="eastAsia" w:asciiTheme="minorEastAsia" w:hAnsiTheme="minorEastAsia" w:eastAsiaTheme="minorEastAsia" w:cstheme="minorEastAsia"/>
          <w:b/>
          <w:bCs/>
          <w:sz w:val="28"/>
          <w:szCs w:val="28"/>
          <w:shd w:val="clear" w:color="auto" w:fill="FFFFFF"/>
          <w:lang w:eastAsia="zh-CN"/>
        </w:rPr>
        <w:t>（二）关于“三公”经费支出说明</w:t>
      </w:r>
    </w:p>
    <w:p>
      <w:pPr>
        <w:widowControl/>
        <w:shd w:val="clear" w:color="auto" w:fill="FFFFFF"/>
        <w:snapToGrid w:val="0"/>
        <w:spacing w:line="560" w:lineRule="atLeast"/>
        <w:ind w:firstLine="562"/>
        <w:jc w:val="left"/>
        <w:rPr>
          <w:rFonts w:hint="default" w:ascii="宋体" w:hAnsi="宋体" w:eastAsia="宋体" w:cs="宋体"/>
          <w:color w:val="333333"/>
          <w:kern w:val="0"/>
          <w:sz w:val="28"/>
          <w:szCs w:val="28"/>
          <w:lang w:val="en-US" w:eastAsia="zh-CN"/>
        </w:rPr>
      </w:pPr>
      <w:r>
        <w:rPr>
          <w:rFonts w:hint="eastAsia" w:ascii="宋体" w:hAnsi="宋体" w:cs="宋体"/>
          <w:color w:val="333333"/>
          <w:kern w:val="0"/>
          <w:sz w:val="28"/>
          <w:szCs w:val="28"/>
        </w:rPr>
        <w:t>本单位三公经费本年度总支出4.12万元，其中：本部门共有车辆1辆</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2018年度发生</w:t>
      </w:r>
      <w:r>
        <w:rPr>
          <w:rFonts w:hint="eastAsia" w:ascii="宋体" w:hAnsi="宋体" w:cs="宋体"/>
          <w:color w:val="333333"/>
          <w:kern w:val="0"/>
          <w:sz w:val="28"/>
          <w:szCs w:val="28"/>
        </w:rPr>
        <w:t>公务用车运行维护费开支3.82万元</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rPr>
        <w:t>公务招待费开支0.29万元，全年累计发生国内接待5批次共33人。</w:t>
      </w:r>
      <w:r>
        <w:rPr>
          <w:rFonts w:hint="eastAsia" w:ascii="宋体" w:hAnsi="宋体" w:cs="宋体"/>
          <w:color w:val="333333"/>
          <w:kern w:val="0"/>
          <w:sz w:val="28"/>
          <w:szCs w:val="28"/>
          <w:lang w:eastAsia="zh-CN"/>
        </w:rPr>
        <w:t>相较于</w:t>
      </w:r>
      <w:r>
        <w:rPr>
          <w:rFonts w:hint="eastAsia" w:ascii="宋体" w:hAnsi="宋体" w:cs="宋体"/>
          <w:color w:val="333333"/>
          <w:kern w:val="0"/>
          <w:sz w:val="28"/>
          <w:szCs w:val="28"/>
          <w:lang w:val="en-US" w:eastAsia="zh-CN"/>
        </w:rPr>
        <w:t>2017年度47057.74元，减少5889.13元，同比减少12.51%，主要是节省开支。</w:t>
      </w:r>
      <w:bookmarkStart w:id="0" w:name="_GoBack"/>
      <w:bookmarkEnd w:id="0"/>
    </w:p>
    <w:p>
      <w:pPr>
        <w:widowControl/>
        <w:shd w:val="clear" w:color="auto" w:fill="FFFFFF"/>
        <w:snapToGrid w:val="0"/>
        <w:spacing w:line="560" w:lineRule="atLeast"/>
        <w:ind w:firstLine="562" w:firstLineChars="200"/>
        <w:jc w:val="left"/>
        <w:rPr>
          <w:rFonts w:hint="eastAsia" w:ascii="宋体" w:hAnsi="宋体" w:cs="宋体"/>
          <w:color w:val="333333"/>
          <w:kern w:val="0"/>
          <w:sz w:val="28"/>
          <w:szCs w:val="28"/>
          <w:lang w:val="en-US" w:eastAsia="zh-CN"/>
        </w:rPr>
      </w:pPr>
      <w:r>
        <w:rPr>
          <w:rFonts w:hint="eastAsia" w:asciiTheme="minorEastAsia" w:hAnsiTheme="minorEastAsia" w:eastAsiaTheme="minorEastAsia" w:cstheme="minorEastAsia"/>
          <w:b/>
          <w:bCs/>
          <w:kern w:val="0"/>
          <w:sz w:val="28"/>
          <w:szCs w:val="28"/>
          <w:shd w:val="clear" w:color="auto" w:fill="FFFFFF"/>
          <w:lang w:val="en-US" w:eastAsia="zh-CN" w:bidi="ar-SA"/>
        </w:rPr>
        <w:t>（三）关于机关运行经费支出说明</w:t>
      </w:r>
    </w:p>
    <w:p>
      <w:pPr>
        <w:widowControl/>
        <w:shd w:val="clear" w:color="auto" w:fill="FFFFFF"/>
        <w:snapToGrid w:val="0"/>
        <w:spacing w:line="560" w:lineRule="atLeast"/>
        <w:ind w:firstLine="562"/>
        <w:jc w:val="left"/>
        <w:rPr>
          <w:rFonts w:hint="eastAsia" w:ascii="宋体" w:hAnsi="宋体" w:cs="宋体"/>
          <w:color w:val="333333"/>
          <w:kern w:val="0"/>
          <w:sz w:val="28"/>
          <w:szCs w:val="28"/>
          <w:lang w:val="en-US" w:eastAsia="zh-CN"/>
        </w:rPr>
      </w:pPr>
      <w:r>
        <w:rPr>
          <w:rFonts w:hint="eastAsia" w:ascii="宋体" w:hAnsi="宋体" w:cs="宋体"/>
          <w:color w:val="333333"/>
          <w:kern w:val="0"/>
          <w:sz w:val="28"/>
          <w:szCs w:val="28"/>
          <w:lang w:val="en-US" w:eastAsia="zh-CN"/>
        </w:rPr>
        <w:t>本部门2018年度机关运行经费支出64.32万元，其中：办公费7.20万元、印刷费8.51万元、邮电费7.21万元、差旅费3.47万元、维修（护）费0.87万元、会议费0.20万元、培训费0.15万元、公务接待费0.29万元、劳务费10.35万元、工会经费3.31万元、福利费0.72万元、公务用车运行维护费3.82万元、其他交通费用6.10万元、其他商品和服务支出7.54万元、资本性支出4.58万元。2018年度机关运行经费支出比去年数111.94万元减少47.62万元，减少42.54%。主要原因是：去年有购置二级网相关设备支出及加强内部管理，节约经费开支。</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en-US" w:eastAsia="zh-CN"/>
        </w:rPr>
      </w:pPr>
      <w:r>
        <w:rPr>
          <w:rFonts w:hint="eastAsia" w:asciiTheme="minorEastAsia" w:hAnsiTheme="minorEastAsia" w:eastAsiaTheme="minorEastAsia" w:cstheme="minorEastAsia"/>
          <w:b/>
          <w:bCs/>
          <w:sz w:val="28"/>
          <w:szCs w:val="28"/>
          <w:shd w:val="clear" w:color="auto" w:fill="FFFFFF"/>
          <w:lang w:val="en-US" w:eastAsia="zh-CN"/>
        </w:rPr>
        <w:t>（四）关于政府采购支出说明</w:t>
      </w:r>
    </w:p>
    <w:p>
      <w:pPr>
        <w:widowControl/>
        <w:shd w:val="clear" w:color="auto" w:fill="FFFFFF"/>
        <w:snapToGrid w:val="0"/>
        <w:spacing w:line="560" w:lineRule="atLeast"/>
        <w:ind w:firstLine="562"/>
        <w:jc w:val="left"/>
        <w:rPr>
          <w:rFonts w:hint="eastAsia" w:ascii="宋体" w:hAnsi="宋体" w:cs="宋体"/>
          <w:color w:val="333333"/>
          <w:kern w:val="0"/>
          <w:sz w:val="28"/>
          <w:szCs w:val="28"/>
          <w:lang w:val="en-US" w:eastAsia="zh-CN"/>
        </w:rPr>
      </w:pPr>
      <w:r>
        <w:rPr>
          <w:rFonts w:hint="eastAsia" w:ascii="宋体" w:hAnsi="宋体" w:cs="宋体"/>
          <w:color w:val="333333"/>
          <w:kern w:val="0"/>
          <w:sz w:val="28"/>
          <w:szCs w:val="28"/>
          <w:lang w:val="en-US" w:eastAsia="zh-CN"/>
        </w:rPr>
        <w:t>本部门2018年度政府采购支出总额15.48万元，其中：政府采购货物支出7.32万元、政府采购服务支出8.16万元。</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en-US" w:eastAsia="zh-CN"/>
        </w:rPr>
      </w:pPr>
      <w:r>
        <w:rPr>
          <w:rFonts w:hint="eastAsia" w:asciiTheme="minorEastAsia" w:hAnsiTheme="minorEastAsia" w:eastAsiaTheme="minorEastAsia" w:cstheme="minorEastAsia"/>
          <w:b/>
          <w:bCs/>
          <w:sz w:val="28"/>
          <w:szCs w:val="28"/>
          <w:shd w:val="clear" w:color="auto" w:fill="FFFFFF"/>
          <w:lang w:val="en-US" w:eastAsia="zh-CN"/>
        </w:rPr>
        <w:t>（五）关于国有资产占用情况说明</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截至2018年12月31日，本部门共有车辆1辆。</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sz w:val="28"/>
          <w:szCs w:val="28"/>
          <w:shd w:val="clear" w:color="auto" w:fill="FFFFFF"/>
          <w:lang w:val="en-US" w:eastAsia="zh-CN"/>
        </w:rPr>
      </w:pPr>
      <w:r>
        <w:rPr>
          <w:rFonts w:hint="eastAsia" w:asciiTheme="minorEastAsia" w:hAnsiTheme="minorEastAsia" w:eastAsiaTheme="minorEastAsia" w:cstheme="minorEastAsia"/>
          <w:b/>
          <w:bCs/>
          <w:sz w:val="28"/>
          <w:szCs w:val="28"/>
          <w:shd w:val="clear" w:color="auto" w:fill="FFFFFF"/>
          <w:lang w:val="en-US" w:eastAsia="zh-CN"/>
        </w:rPr>
        <w:t>（六）重点绩效评价结果等预算绩效情况说明</w:t>
      </w:r>
    </w:p>
    <w:p>
      <w:pPr>
        <w:pStyle w:val="7"/>
        <w:widowControl/>
        <w:spacing w:before="76" w:beforeAutospacing="0" w:after="76" w:afterAutospacing="0" w:line="450" w:lineRule="atLeast"/>
        <w:ind w:firstLine="560" w:firstLineChars="200"/>
        <w:rPr>
          <w:rFonts w:hint="eastAsia" w:ascii="宋体" w:hAnsi="宋体" w:eastAsia="宋体" w:cs="宋体"/>
          <w:color w:val="333333"/>
          <w:kern w:val="0"/>
          <w:sz w:val="28"/>
          <w:szCs w:val="28"/>
          <w:lang w:val="en-US" w:eastAsia="zh-CN" w:bidi="ar-SA"/>
        </w:rPr>
      </w:pPr>
      <w:r>
        <w:rPr>
          <w:rFonts w:hint="eastAsia" w:ascii="宋体" w:hAnsi="宋体" w:eastAsia="宋体" w:cs="宋体"/>
          <w:color w:val="333333"/>
          <w:kern w:val="0"/>
          <w:sz w:val="28"/>
          <w:szCs w:val="28"/>
          <w:lang w:val="en-US" w:eastAsia="zh-CN" w:bidi="ar-SA"/>
        </w:rPr>
        <w:t>2018年， 根据预算绩效管理要求，我单位组织2018年度一般公共预算项目支出全面开展绩效自评，共涉及项目</w:t>
      </w:r>
      <w:r>
        <w:rPr>
          <w:rFonts w:hint="eastAsia" w:ascii="宋体" w:hAnsi="宋体" w:cs="宋体"/>
          <w:color w:val="333333"/>
          <w:kern w:val="0"/>
          <w:sz w:val="28"/>
          <w:szCs w:val="28"/>
          <w:lang w:val="en-US" w:eastAsia="zh-CN" w:bidi="ar-SA"/>
        </w:rPr>
        <w:t>7</w:t>
      </w:r>
      <w:r>
        <w:rPr>
          <w:rFonts w:hint="eastAsia" w:ascii="宋体" w:hAnsi="宋体" w:eastAsia="宋体" w:cs="宋体"/>
          <w:color w:val="333333"/>
          <w:kern w:val="0"/>
          <w:sz w:val="28"/>
          <w:szCs w:val="28"/>
          <w:lang w:val="en-US" w:eastAsia="zh-CN" w:bidi="ar-SA"/>
        </w:rPr>
        <w:t>个，资金</w:t>
      </w:r>
      <w:r>
        <w:rPr>
          <w:rFonts w:hint="eastAsia" w:ascii="宋体" w:hAnsi="宋体" w:cs="宋体"/>
          <w:color w:val="333333"/>
          <w:kern w:val="0"/>
          <w:sz w:val="28"/>
          <w:szCs w:val="28"/>
          <w:lang w:val="en-US" w:eastAsia="zh-CN" w:bidi="ar-SA"/>
        </w:rPr>
        <w:t>63.6</w:t>
      </w:r>
      <w:r>
        <w:rPr>
          <w:rFonts w:hint="eastAsia" w:ascii="宋体" w:hAnsi="宋体" w:eastAsia="宋体" w:cs="宋体"/>
          <w:color w:val="333333"/>
          <w:kern w:val="0"/>
          <w:sz w:val="28"/>
          <w:szCs w:val="28"/>
          <w:lang w:val="en-US" w:eastAsia="zh-CN" w:bidi="ar-SA"/>
        </w:rPr>
        <w:t>万元。 2018年项目资金投入</w:t>
      </w:r>
      <w:r>
        <w:rPr>
          <w:rFonts w:hint="eastAsia" w:ascii="宋体" w:hAnsi="宋体" w:cs="宋体"/>
          <w:color w:val="333333"/>
          <w:kern w:val="0"/>
          <w:sz w:val="28"/>
          <w:szCs w:val="28"/>
          <w:lang w:val="en-US" w:eastAsia="zh-CN" w:bidi="ar-SA"/>
        </w:rPr>
        <w:t>63.6</w:t>
      </w:r>
      <w:r>
        <w:rPr>
          <w:rFonts w:hint="eastAsia" w:ascii="宋体" w:hAnsi="宋体" w:eastAsia="宋体" w:cs="宋体"/>
          <w:color w:val="333333"/>
          <w:kern w:val="0"/>
          <w:sz w:val="28"/>
          <w:szCs w:val="28"/>
          <w:lang w:val="en-US" w:eastAsia="zh-CN" w:bidi="ar-SA"/>
        </w:rPr>
        <w:t>万元，已使用</w:t>
      </w:r>
      <w:r>
        <w:rPr>
          <w:rFonts w:hint="eastAsia" w:ascii="宋体" w:hAnsi="宋体" w:cs="宋体"/>
          <w:color w:val="333333"/>
          <w:kern w:val="0"/>
          <w:sz w:val="28"/>
          <w:szCs w:val="28"/>
          <w:lang w:val="en-US" w:eastAsia="zh-CN" w:bidi="ar-SA"/>
        </w:rPr>
        <w:t>63.6</w:t>
      </w:r>
      <w:r>
        <w:rPr>
          <w:rFonts w:hint="eastAsia" w:ascii="宋体" w:hAnsi="宋体" w:eastAsia="宋体" w:cs="宋体"/>
          <w:color w:val="333333"/>
          <w:kern w:val="0"/>
          <w:sz w:val="28"/>
          <w:szCs w:val="28"/>
          <w:lang w:val="en-US" w:eastAsia="zh-CN" w:bidi="ar-SA"/>
        </w:rPr>
        <w:t>万元，使用率100%。使用从评价结果看，项目立项程序完整、规范，预算执行及时、有效，绩效目标得到较好实现，绩效管理水平不断提高，绩效指标体系建设逐渐丰富和完善。</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p>
    <w:p>
      <w:pPr>
        <w:widowControl/>
        <w:shd w:val="clear" w:color="auto" w:fill="FFFFFF"/>
        <w:snapToGrid w:val="0"/>
        <w:spacing w:line="560" w:lineRule="atLeast"/>
        <w:ind w:firstLine="562"/>
        <w:jc w:val="left"/>
        <w:rPr>
          <w:rFonts w:hint="eastAsia" w:ascii="宋体" w:hAnsi="宋体" w:cs="宋体"/>
          <w:color w:val="333333"/>
          <w:kern w:val="0"/>
          <w:sz w:val="28"/>
          <w:szCs w:val="28"/>
        </w:rPr>
      </w:pPr>
    </w:p>
    <w:p>
      <w:pPr>
        <w:widowControl/>
        <w:shd w:val="clear" w:color="auto" w:fill="FFFFFF"/>
        <w:snapToGrid w:val="0"/>
        <w:spacing w:line="560" w:lineRule="atLeast"/>
        <w:jc w:val="left"/>
        <w:rPr>
          <w:rFonts w:hint="eastAsia" w:ascii="宋体" w:hAnsi="宋体" w:cs="宋体"/>
          <w:color w:val="333333"/>
          <w:kern w:val="0"/>
          <w:sz w:val="28"/>
          <w:szCs w:val="28"/>
        </w:rPr>
      </w:pPr>
    </w:p>
    <w:p>
      <w:pPr>
        <w:widowControl/>
        <w:shd w:val="clear" w:color="auto" w:fill="FFFFFF"/>
        <w:snapToGrid w:val="0"/>
        <w:spacing w:line="560" w:lineRule="atLeast"/>
        <w:ind w:firstLine="562"/>
        <w:jc w:val="left"/>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 xml:space="preserve"> 第四部分 名词解释</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一、财政补助收入：指县级财政当年拨付的资金。</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二、其他收入：指除“财政拨款收入”、“上级补助收入”、“事业收入”、“经营收入”等以外的收入。主要是存款利息收入等。</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三、年初结转和结余：指以前年度尚未完成、结转到本年按有关规定继续使用的资金。</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六、一般公共服务（类）机关服务（项）：指黄石港区区委办服务中心为机关提供办公楼日常维修、维护等后勤保障服务的支出。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七、一般公共服务（类）其他一般公共服务支出（款）其他一般公共服务支出（项）：指黄石港区区委办用于其他一般公共服务方面的支出。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八、教育（类）普通教育（款）高等教育（项）：指黄石港区区委办支持地方高校的重点发展和特色办学，组织专家对省属院校申报的建设规划和项目预算进行评审等相关工作的支出。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九、社会保障和就业(类)行政事业单位离退休（款）归口管理的行政单位离退休（项）：指黄石港区区委办用于离退休人员的支出、退休人员支出，以及提供管理服务工作的离退休干部处的支出。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十、社会保障和就业(类)行政事业单位离退休（款）其他行政事业单位离退休支出（项）：指黄石港区区委办用于离退休方面的其他支出。</w:t>
      </w:r>
    </w:p>
    <w:p>
      <w:pPr>
        <w:widowControl/>
        <w:shd w:val="clear" w:color="auto" w:fill="FFFFFF"/>
        <w:snapToGrid w:val="0"/>
        <w:spacing w:line="560" w:lineRule="atLeast"/>
        <w:ind w:firstLine="562"/>
        <w:jc w:val="left"/>
        <w:rPr>
          <w:rFonts w:hint="eastAsia" w:ascii="宋体" w:hAnsi="宋体" w:cs="宋体"/>
          <w:color w:val="333333"/>
          <w:kern w:val="0"/>
          <w:sz w:val="28"/>
          <w:szCs w:val="28"/>
        </w:rPr>
      </w:pPr>
      <w:r>
        <w:rPr>
          <w:rFonts w:hint="eastAsia" w:ascii="宋体" w:hAnsi="宋体" w:cs="宋体"/>
          <w:color w:val="333333"/>
          <w:kern w:val="0"/>
          <w:sz w:val="28"/>
          <w:szCs w:val="28"/>
        </w:rPr>
        <w:t>十一、医疗卫生与计划生育（类）医疗保障（款）行政单位医疗（项）：指黄石港区区委办用于机关干部职工及离退休人员医疗方面的支出。</w:t>
      </w:r>
    </w:p>
    <w:p>
      <w:pPr>
        <w:widowControl/>
        <w:shd w:val="clear" w:color="auto" w:fill="FFFFFF"/>
        <w:snapToGrid w:val="0"/>
        <w:spacing w:line="560" w:lineRule="atLeast"/>
        <w:ind w:firstLine="562"/>
        <w:jc w:val="left"/>
        <w:rPr>
          <w:rFonts w:hint="eastAsia" w:ascii="宋体" w:hAnsi="宋体" w:cs="宋体"/>
          <w:color w:val="333333"/>
          <w:kern w:val="0"/>
          <w:sz w:val="24"/>
        </w:rPr>
      </w:pPr>
      <w:r>
        <w:rPr>
          <w:rFonts w:hint="eastAsia" w:ascii="宋体" w:hAnsi="宋体" w:cs="宋体"/>
          <w:color w:val="333333"/>
          <w:kern w:val="0"/>
          <w:sz w:val="24"/>
        </w:rPr>
        <w:t>十二、住房保障（类）住房改革支出（款）购房补贴（项）：指按照相关住房分配货币化改革的政策规定和标准，对无房和住房未达标职工发放的住房分配货币化补贴资金。</w:t>
      </w:r>
    </w:p>
    <w:p>
      <w:pPr>
        <w:widowControl/>
        <w:shd w:val="clear" w:color="auto" w:fill="FFFFFF"/>
        <w:snapToGrid w:val="0"/>
        <w:spacing w:line="560" w:lineRule="atLeast"/>
        <w:ind w:firstLine="562"/>
        <w:jc w:val="left"/>
        <w:rPr>
          <w:rFonts w:hint="eastAsia" w:ascii="宋体" w:hAnsi="宋体" w:cs="宋体"/>
          <w:color w:val="333333"/>
          <w:kern w:val="0"/>
          <w:sz w:val="24"/>
        </w:rPr>
      </w:pPr>
      <w:r>
        <w:rPr>
          <w:rFonts w:hint="eastAsia" w:ascii="宋体" w:hAnsi="宋体" w:cs="宋体"/>
          <w:color w:val="333333"/>
          <w:kern w:val="0"/>
          <w:sz w:val="24"/>
        </w:rPr>
        <w:t>十三、年末结转和结余：指本年度或以前年度预算安排、因客观条件发生变化无法按原计划实施，需要延迟到以后年度按有关规定继续使用的资金。</w:t>
      </w:r>
    </w:p>
    <w:p>
      <w:pPr>
        <w:widowControl/>
        <w:shd w:val="clear" w:color="auto" w:fill="FFFFFF"/>
        <w:snapToGrid w:val="0"/>
        <w:spacing w:line="560" w:lineRule="atLeast"/>
        <w:ind w:firstLine="562"/>
        <w:jc w:val="left"/>
        <w:rPr>
          <w:rFonts w:hint="eastAsia" w:ascii="宋体" w:hAnsi="宋体" w:cs="宋体"/>
          <w:color w:val="333333"/>
          <w:kern w:val="0"/>
          <w:sz w:val="24"/>
        </w:rPr>
      </w:pPr>
      <w:r>
        <w:rPr>
          <w:rFonts w:hint="eastAsia" w:ascii="宋体" w:hAnsi="宋体" w:cs="宋体"/>
          <w:color w:val="333333"/>
          <w:kern w:val="0"/>
          <w:sz w:val="24"/>
        </w:rPr>
        <w:t>十四、基本支出：指为保障机构正常运转、完成日常工作任务而发生的人员支出（包括基本工资、津贴补贴等）和公用支出（包括办公费、水电费、邮电费、交通费、差旅费等）。</w:t>
      </w:r>
    </w:p>
    <w:p>
      <w:pPr>
        <w:widowControl/>
        <w:shd w:val="clear" w:color="auto" w:fill="FFFFFF"/>
        <w:snapToGrid w:val="0"/>
        <w:spacing w:line="560" w:lineRule="atLeast"/>
        <w:ind w:firstLine="562"/>
        <w:jc w:val="left"/>
        <w:rPr>
          <w:rFonts w:hint="eastAsia" w:ascii="宋体" w:hAnsi="宋体" w:cs="宋体"/>
          <w:color w:val="333333"/>
          <w:kern w:val="0"/>
          <w:sz w:val="24"/>
        </w:rPr>
      </w:pPr>
      <w:r>
        <w:rPr>
          <w:rFonts w:hint="eastAsia" w:ascii="宋体" w:hAnsi="宋体" w:cs="宋体"/>
          <w:color w:val="333333"/>
          <w:kern w:val="0"/>
          <w:sz w:val="24"/>
        </w:rPr>
        <w:t>十五、项目支出：指在基本支出之外为完成特定行政任务和事业发展目标所发生的支出。</w:t>
      </w:r>
    </w:p>
    <w:p>
      <w:pPr>
        <w:widowControl/>
        <w:shd w:val="clear" w:color="auto" w:fill="FFFFFF"/>
        <w:snapToGrid w:val="0"/>
        <w:spacing w:line="560" w:lineRule="atLeast"/>
        <w:ind w:firstLine="562"/>
        <w:jc w:val="left"/>
        <w:rPr>
          <w:rFonts w:hint="eastAsia" w:ascii="宋体" w:hAnsi="宋体" w:cs="宋体"/>
          <w:color w:val="333333"/>
          <w:kern w:val="0"/>
          <w:sz w:val="24"/>
        </w:rPr>
      </w:pPr>
      <w:r>
        <w:rPr>
          <w:rFonts w:hint="eastAsia" w:ascii="宋体" w:hAnsi="宋体" w:cs="宋体"/>
          <w:color w:val="333333"/>
          <w:kern w:val="0"/>
          <w:sz w:val="24"/>
        </w:rPr>
        <w:t>十六、“三公”经费：是指用财政拨款安排的因公出国（境）费、公务用车购置及运行维护费、公务接待费。</w:t>
      </w: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8F"/>
    <w:rsid w:val="00122BC6"/>
    <w:rsid w:val="00154BAD"/>
    <w:rsid w:val="00170432"/>
    <w:rsid w:val="00180A3D"/>
    <w:rsid w:val="00254CB5"/>
    <w:rsid w:val="00382363"/>
    <w:rsid w:val="00391B62"/>
    <w:rsid w:val="003D6D1E"/>
    <w:rsid w:val="00443143"/>
    <w:rsid w:val="004C4C71"/>
    <w:rsid w:val="004D59FE"/>
    <w:rsid w:val="00510F5F"/>
    <w:rsid w:val="005B0248"/>
    <w:rsid w:val="00792DDB"/>
    <w:rsid w:val="007949A9"/>
    <w:rsid w:val="007C3CFE"/>
    <w:rsid w:val="007E596C"/>
    <w:rsid w:val="008032D3"/>
    <w:rsid w:val="00826E13"/>
    <w:rsid w:val="00827EA3"/>
    <w:rsid w:val="008F3DC6"/>
    <w:rsid w:val="0090686B"/>
    <w:rsid w:val="0097772C"/>
    <w:rsid w:val="009C4779"/>
    <w:rsid w:val="00A35755"/>
    <w:rsid w:val="00A75A5A"/>
    <w:rsid w:val="00B5153C"/>
    <w:rsid w:val="00B93868"/>
    <w:rsid w:val="00BC7B8F"/>
    <w:rsid w:val="00CE5D69"/>
    <w:rsid w:val="00DB3DC3"/>
    <w:rsid w:val="00DB6A89"/>
    <w:rsid w:val="00E40304"/>
    <w:rsid w:val="00ED3319"/>
    <w:rsid w:val="00EE2E83"/>
    <w:rsid w:val="00F01BBD"/>
    <w:rsid w:val="00F12796"/>
    <w:rsid w:val="00F76758"/>
    <w:rsid w:val="01956809"/>
    <w:rsid w:val="0664587B"/>
    <w:rsid w:val="09A169A3"/>
    <w:rsid w:val="09FF39B4"/>
    <w:rsid w:val="0A1D212C"/>
    <w:rsid w:val="0B821CB6"/>
    <w:rsid w:val="10157CA5"/>
    <w:rsid w:val="11411182"/>
    <w:rsid w:val="13FA6E94"/>
    <w:rsid w:val="1D3216D7"/>
    <w:rsid w:val="219E41B4"/>
    <w:rsid w:val="255E033E"/>
    <w:rsid w:val="27272230"/>
    <w:rsid w:val="27390172"/>
    <w:rsid w:val="2CCE2491"/>
    <w:rsid w:val="2F081AB6"/>
    <w:rsid w:val="401A2F36"/>
    <w:rsid w:val="408F5EDF"/>
    <w:rsid w:val="44064590"/>
    <w:rsid w:val="457D21A1"/>
    <w:rsid w:val="49D83A19"/>
    <w:rsid w:val="4A187DA8"/>
    <w:rsid w:val="507C1CF5"/>
    <w:rsid w:val="57193076"/>
    <w:rsid w:val="59F74EC1"/>
    <w:rsid w:val="61773BFF"/>
    <w:rsid w:val="621B3808"/>
    <w:rsid w:val="67E4782B"/>
    <w:rsid w:val="6A5F0092"/>
    <w:rsid w:val="6C4A66E9"/>
    <w:rsid w:val="746766E2"/>
    <w:rsid w:val="74EA7B66"/>
    <w:rsid w:val="78186405"/>
    <w:rsid w:val="784C1E5B"/>
    <w:rsid w:val="7D417A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customStyle="1" w:styleId="11">
    <w:name w:val="Heading 5 Char"/>
    <w:basedOn w:val="9"/>
    <w:link w:val="2"/>
    <w:semiHidden/>
    <w:qFormat/>
    <w:locked/>
    <w:uiPriority w:val="99"/>
    <w:rPr>
      <w:rFonts w:ascii="Calibri" w:hAnsi="Calibri" w:cs="Times New Roman"/>
      <w:b/>
      <w:bCs/>
      <w:sz w:val="28"/>
      <w:szCs w:val="28"/>
    </w:rPr>
  </w:style>
  <w:style w:type="character" w:customStyle="1" w:styleId="12">
    <w:name w:val="Body Text Indent Char"/>
    <w:basedOn w:val="9"/>
    <w:link w:val="3"/>
    <w:semiHidden/>
    <w:qFormat/>
    <w:locked/>
    <w:uiPriority w:val="99"/>
    <w:rPr>
      <w:rFonts w:ascii="Calibri" w:hAnsi="Calibri" w:cs="Times New Roman"/>
      <w:sz w:val="24"/>
      <w:szCs w:val="24"/>
    </w:rPr>
  </w:style>
  <w:style w:type="character" w:customStyle="1" w:styleId="13">
    <w:name w:val="Plain Text Char"/>
    <w:basedOn w:val="9"/>
    <w:link w:val="4"/>
    <w:semiHidden/>
    <w:qFormat/>
    <w:locked/>
    <w:uiPriority w:val="99"/>
    <w:rPr>
      <w:rFonts w:ascii="宋体" w:hAnsi="Courier New" w:cs="Courier New"/>
      <w:sz w:val="21"/>
      <w:szCs w:val="21"/>
    </w:rPr>
  </w:style>
  <w:style w:type="paragraph" w:customStyle="1" w:styleId="14">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5">
    <w:name w:val="ca-2"/>
    <w:basedOn w:val="9"/>
    <w:qFormat/>
    <w:uiPriority w:val="99"/>
    <w:rPr>
      <w:rFonts w:cs="Times New Roman"/>
    </w:rPr>
  </w:style>
  <w:style w:type="paragraph" w:customStyle="1" w:styleId="16">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7">
    <w:name w:val="ca-3"/>
    <w:basedOn w:val="9"/>
    <w:qFormat/>
    <w:uiPriority w:val="99"/>
    <w:rPr>
      <w:rFonts w:cs="Times New Roman"/>
    </w:rPr>
  </w:style>
  <w:style w:type="character" w:customStyle="1" w:styleId="18">
    <w:name w:val="apple-converted-space"/>
    <w:basedOn w:val="9"/>
    <w:qFormat/>
    <w:uiPriority w:val="99"/>
    <w:rPr>
      <w:rFonts w:cs="Times New Roman"/>
    </w:rPr>
  </w:style>
  <w:style w:type="paragraph" w:customStyle="1" w:styleId="19">
    <w:name w:val="pa-1"/>
    <w:basedOn w:val="1"/>
    <w:qFormat/>
    <w:uiPriority w:val="99"/>
    <w:pPr>
      <w:widowControl/>
      <w:spacing w:before="100" w:beforeAutospacing="1" w:after="100" w:afterAutospacing="1"/>
      <w:jc w:val="left"/>
    </w:pPr>
    <w:rPr>
      <w:rFonts w:ascii="宋体" w:hAnsi="宋体" w:cs="宋体"/>
      <w:kern w:val="0"/>
      <w:sz w:val="24"/>
    </w:rPr>
  </w:style>
  <w:style w:type="character" w:customStyle="1" w:styleId="20">
    <w:name w:val="Header Char"/>
    <w:basedOn w:val="9"/>
    <w:link w:val="6"/>
    <w:semiHidden/>
    <w:qFormat/>
    <w:locked/>
    <w:uiPriority w:val="99"/>
    <w:rPr>
      <w:rFonts w:ascii="Calibri" w:hAnsi="Calibri" w:cs="Times New Roman"/>
      <w:sz w:val="18"/>
      <w:szCs w:val="18"/>
    </w:rPr>
  </w:style>
  <w:style w:type="character" w:customStyle="1" w:styleId="21">
    <w:name w:val="Footer Char"/>
    <w:basedOn w:val="9"/>
    <w:link w:val="5"/>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423</Words>
  <Characters>2416</Characters>
  <Lines>0</Lines>
  <Paragraphs>0</Paragraphs>
  <TotalTime>14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2021-05-26T09:48:42Z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