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shd w:val="clear" w:fill="FFFFFF"/>
          <w:lang w:eastAsia="zh-CN"/>
        </w:rPr>
        <w:t>人大</w:t>
      </w:r>
      <w:r>
        <w:rPr>
          <w:rFonts w:hint="eastAsia" w:ascii="微软雅黑" w:hAnsi="微软雅黑" w:eastAsia="微软雅黑" w:cs="微软雅黑"/>
          <w:b/>
          <w:i w:val="0"/>
          <w:caps w:val="0"/>
          <w:color w:val="BC1010"/>
          <w:spacing w:val="0"/>
          <w:sz w:val="40"/>
          <w:szCs w:val="40"/>
          <w:shd w:val="clear" w:fill="FFFFFF"/>
        </w:rPr>
        <w:t>201</w:t>
      </w:r>
      <w:r>
        <w:rPr>
          <w:rFonts w:hint="eastAsia" w:ascii="微软雅黑" w:hAnsi="微软雅黑" w:eastAsia="微软雅黑" w:cs="微软雅黑"/>
          <w:b/>
          <w:i w:val="0"/>
          <w:caps w:val="0"/>
          <w:color w:val="BC1010"/>
          <w:spacing w:val="0"/>
          <w:sz w:val="40"/>
          <w:szCs w:val="40"/>
          <w:shd w:val="clear" w:fill="FFFFFF"/>
          <w:lang w:val="en-US" w:eastAsia="zh-CN"/>
        </w:rPr>
        <w:t>8</w:t>
      </w:r>
      <w:r>
        <w:rPr>
          <w:rFonts w:hint="eastAsia" w:ascii="微软雅黑" w:hAnsi="微软雅黑" w:eastAsia="微软雅黑" w:cs="微软雅黑"/>
          <w:b/>
          <w:i w:val="0"/>
          <w:caps w:val="0"/>
          <w:color w:val="BC1010"/>
          <w:spacing w:val="0"/>
          <w:sz w:val="40"/>
          <w:szCs w:val="40"/>
          <w:shd w:val="clear" w:fill="FFFFFF"/>
        </w:rPr>
        <w:t>年决算公开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8"/>
          <w:rFonts w:hint="eastAsia" w:ascii="微软雅黑" w:hAnsi="微软雅黑" w:eastAsia="微软雅黑" w:cs="微软雅黑"/>
          <w:i w:val="0"/>
          <w:caps w:val="0"/>
          <w:color w:val="333333"/>
          <w:spacing w:val="0"/>
          <w:sz w:val="24"/>
          <w:szCs w:val="24"/>
          <w:shd w:val="clear" w:fill="FFFFFF"/>
          <w:lang w:eastAsia="zh-CN"/>
        </w:rPr>
        <w:t>黄石港区人大</w:t>
      </w:r>
      <w:r>
        <w:rPr>
          <w:rStyle w:val="8"/>
          <w:rFonts w:hint="eastAsia" w:ascii="微软雅黑" w:hAnsi="微软雅黑" w:eastAsia="微软雅黑" w:cs="微软雅黑"/>
          <w:i w:val="0"/>
          <w:caps w:val="0"/>
          <w:color w:val="333333"/>
          <w:spacing w:val="0"/>
          <w:sz w:val="24"/>
          <w:szCs w:val="24"/>
          <w:shd w:val="clear" w:fill="FFFFFF"/>
        </w:rPr>
        <w:t>201</w:t>
      </w:r>
      <w:r>
        <w:rPr>
          <w:rStyle w:val="8"/>
          <w:rFonts w:hint="eastAsia" w:ascii="微软雅黑" w:hAnsi="微软雅黑" w:eastAsia="微软雅黑" w:cs="微软雅黑"/>
          <w:i w:val="0"/>
          <w:caps w:val="0"/>
          <w:color w:val="333333"/>
          <w:spacing w:val="0"/>
          <w:sz w:val="24"/>
          <w:szCs w:val="24"/>
          <w:shd w:val="clear" w:fill="FFFFFF"/>
          <w:lang w:val="en-US" w:eastAsia="zh-CN"/>
        </w:rPr>
        <w:t>8</w:t>
      </w:r>
      <w:r>
        <w:rPr>
          <w:rStyle w:val="8"/>
          <w:rFonts w:hint="eastAsia" w:ascii="微软雅黑" w:hAnsi="微软雅黑" w:eastAsia="微软雅黑" w:cs="微软雅黑"/>
          <w:i w:val="0"/>
          <w:caps w:val="0"/>
          <w:color w:val="333333"/>
          <w:spacing w:val="0"/>
          <w:sz w:val="24"/>
          <w:szCs w:val="24"/>
          <w:shd w:val="clear" w:fill="FFFFFF"/>
        </w:rPr>
        <w:t>年决算公开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目  录</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第一部分:部门基本情况</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一、部门主要职责</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二、部门决算单位构成</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第二部分: 部门2018年部门决算表</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一、收入支出决算总表（表1）</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二、收入决算表（表2）</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三、支出决算表（表3）</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四、财政拨款收入支出决算总表（表4）</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五、一般公共预算财政拨款支出决算表（表5）</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六、一般公共预算财政拨款基本支出决算表（表6）</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七、一般公共预算财政拨款“三公”经费支出决算表（表7）</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八、政府性基金预算财政拨款收入支出决算表（8）</w:t>
      </w:r>
    </w:p>
    <w:p>
      <w:pPr>
        <w:pStyle w:val="6"/>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第三部分：部门2018年部门决算情况说明</w:t>
      </w:r>
    </w:p>
    <w:p>
      <w:pPr>
        <w:pStyle w:val="16"/>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color w:val="333333"/>
          <w:shd w:val="clear" w:color="auto"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一、</w:t>
      </w:r>
      <w:r>
        <w:rPr>
          <w:rFonts w:hint="eastAsia" w:ascii="微软雅黑" w:hAnsi="微软雅黑" w:eastAsia="微软雅黑" w:cs="微软雅黑"/>
          <w:b w:val="0"/>
          <w:i w:val="0"/>
          <w:caps w:val="0"/>
          <w:color w:val="333333"/>
          <w:spacing w:val="0"/>
          <w:sz w:val="24"/>
          <w:szCs w:val="24"/>
          <w:shd w:val="clear" w:color="080000" w:fill="FFFFFF"/>
        </w:rPr>
        <w:t>预算执行情况分析</w:t>
      </w:r>
    </w:p>
    <w:p>
      <w:pPr>
        <w:pStyle w:val="6"/>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lang w:eastAsia="zh-CN"/>
        </w:rPr>
        <w:t>二</w:t>
      </w:r>
      <w:r>
        <w:rPr>
          <w:rFonts w:hint="eastAsia" w:ascii="微软雅黑" w:hAnsi="微软雅黑" w:eastAsia="微软雅黑" w:cs="微软雅黑"/>
          <w:color w:val="333333"/>
          <w:shd w:val="clear" w:color="auto" w:fill="FFFFFF"/>
        </w:rPr>
        <w:t>、关于“三公”经费支出说明</w:t>
      </w:r>
    </w:p>
    <w:p>
      <w:pPr>
        <w:pStyle w:val="6"/>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lang w:eastAsia="zh-CN"/>
        </w:rPr>
        <w:t>三</w:t>
      </w:r>
      <w:r>
        <w:rPr>
          <w:rFonts w:hint="eastAsia" w:ascii="微软雅黑" w:hAnsi="微软雅黑" w:eastAsia="微软雅黑" w:cs="微软雅黑"/>
          <w:color w:val="333333"/>
          <w:shd w:val="clear" w:color="auto" w:fill="FFFFFF"/>
        </w:rPr>
        <w:t>、关于机关运行经费支出说明</w:t>
      </w:r>
    </w:p>
    <w:p>
      <w:pPr>
        <w:pStyle w:val="6"/>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lang w:eastAsia="zh-CN"/>
        </w:rPr>
        <w:t>四</w:t>
      </w:r>
      <w:r>
        <w:rPr>
          <w:rFonts w:hint="eastAsia" w:ascii="微软雅黑" w:hAnsi="微软雅黑" w:eastAsia="微软雅黑" w:cs="微软雅黑"/>
          <w:color w:val="333333"/>
          <w:shd w:val="clear" w:color="auto" w:fill="FFFFFF"/>
        </w:rPr>
        <w:t>、关于政府采购支出说明</w:t>
      </w:r>
    </w:p>
    <w:p>
      <w:pPr>
        <w:pStyle w:val="6"/>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lang w:eastAsia="zh-CN"/>
        </w:rPr>
        <w:t>五</w:t>
      </w:r>
      <w:r>
        <w:rPr>
          <w:rFonts w:hint="eastAsia" w:ascii="微软雅黑" w:hAnsi="微软雅黑" w:eastAsia="微软雅黑" w:cs="微软雅黑"/>
          <w:color w:val="333333"/>
          <w:shd w:val="clear" w:color="auto" w:fill="FFFFFF"/>
        </w:rPr>
        <w:t>、关于国有资产占用情况说明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color w:val="333333"/>
          <w:shd w:val="clear" w:color="auto" w:fill="FFFFFF"/>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第四部分：名词解释 </w:t>
      </w:r>
    </w:p>
    <w:p/>
    <w:p>
      <w:pPr>
        <w:pStyle w:val="6"/>
        <w:widowControl/>
        <w:spacing w:before="76" w:beforeAutospacing="0" w:after="76" w:afterAutospacing="0" w:line="450" w:lineRule="atLeast"/>
        <w:ind w:firstLine="420"/>
        <w:jc w:val="center"/>
        <w:rPr>
          <w:rStyle w:val="8"/>
          <w:rFonts w:ascii="微软雅黑" w:hAnsi="微软雅黑" w:eastAsia="微软雅黑" w:cs="微软雅黑"/>
          <w:color w:val="333333"/>
          <w:shd w:val="clear" w:color="auto" w:fill="FFFFFF"/>
        </w:rPr>
      </w:pPr>
    </w:p>
    <w:p>
      <w:pPr>
        <w:pStyle w:val="6"/>
        <w:widowControl/>
        <w:spacing w:before="76" w:beforeAutospacing="0" w:after="76" w:afterAutospacing="0" w:line="450" w:lineRule="atLeast"/>
        <w:ind w:firstLine="420"/>
        <w:jc w:val="center"/>
        <w:rPr>
          <w:rStyle w:val="8"/>
          <w:rFonts w:ascii="微软雅黑" w:hAnsi="微软雅黑" w:eastAsia="微软雅黑" w:cs="微软雅黑"/>
          <w:color w:val="333333"/>
          <w:shd w:val="clear" w:color="auto" w:fill="FFFFFF"/>
        </w:rPr>
      </w:pPr>
    </w:p>
    <w:p>
      <w:pPr>
        <w:pStyle w:val="6"/>
        <w:widowControl/>
        <w:spacing w:before="76" w:beforeAutospacing="0" w:after="76" w:afterAutospacing="0" w:line="450" w:lineRule="atLeast"/>
        <w:ind w:firstLine="420"/>
        <w:jc w:val="center"/>
        <w:rPr>
          <w:rStyle w:val="8"/>
          <w:rFonts w:ascii="微软雅黑" w:hAnsi="微软雅黑" w:eastAsia="微软雅黑" w:cs="微软雅黑"/>
          <w:color w:val="333333"/>
          <w:shd w:val="clear" w:color="auto" w:fill="FFFFFF"/>
        </w:rPr>
      </w:pPr>
    </w:p>
    <w:p>
      <w:pPr>
        <w:pStyle w:val="6"/>
        <w:widowControl/>
        <w:spacing w:before="76" w:beforeAutospacing="0" w:after="76" w:afterAutospacing="0" w:line="450" w:lineRule="atLeast"/>
        <w:ind w:firstLine="420"/>
        <w:jc w:val="center"/>
        <w:rPr>
          <w:rStyle w:val="8"/>
          <w:rFonts w:ascii="微软雅黑" w:hAnsi="微软雅黑" w:eastAsia="微软雅黑" w:cs="微软雅黑"/>
          <w:color w:val="333333"/>
          <w:shd w:val="clear" w:color="auto" w:fill="FFFFFF"/>
        </w:rPr>
      </w:pPr>
    </w:p>
    <w:p>
      <w:pPr>
        <w:pStyle w:val="6"/>
        <w:widowControl/>
        <w:spacing w:before="76" w:beforeAutospacing="0" w:after="76" w:afterAutospacing="0" w:line="450" w:lineRule="atLeast"/>
        <w:ind w:firstLine="420"/>
        <w:jc w:val="center"/>
        <w:rPr>
          <w:rStyle w:val="8"/>
          <w:rFonts w:ascii="微软雅黑" w:hAnsi="微软雅黑" w:eastAsia="微软雅黑" w:cs="微软雅黑"/>
          <w:color w:val="333333"/>
          <w:shd w:val="clear" w:color="auto" w:fill="FFFFFF"/>
        </w:rPr>
      </w:pPr>
    </w:p>
    <w:p>
      <w:pPr>
        <w:pStyle w:val="6"/>
        <w:widowControl/>
        <w:spacing w:before="76" w:beforeAutospacing="0" w:after="76" w:afterAutospacing="0" w:line="450" w:lineRule="atLeast"/>
        <w:ind w:firstLine="420"/>
        <w:jc w:val="center"/>
        <w:rPr>
          <w:rStyle w:val="8"/>
          <w:rFonts w:hint="eastAsia" w:ascii="微软雅黑" w:hAnsi="微软雅黑" w:eastAsia="微软雅黑" w:cs="微软雅黑"/>
          <w:color w:val="333333"/>
          <w:shd w:val="clear" w:color="auto" w:fill="FFFFFF"/>
        </w:rPr>
      </w:pPr>
    </w:p>
    <w:p>
      <w:pPr>
        <w:pStyle w:val="6"/>
        <w:widowControl/>
        <w:spacing w:before="76" w:beforeAutospacing="0" w:after="76" w:afterAutospacing="0" w:line="450" w:lineRule="atLeast"/>
        <w:ind w:firstLine="420"/>
        <w:jc w:val="center"/>
        <w:rPr>
          <w:color w:val="333333"/>
        </w:rPr>
      </w:pPr>
      <w:r>
        <w:rPr>
          <w:rStyle w:val="8"/>
          <w:rFonts w:hint="eastAsia" w:ascii="微软雅黑" w:hAnsi="微软雅黑" w:eastAsia="微软雅黑" w:cs="微软雅黑"/>
          <w:color w:val="333333"/>
          <w:shd w:val="clear" w:color="auto" w:fill="FFFFFF"/>
        </w:rPr>
        <w:t>2018年部门决算</w:t>
      </w:r>
    </w:p>
    <w:p>
      <w:pPr>
        <w:pStyle w:val="6"/>
        <w:widowControl/>
        <w:spacing w:before="76" w:beforeAutospacing="0" w:after="76" w:afterAutospacing="0" w:line="450" w:lineRule="atLeast"/>
        <w:ind w:firstLine="420"/>
        <w:rPr>
          <w:color w:val="333333"/>
        </w:rPr>
      </w:pPr>
      <w:r>
        <w:rPr>
          <w:rStyle w:val="8"/>
          <w:rFonts w:hint="eastAsia" w:ascii="微软雅黑" w:hAnsi="微软雅黑" w:eastAsia="微软雅黑" w:cs="微软雅黑"/>
          <w:color w:val="333333"/>
          <w:shd w:val="clear" w:color="auto" w:fill="FFFFFF"/>
        </w:rPr>
        <w:t>第一部分 部门概况</w:t>
      </w:r>
    </w:p>
    <w:p>
      <w:pPr>
        <w:spacing w:line="620" w:lineRule="exact"/>
        <w:ind w:firstLine="640"/>
        <w:rPr>
          <w:rStyle w:val="10"/>
          <w:rFonts w:hint="eastAsia" w:asciiTheme="minorEastAsia" w:hAnsiTheme="minorEastAsia" w:eastAsiaTheme="minorEastAsia" w:cstheme="minorEastAsia"/>
          <w:sz w:val="28"/>
          <w:szCs w:val="28"/>
        </w:rPr>
      </w:pPr>
      <w:r>
        <w:rPr>
          <w:rStyle w:val="10"/>
          <w:rFonts w:hint="eastAsia" w:asciiTheme="minorEastAsia" w:hAnsiTheme="minorEastAsia" w:eastAsiaTheme="minorEastAsia" w:cstheme="minorEastAsia"/>
          <w:sz w:val="28"/>
          <w:szCs w:val="28"/>
          <w:lang w:eastAsia="zh-CN"/>
        </w:rPr>
        <w:t>（一）</w:t>
      </w:r>
      <w:r>
        <w:rPr>
          <w:rStyle w:val="10"/>
          <w:rFonts w:hint="eastAsia" w:asciiTheme="minorEastAsia" w:hAnsiTheme="minorEastAsia" w:eastAsiaTheme="minorEastAsia" w:cstheme="minorEastAsia"/>
          <w:sz w:val="28"/>
          <w:szCs w:val="28"/>
        </w:rPr>
        <w:t>主要职能</w:t>
      </w:r>
    </w:p>
    <w:p>
      <w:pPr>
        <w:spacing w:line="620" w:lineRule="exact"/>
        <w:ind w:firstLine="640"/>
        <w:rPr>
          <w:rFonts w:hint="eastAsia" w:asciiTheme="minorEastAsia" w:hAnsiTheme="minorEastAsia" w:eastAsiaTheme="minorEastAsia" w:cstheme="minorEastAsia"/>
          <w:kern w:val="0"/>
          <w:sz w:val="28"/>
          <w:szCs w:val="28"/>
        </w:rPr>
      </w:pPr>
      <w:r>
        <w:rPr>
          <w:rStyle w:val="10"/>
          <w:rFonts w:hint="eastAsia" w:asciiTheme="minorEastAsia" w:hAnsiTheme="minorEastAsia" w:eastAsiaTheme="minorEastAsia" w:cstheme="minorEastAsia"/>
          <w:sz w:val="28"/>
          <w:szCs w:val="28"/>
        </w:rPr>
        <w:t>黄石港区人大座落于黄石市磁湖路</w:t>
      </w:r>
      <w:r>
        <w:rPr>
          <w:rStyle w:val="11"/>
          <w:rFonts w:hint="eastAsia" w:asciiTheme="minorEastAsia" w:hAnsiTheme="minorEastAsia" w:eastAsiaTheme="minorEastAsia" w:cstheme="minorEastAsia"/>
          <w:sz w:val="28"/>
          <w:szCs w:val="28"/>
        </w:rPr>
        <w:t>180</w:t>
      </w:r>
      <w:r>
        <w:rPr>
          <w:rStyle w:val="10"/>
          <w:rFonts w:hint="eastAsia" w:asciiTheme="minorEastAsia" w:hAnsiTheme="minorEastAsia" w:eastAsiaTheme="minorEastAsia" w:cstheme="minorEastAsia"/>
          <w:sz w:val="28"/>
          <w:szCs w:val="28"/>
        </w:rPr>
        <w:t>号黄石港区政府大楼内，肃属于黄石市黄石港区。主要职能：</w:t>
      </w:r>
      <w:r>
        <w:rPr>
          <w:rFonts w:hint="eastAsia" w:asciiTheme="minorEastAsia" w:hAnsiTheme="minorEastAsia" w:eastAsiaTheme="minorEastAsia" w:cstheme="minorEastAsia"/>
          <w:kern w:val="0"/>
          <w:sz w:val="28"/>
          <w:szCs w:val="28"/>
        </w:rPr>
        <w:t>我单位是一个区级财政全额拨款的行政单位，负责区人大的日常文书处理和日常事务工作；协助区人大领导组织起草或审核以区人大党组、区人大常委会、区人大办公室名义发布的文件，承办区人大规范性文件的备案工作；根据上级精神、领导意图和区人大的中心</w:t>
      </w:r>
      <w:r>
        <w:rPr>
          <w:rStyle w:val="10"/>
          <w:rFonts w:hint="eastAsia" w:asciiTheme="minorEastAsia" w:hAnsiTheme="minorEastAsia" w:eastAsiaTheme="minorEastAsia" w:cstheme="minorEastAsia"/>
          <w:sz w:val="28"/>
          <w:szCs w:val="28"/>
        </w:rPr>
        <w:t>工作</w:t>
      </w:r>
      <w:r>
        <w:rPr>
          <w:rFonts w:hint="eastAsia" w:asciiTheme="minorEastAsia" w:hAnsiTheme="minorEastAsia" w:eastAsiaTheme="minorEastAsia" w:cstheme="minorEastAsia"/>
          <w:kern w:val="0"/>
          <w:sz w:val="28"/>
          <w:szCs w:val="28"/>
        </w:rPr>
        <w:t>，草拟工作计划、总结报告和汇报材料，负责组织或参与、配合本单位起草和准备区人大领导讲话稿或提纲，负责做好信息的收集、编写、上报、反馈等工作；组织开展各工委的调研视察工作，为区人大决策提供有参考价值的建议；组织开展市、区两级人大代表的视察工作；组织、开展、督办四个人大联络组活动；负责区人大各种会议（人代会、党组会、常委会、主任会、办公会等）的筹备、组织工作，协助区人大领导做好实施各项决定的组织和协调督办工作；组织、协调区人大各工作委员会的工作，对有争议的问题提出处理意见，报区人大领导决定；督促、检查、指导政府部门的人大代表建议、意见，协调处理过程中出现的问题；负责上级和本级单位文件、电报、信函的收发、登记、分发、传阅、催办与立卷保管的归档和销毁；转办或答复来信来访，交办、转办、督办群众和基层单位反映的有关问题；做好保密工作，管理区人大机关各类档案，开展好保密工作和档案管理规范化工作，并随时做好上级保密部门的备查；完成上级交办的其它工作任务；及时收集开展工作所需的各类信息；处理市区两级文件、资料，及时签收、登记、分发、送阅、督办、催办；对领导部署的工作执行情况以及上级机关交办的事项进行抄告、催办、督办；负责市、区两级人大代表的业务指导和培训等工作；根据领导要求，做好本单位和部门的协调工作等。</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line="560" w:lineRule="atLeast"/>
        <w:ind w:firstLine="560" w:firstLineChars="200"/>
        <w:jc w:val="left"/>
        <w:textAlignment w:val="auto"/>
        <w:rPr>
          <w:rFonts w:hint="eastAsia" w:asciiTheme="minorEastAsia" w:hAnsiTheme="minorEastAsia" w:eastAsiaTheme="minorEastAsia" w:cstheme="minorEastAsia"/>
          <w:b w:val="0"/>
          <w:bCs w:val="0"/>
          <w:kern w:val="0"/>
          <w:sz w:val="28"/>
          <w:szCs w:val="28"/>
        </w:rPr>
      </w:pPr>
      <w:r>
        <w:rPr>
          <w:rFonts w:hint="eastAsia" w:asciiTheme="minorEastAsia" w:hAnsiTheme="minorEastAsia" w:cstheme="minorEastAsia"/>
          <w:b w:val="0"/>
          <w:bCs w:val="0"/>
          <w:kern w:val="0"/>
          <w:sz w:val="28"/>
          <w:szCs w:val="28"/>
          <w:lang w:eastAsia="zh-CN"/>
        </w:rPr>
        <w:t>（二）</w:t>
      </w:r>
      <w:r>
        <w:rPr>
          <w:rFonts w:hint="eastAsia" w:asciiTheme="minorEastAsia" w:hAnsiTheme="minorEastAsia" w:eastAsiaTheme="minorEastAsia" w:cstheme="minorEastAsia"/>
          <w:b w:val="0"/>
          <w:bCs w:val="0"/>
          <w:kern w:val="0"/>
          <w:sz w:val="28"/>
          <w:szCs w:val="28"/>
        </w:rPr>
        <w:t>机构情况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line="560" w:lineRule="atLeast"/>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cstheme="minorEastAsia"/>
          <w:b w:val="0"/>
          <w:bCs w:val="0"/>
          <w:kern w:val="0"/>
          <w:sz w:val="28"/>
          <w:szCs w:val="28"/>
          <w:lang w:eastAsia="zh-CN"/>
        </w:rPr>
        <w:t>人大常委会办公室</w:t>
      </w:r>
      <w:r>
        <w:rPr>
          <w:rFonts w:hint="eastAsia" w:asciiTheme="minorEastAsia" w:hAnsiTheme="minorEastAsia" w:cstheme="minorEastAsia"/>
          <w:b w:val="0"/>
          <w:bCs w:val="0"/>
          <w:color w:val="auto"/>
          <w:kern w:val="0"/>
          <w:sz w:val="28"/>
          <w:szCs w:val="28"/>
          <w:lang w:eastAsia="zh-CN"/>
        </w:rPr>
        <w:t>、</w:t>
      </w:r>
      <w:r>
        <w:rPr>
          <w:rFonts w:hint="eastAsia" w:asciiTheme="minorEastAsia" w:hAnsiTheme="minorEastAsia" w:cstheme="minorEastAsia"/>
          <w:color w:val="auto"/>
          <w:kern w:val="0"/>
          <w:sz w:val="28"/>
          <w:szCs w:val="28"/>
        </w:rPr>
        <w:t>法制委员会、财经委员会</w:t>
      </w:r>
      <w:r>
        <w:rPr>
          <w:rFonts w:hint="eastAsia" w:asciiTheme="minorEastAsia" w:hAnsiTheme="minorEastAsia" w:cstheme="minorEastAsia"/>
          <w:b w:val="0"/>
          <w:bCs w:val="0"/>
          <w:kern w:val="0"/>
          <w:sz w:val="28"/>
          <w:szCs w:val="28"/>
          <w:lang w:eastAsia="zh-CN"/>
        </w:rPr>
        <w:t>、人事代表工作委员会、城环工作委员会、教科文卫工作委员会</w:t>
      </w:r>
      <w:r>
        <w:rPr>
          <w:rFonts w:hint="eastAsia" w:asciiTheme="minorEastAsia" w:hAnsiTheme="minorEastAsia" w:eastAsiaTheme="minorEastAsia" w:cstheme="minorEastAsia"/>
          <w:kern w:val="0"/>
          <w:sz w:val="28"/>
          <w:szCs w:val="28"/>
        </w:rPr>
        <w:t>。</w:t>
      </w:r>
    </w:p>
    <w:p>
      <w:pPr>
        <w:widowControl/>
        <w:numPr>
          <w:ilvl w:val="0"/>
          <w:numId w:val="1"/>
        </w:numPr>
        <w:shd w:val="clear" w:color="auto" w:fill="FFFFFF"/>
        <w:snapToGrid w:val="0"/>
        <w:spacing w:line="560" w:lineRule="atLeast"/>
        <w:ind w:firstLine="420" w:firstLineChars="150"/>
        <w:jc w:val="left"/>
        <w:rPr>
          <w:rFonts w:hint="eastAsia" w:asciiTheme="minorEastAsia" w:hAnsiTheme="minorEastAsia" w:cstheme="minorEastAsia"/>
          <w:kern w:val="0"/>
          <w:sz w:val="28"/>
          <w:szCs w:val="28"/>
          <w:lang w:eastAsia="zh-CN"/>
        </w:rPr>
      </w:pPr>
      <w:r>
        <w:rPr>
          <w:rFonts w:hint="eastAsia" w:asciiTheme="minorEastAsia" w:hAnsiTheme="minorEastAsia" w:cstheme="minorEastAsia"/>
          <w:kern w:val="0"/>
          <w:sz w:val="28"/>
          <w:szCs w:val="28"/>
          <w:lang w:eastAsia="zh-CN"/>
        </w:rPr>
        <w:t>人员情况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line="560" w:lineRule="atLeast"/>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2018年末在职人数为17人，2018年先后调进2人、调出1人、退休1人，所以，2018年末实有在职人数为17人,其中，行政编制人员14人，事业编制人员3人。</w:t>
      </w:r>
    </w:p>
    <w:p>
      <w:pPr>
        <w:keepNext w:val="0"/>
        <w:keepLines w:val="0"/>
        <w:pageBreakBefore w:val="0"/>
        <w:widowControl/>
        <w:shd w:val="clear" w:color="auto" w:fill="FFFFFF"/>
        <w:kinsoku/>
        <w:wordWrap/>
        <w:overflowPunct/>
        <w:topLinePunct w:val="0"/>
        <w:autoSpaceDE/>
        <w:autoSpaceDN/>
        <w:bidi w:val="0"/>
        <w:adjustRightInd/>
        <w:snapToGrid w:val="0"/>
        <w:spacing w:line="560" w:lineRule="atLeast"/>
        <w:ind w:firstLine="600" w:firstLineChars="200"/>
        <w:jc w:val="left"/>
        <w:textAlignment w:val="auto"/>
        <w:rPr>
          <w:rFonts w:hint="eastAsia" w:asciiTheme="minorEastAsia" w:hAnsiTheme="minorEastAsia" w:eastAsiaTheme="minorEastAsia" w:cstheme="minorEastAsia"/>
          <w:kern w:val="0"/>
          <w:sz w:val="30"/>
          <w:szCs w:val="30"/>
        </w:rPr>
      </w:pPr>
    </w:p>
    <w:p>
      <w:pPr>
        <w:widowControl/>
        <w:shd w:val="clear" w:color="auto" w:fill="FFFFFF"/>
        <w:snapToGrid w:val="0"/>
        <w:spacing w:line="560" w:lineRule="atLeast"/>
        <w:ind w:firstLine="601"/>
        <w:jc w:val="left"/>
        <w:rPr>
          <w:rFonts w:hint="eastAsia" w:asciiTheme="minorEastAsia" w:hAnsiTheme="minorEastAsia" w:eastAsiaTheme="minorEastAsia" w:cstheme="minorEastAsia"/>
          <w:kern w:val="0"/>
          <w:sz w:val="30"/>
          <w:szCs w:val="30"/>
        </w:rPr>
      </w:pPr>
    </w:p>
    <w:p>
      <w:pPr>
        <w:widowControl/>
        <w:shd w:val="clear" w:color="auto" w:fill="FFFFFF"/>
        <w:snapToGrid w:val="0"/>
        <w:spacing w:line="560" w:lineRule="atLeast"/>
        <w:ind w:firstLine="601"/>
        <w:jc w:val="left"/>
        <w:rPr>
          <w:rFonts w:hint="eastAsia" w:asciiTheme="minorEastAsia" w:hAnsiTheme="minorEastAsia" w:eastAsiaTheme="minorEastAsia" w:cstheme="minorEastAsia"/>
          <w:kern w:val="0"/>
          <w:sz w:val="30"/>
          <w:szCs w:val="30"/>
        </w:rPr>
      </w:pPr>
    </w:p>
    <w:p>
      <w:pPr>
        <w:widowControl/>
        <w:shd w:val="clear" w:color="auto" w:fill="FFFFFF"/>
        <w:snapToGrid w:val="0"/>
        <w:spacing w:line="560" w:lineRule="atLeast"/>
        <w:ind w:firstLine="601"/>
        <w:jc w:val="left"/>
        <w:rPr>
          <w:rFonts w:hint="eastAsia" w:asciiTheme="minorEastAsia" w:hAnsiTheme="minorEastAsia" w:eastAsiaTheme="minorEastAsia" w:cstheme="minorEastAsia"/>
          <w:kern w:val="0"/>
          <w:sz w:val="30"/>
          <w:szCs w:val="30"/>
        </w:rPr>
      </w:pPr>
    </w:p>
    <w:p>
      <w:pPr>
        <w:widowControl/>
        <w:shd w:val="clear" w:color="auto" w:fill="FFFFFF"/>
        <w:snapToGrid w:val="0"/>
        <w:spacing w:line="560" w:lineRule="atLeast"/>
        <w:ind w:firstLine="601"/>
        <w:jc w:val="left"/>
        <w:rPr>
          <w:rFonts w:hint="eastAsia" w:asciiTheme="minorEastAsia" w:hAnsiTheme="minorEastAsia" w:eastAsiaTheme="minorEastAsia" w:cstheme="minorEastAsia"/>
          <w:kern w:val="0"/>
          <w:sz w:val="30"/>
          <w:szCs w:val="30"/>
        </w:rPr>
      </w:pPr>
    </w:p>
    <w:p>
      <w:pPr>
        <w:widowControl/>
        <w:shd w:val="clear" w:color="auto" w:fill="FFFFFF"/>
        <w:snapToGrid w:val="0"/>
        <w:spacing w:line="560" w:lineRule="atLeast"/>
        <w:ind w:firstLine="601"/>
        <w:jc w:val="left"/>
        <w:rPr>
          <w:rFonts w:hint="eastAsia" w:asciiTheme="minorEastAsia" w:hAnsiTheme="minorEastAsia" w:eastAsiaTheme="minorEastAsia" w:cstheme="minorEastAsia"/>
          <w:kern w:val="0"/>
          <w:sz w:val="30"/>
          <w:szCs w:val="30"/>
        </w:rPr>
      </w:pPr>
    </w:p>
    <w:p>
      <w:pPr>
        <w:widowControl/>
        <w:shd w:val="clear" w:color="auto" w:fill="FFFFFF"/>
        <w:snapToGrid w:val="0"/>
        <w:spacing w:line="560" w:lineRule="atLeast"/>
        <w:ind w:firstLine="601"/>
        <w:jc w:val="left"/>
        <w:rPr>
          <w:rFonts w:hint="eastAsia" w:asciiTheme="minorEastAsia" w:hAnsiTheme="minorEastAsia" w:eastAsiaTheme="minorEastAsia" w:cstheme="minorEastAsia"/>
          <w:kern w:val="0"/>
          <w:sz w:val="30"/>
          <w:szCs w:val="30"/>
        </w:rPr>
      </w:pPr>
    </w:p>
    <w:p>
      <w:pPr>
        <w:widowControl/>
        <w:shd w:val="clear" w:color="auto" w:fill="FFFFFF"/>
        <w:snapToGrid w:val="0"/>
        <w:spacing w:line="560" w:lineRule="atLeast"/>
        <w:ind w:firstLine="601"/>
        <w:jc w:val="left"/>
        <w:rPr>
          <w:rFonts w:hint="eastAsia" w:asciiTheme="minorEastAsia" w:hAnsiTheme="minorEastAsia" w:eastAsiaTheme="minorEastAsia" w:cstheme="minorEastAsia"/>
          <w:kern w:val="0"/>
          <w:sz w:val="30"/>
          <w:szCs w:val="30"/>
        </w:rPr>
      </w:pPr>
    </w:p>
    <w:p>
      <w:pPr>
        <w:widowControl/>
        <w:shd w:val="clear" w:color="auto" w:fill="FFFFFF"/>
        <w:snapToGrid w:val="0"/>
        <w:spacing w:line="560" w:lineRule="atLeast"/>
        <w:ind w:firstLine="601"/>
        <w:jc w:val="left"/>
        <w:rPr>
          <w:rFonts w:hint="eastAsia" w:asciiTheme="minorEastAsia" w:hAnsiTheme="minorEastAsia" w:eastAsiaTheme="minorEastAsia" w:cstheme="minorEastAsia"/>
          <w:kern w:val="0"/>
          <w:sz w:val="30"/>
          <w:szCs w:val="30"/>
        </w:rPr>
      </w:pPr>
    </w:p>
    <w:p>
      <w:pPr>
        <w:widowControl/>
        <w:shd w:val="clear" w:color="auto" w:fill="FFFFFF"/>
        <w:snapToGrid w:val="0"/>
        <w:spacing w:line="560" w:lineRule="atLeast"/>
        <w:jc w:val="left"/>
        <w:rPr>
          <w:rFonts w:hint="eastAsia" w:asciiTheme="minorEastAsia" w:hAnsiTheme="minorEastAsia" w:eastAsiaTheme="minorEastAsia" w:cstheme="minorEastAsia"/>
          <w:kern w:val="0"/>
          <w:sz w:val="30"/>
          <w:szCs w:val="30"/>
        </w:rPr>
      </w:pPr>
    </w:p>
    <w:p>
      <w:pPr>
        <w:pStyle w:val="6"/>
        <w:widowControl/>
        <w:numPr>
          <w:ilvl w:val="0"/>
          <w:numId w:val="2"/>
        </w:numPr>
        <w:spacing w:before="76" w:beforeAutospacing="0" w:after="76" w:afterAutospacing="0" w:line="450" w:lineRule="atLeast"/>
        <w:ind w:firstLine="420"/>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lang w:eastAsia="zh-CN"/>
        </w:rPr>
        <w:t>部门</w:t>
      </w:r>
      <w:r>
        <w:rPr>
          <w:rStyle w:val="8"/>
          <w:rFonts w:hint="eastAsia" w:ascii="微软雅黑" w:hAnsi="微软雅黑" w:eastAsia="微软雅黑" w:cs="微软雅黑"/>
          <w:color w:val="333333"/>
          <w:shd w:val="clear" w:color="auto" w:fill="FFFFFF"/>
        </w:rPr>
        <w:t>2018年部门决算表</w:t>
      </w:r>
      <w:r>
        <w:drawing>
          <wp:inline distT="0" distB="0" distL="114300" distR="114300">
            <wp:extent cx="8768715" cy="5806440"/>
            <wp:effectExtent l="0" t="0" r="1333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8768715" cy="5806440"/>
                    </a:xfrm>
                    <a:prstGeom prst="rect">
                      <a:avLst/>
                    </a:prstGeom>
                    <a:noFill/>
                    <a:ln>
                      <a:noFill/>
                    </a:ln>
                  </pic:spPr>
                </pic:pic>
              </a:graphicData>
            </a:graphic>
          </wp:inline>
        </w:drawing>
      </w:r>
    </w:p>
    <w:p/>
    <w:p>
      <w:pPr>
        <w:jc w:val="center"/>
      </w:pPr>
      <w:r>
        <w:drawing>
          <wp:inline distT="0" distB="0" distL="114300" distR="114300">
            <wp:extent cx="8852535" cy="2703830"/>
            <wp:effectExtent l="0" t="0" r="571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8852535" cy="2703830"/>
                    </a:xfrm>
                    <a:prstGeom prst="rect">
                      <a:avLst/>
                    </a:prstGeom>
                    <a:noFill/>
                    <a:ln>
                      <a:noFill/>
                    </a:ln>
                  </pic:spPr>
                </pic:pic>
              </a:graphicData>
            </a:graphic>
          </wp:inline>
        </w:drawing>
      </w:r>
    </w:p>
    <w:p/>
    <w:p>
      <w:r>
        <w:drawing>
          <wp:inline distT="0" distB="0" distL="114300" distR="114300">
            <wp:extent cx="8861425" cy="3020695"/>
            <wp:effectExtent l="0" t="0" r="15875"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8861425" cy="3020695"/>
                    </a:xfrm>
                    <a:prstGeom prst="rect">
                      <a:avLst/>
                    </a:prstGeom>
                    <a:noFill/>
                    <a:ln>
                      <a:noFill/>
                    </a:ln>
                  </pic:spPr>
                </pic:pic>
              </a:graphicData>
            </a:graphic>
          </wp:inline>
        </w:drawing>
      </w:r>
    </w:p>
    <w:p/>
    <w:p/>
    <w:p/>
    <w:p>
      <w:r>
        <w:drawing>
          <wp:inline distT="0" distB="0" distL="114300" distR="114300">
            <wp:extent cx="8841740" cy="6116320"/>
            <wp:effectExtent l="0" t="0" r="16510" b="177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8841740" cy="6116320"/>
                    </a:xfrm>
                    <a:prstGeom prst="rect">
                      <a:avLst/>
                    </a:prstGeom>
                    <a:noFill/>
                    <a:ln>
                      <a:noFill/>
                    </a:ln>
                  </pic:spPr>
                </pic:pic>
              </a:graphicData>
            </a:graphic>
          </wp:inline>
        </w:drawing>
      </w:r>
    </w:p>
    <w:p/>
    <w:p>
      <w:r>
        <w:drawing>
          <wp:inline distT="0" distB="0" distL="114300" distR="114300">
            <wp:extent cx="8856345" cy="316230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rcRect t="2142"/>
                    <a:stretch>
                      <a:fillRect/>
                    </a:stretch>
                  </pic:blipFill>
                  <pic:spPr>
                    <a:xfrm>
                      <a:off x="0" y="0"/>
                      <a:ext cx="8856345" cy="3162300"/>
                    </a:xfrm>
                    <a:prstGeom prst="rect">
                      <a:avLst/>
                    </a:prstGeom>
                    <a:noFill/>
                    <a:ln>
                      <a:noFill/>
                    </a:ln>
                  </pic:spPr>
                </pic:pic>
              </a:graphicData>
            </a:graphic>
          </wp:inline>
        </w:drawing>
      </w:r>
    </w:p>
    <w:p/>
    <w:p/>
    <w:p/>
    <w:p/>
    <w:p/>
    <w:p/>
    <w:p/>
    <w:p/>
    <w:p>
      <w:pPr>
        <w:jc w:val="center"/>
      </w:pPr>
    </w:p>
    <w:p/>
    <w:p/>
    <w:p/>
    <w:p/>
    <w:p/>
    <w:p/>
    <w:p/>
    <w:p>
      <w:r>
        <w:drawing>
          <wp:inline distT="0" distB="0" distL="114300" distR="114300">
            <wp:extent cx="8855075" cy="6089650"/>
            <wp:effectExtent l="0" t="0" r="3175"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8855075" cy="6089650"/>
                    </a:xfrm>
                    <a:prstGeom prst="rect">
                      <a:avLst/>
                    </a:prstGeom>
                    <a:noFill/>
                    <a:ln>
                      <a:noFill/>
                    </a:ln>
                  </pic:spPr>
                </pic:pic>
              </a:graphicData>
            </a:graphic>
          </wp:inline>
        </w:drawing>
      </w:r>
    </w:p>
    <w:p>
      <w:r>
        <w:drawing>
          <wp:inline distT="0" distB="0" distL="114300" distR="114300">
            <wp:extent cx="8863330" cy="2324735"/>
            <wp:effectExtent l="0" t="0" r="13970" b="184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8863330" cy="2324735"/>
                    </a:xfrm>
                    <a:prstGeom prst="rect">
                      <a:avLst/>
                    </a:prstGeom>
                    <a:noFill/>
                    <a:ln>
                      <a:noFill/>
                    </a:ln>
                  </pic:spPr>
                </pic:pic>
              </a:graphicData>
            </a:graphic>
          </wp:inline>
        </w:drawing>
      </w:r>
    </w:p>
    <w:p>
      <w:r>
        <w:drawing>
          <wp:inline distT="0" distB="0" distL="114300" distR="114300">
            <wp:extent cx="8853805" cy="2825115"/>
            <wp:effectExtent l="0" t="0" r="4445" b="133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8853805" cy="2825115"/>
                    </a:xfrm>
                    <a:prstGeom prst="rect">
                      <a:avLst/>
                    </a:prstGeom>
                    <a:noFill/>
                    <a:ln>
                      <a:noFill/>
                    </a:ln>
                  </pic:spPr>
                </pic:pic>
              </a:graphicData>
            </a:graphic>
          </wp:inline>
        </w:drawing>
      </w:r>
    </w:p>
    <w:p/>
    <w:p/>
    <w:p/>
    <w:p/>
    <w:p/>
    <w:p/>
    <w:p>
      <w:pPr>
        <w:pStyle w:val="6"/>
        <w:widowControl/>
        <w:numPr>
          <w:ilvl w:val="0"/>
          <w:numId w:val="2"/>
        </w:numPr>
        <w:spacing w:before="76" w:beforeAutospacing="0" w:after="76" w:afterAutospacing="0" w:line="450" w:lineRule="atLeast"/>
        <w:ind w:firstLine="420"/>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2018年部门决算情况说明</w:t>
      </w:r>
    </w:p>
    <w:p>
      <w:pPr>
        <w:pStyle w:val="6"/>
        <w:widowControl/>
        <w:spacing w:before="76" w:beforeAutospacing="0" w:after="76" w:afterAutospacing="0" w:line="450" w:lineRule="atLeast"/>
        <w:ind w:left="420"/>
        <w:rPr>
          <w:rFonts w:ascii="微软雅黑" w:hAnsi="微软雅黑" w:eastAsia="微软雅黑" w:cs="微软雅黑"/>
          <w:b/>
          <w:bCs/>
          <w:color w:val="333333"/>
          <w:shd w:val="clear" w:color="auto" w:fill="FFFFFF"/>
        </w:rPr>
      </w:pPr>
      <w:r>
        <w:rPr>
          <w:rFonts w:hint="eastAsia" w:asciiTheme="minorEastAsia" w:hAnsiTheme="minorEastAsia" w:eastAsiaTheme="minorEastAsia" w:cstheme="minorEastAsia"/>
          <w:b/>
          <w:bCs/>
          <w:color w:val="333333"/>
          <w:sz w:val="28"/>
          <w:szCs w:val="28"/>
          <w:shd w:val="clear" w:color="auto" w:fill="FFFFFF"/>
          <w:lang w:eastAsia="zh-CN"/>
        </w:rPr>
        <w:t>（一）</w:t>
      </w:r>
      <w:r>
        <w:rPr>
          <w:rFonts w:hint="eastAsia" w:asciiTheme="minorEastAsia" w:hAnsiTheme="minorEastAsia" w:eastAsiaTheme="minorEastAsia" w:cstheme="minorEastAsia"/>
          <w:b/>
          <w:bCs/>
          <w:color w:val="333333"/>
          <w:sz w:val="28"/>
          <w:szCs w:val="28"/>
          <w:shd w:val="clear" w:color="auto" w:fill="FFFFFF"/>
        </w:rPr>
        <w:t>预算执行情况分析</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2018年度财政收入预算数290.93万元，其中人员经费178.62万元，公用经费112.31万元；2018年度财政支出预算数290.93万元，其中人员经费178.62万元，公用经费112.31万元。2017年度财政收入预算数251.02万元，其中人员经费</w:t>
      </w:r>
      <w:r>
        <w:rPr>
          <w:rFonts w:hint="eastAsia" w:asciiTheme="minorEastAsia" w:hAnsiTheme="minorEastAsia" w:eastAsiaTheme="minorEastAsia" w:cstheme="minorEastAsia"/>
          <w:sz w:val="28"/>
          <w:szCs w:val="28"/>
        </w:rPr>
        <w:t>149.63万</w:t>
      </w:r>
      <w:r>
        <w:rPr>
          <w:rFonts w:hint="eastAsia" w:asciiTheme="minorEastAsia" w:hAnsiTheme="minorEastAsia" w:eastAsiaTheme="minorEastAsia" w:cstheme="minorEastAsia"/>
          <w:sz w:val="28"/>
          <w:szCs w:val="28"/>
          <w:shd w:val="clear" w:color="auto" w:fill="FFFFFF"/>
        </w:rPr>
        <w:t>元，公用经费101.39万元；2017年度财政支出预算数251.02万元，其中人员经费</w:t>
      </w:r>
      <w:r>
        <w:rPr>
          <w:rFonts w:hint="eastAsia" w:asciiTheme="minorEastAsia" w:hAnsiTheme="minorEastAsia" w:eastAsiaTheme="minorEastAsia" w:cstheme="minorEastAsia"/>
          <w:sz w:val="28"/>
          <w:szCs w:val="28"/>
        </w:rPr>
        <w:t>149.63万</w:t>
      </w:r>
      <w:r>
        <w:rPr>
          <w:rFonts w:hint="eastAsia" w:asciiTheme="minorEastAsia" w:hAnsiTheme="minorEastAsia" w:eastAsiaTheme="minorEastAsia" w:cstheme="minorEastAsia"/>
          <w:sz w:val="28"/>
          <w:szCs w:val="28"/>
          <w:shd w:val="clear" w:color="auto" w:fill="FFFFFF"/>
        </w:rPr>
        <w:t>元，公用经费101.39万元。2018收入预算数比上年增加39.91万元，2018支出预算数比上年增加39.91万元。</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cstheme="minorEastAsia"/>
          <w:sz w:val="28"/>
          <w:szCs w:val="28"/>
          <w:shd w:val="clear" w:color="auto" w:fill="FFFFFF"/>
          <w:lang w:val="en-US" w:eastAsia="zh-CN"/>
        </w:rPr>
        <w:t>1、</w:t>
      </w:r>
      <w:r>
        <w:rPr>
          <w:rFonts w:hint="eastAsia" w:asciiTheme="minorEastAsia" w:hAnsiTheme="minorEastAsia" w:eastAsiaTheme="minorEastAsia" w:cstheme="minorEastAsia"/>
          <w:sz w:val="28"/>
          <w:szCs w:val="28"/>
          <w:shd w:val="clear" w:color="auto" w:fill="FFFFFF"/>
        </w:rPr>
        <w:t>收入与预算对比分析</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2018年全年总收入463.33万元。其中财政决算收入458.37万元，其他收入4.96万元。2018年全年决算总支出463.33万元，其中财政决算支出458.37万元，其他资金支出4.96万元。2018年度财政收入预算数290.93万元，财拔决算比预算多172.4万元，增幅59.26%，原因为业务增加。</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cstheme="minorEastAsia"/>
          <w:sz w:val="28"/>
          <w:szCs w:val="28"/>
          <w:shd w:val="clear" w:color="auto" w:fill="FFFFFF"/>
          <w:lang w:val="en-US" w:eastAsia="zh-CN"/>
        </w:rPr>
        <w:t>2、</w:t>
      </w:r>
      <w:r>
        <w:rPr>
          <w:rFonts w:hint="eastAsia" w:asciiTheme="minorEastAsia" w:hAnsiTheme="minorEastAsia" w:eastAsiaTheme="minorEastAsia" w:cstheme="minorEastAsia"/>
          <w:sz w:val="28"/>
          <w:szCs w:val="28"/>
          <w:shd w:val="clear" w:color="auto" w:fill="FFFFFF"/>
        </w:rPr>
        <w:t>收入结构分析</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2018年全年总收入463.33万元。其中财政决算收入458.37万元，其他收入4.96万元</w:t>
      </w:r>
      <w:r>
        <w:rPr>
          <w:rFonts w:hint="eastAsia" w:asciiTheme="minorEastAsia" w:hAnsiTheme="minorEastAsia" w:cstheme="minorEastAsia"/>
          <w:sz w:val="28"/>
          <w:szCs w:val="28"/>
          <w:shd w:val="clear" w:color="auto" w:fill="FFFFFF"/>
          <w:lang w:eastAsia="zh-CN"/>
        </w:rPr>
        <w:t>；</w:t>
      </w:r>
      <w:r>
        <w:rPr>
          <w:rFonts w:hint="eastAsia" w:asciiTheme="minorEastAsia" w:hAnsiTheme="minorEastAsia" w:eastAsiaTheme="minorEastAsia" w:cstheme="minorEastAsia"/>
          <w:sz w:val="28"/>
          <w:szCs w:val="28"/>
          <w:shd w:val="clear" w:color="auto" w:fill="FFFFFF"/>
        </w:rPr>
        <w:t>2018年全年决算总支出463.33万元，其中财政决算支出458.37万元，其他资金支出4.96万元。支出按以下分类说明</w:t>
      </w:r>
    </w:p>
    <w:p>
      <w:pPr>
        <w:pStyle w:val="6"/>
        <w:widowControl/>
        <w:spacing w:beforeAutospacing="0" w:afterAutospacing="0"/>
        <w:ind w:firstLine="560" w:firstLineChars="20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①支出功能分类：463.33万元，政府办公室及相关机构事务。</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②支出性质分类：463.33万元，其中人员经费350.87万元；公用经费112.46万元。</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③支出经济分类：463.33万元。其中工资福利350.87万元；商品服务支出104.12万元；对个人和家庭的补助支出 0万元；其它资本性支出8.34万元。</w:t>
      </w:r>
    </w:p>
    <w:p>
      <w:pPr>
        <w:pStyle w:val="6"/>
        <w:widowControl/>
        <w:spacing w:beforeAutospacing="0" w:afterAutospacing="0"/>
        <w:ind w:firstLine="560"/>
        <w:rPr>
          <w:rFonts w:hint="eastAsia" w:asciiTheme="minorEastAsia" w:hAnsiTheme="minorEastAsia" w:eastAsiaTheme="minorEastAsia" w:cstheme="minorEastAsia"/>
          <w:b/>
          <w:bCs/>
          <w:sz w:val="28"/>
          <w:szCs w:val="28"/>
          <w:shd w:val="clear" w:color="auto" w:fill="FFFFFF"/>
        </w:rPr>
      </w:pPr>
      <w:r>
        <w:rPr>
          <w:rFonts w:hint="eastAsia" w:asciiTheme="minorEastAsia" w:hAnsiTheme="minorEastAsia" w:cstheme="minorEastAsia"/>
          <w:b/>
          <w:bCs/>
          <w:sz w:val="28"/>
          <w:szCs w:val="28"/>
          <w:shd w:val="clear" w:color="auto" w:fill="FFFFFF"/>
          <w:lang w:eastAsia="zh-CN"/>
        </w:rPr>
        <w:t>（二）</w:t>
      </w:r>
      <w:r>
        <w:rPr>
          <w:rFonts w:hint="eastAsia" w:asciiTheme="minorEastAsia" w:hAnsiTheme="minorEastAsia" w:eastAsiaTheme="minorEastAsia" w:cstheme="minorEastAsia"/>
          <w:b/>
          <w:bCs/>
          <w:sz w:val="28"/>
          <w:szCs w:val="28"/>
          <w:shd w:val="clear" w:color="auto" w:fill="FFFFFF"/>
        </w:rPr>
        <w:t>关于“三公”经费支出说明</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本年度三公经费中，公务接待费用发生891.00元。去年同期未发生三公经费支出。本年无出国费用支出，无车辆费用支出。</w:t>
      </w:r>
    </w:p>
    <w:p>
      <w:pPr>
        <w:pStyle w:val="6"/>
        <w:widowControl/>
        <w:spacing w:beforeAutospacing="0" w:afterAutospacing="0"/>
        <w:ind w:firstLine="560"/>
        <w:rPr>
          <w:rFonts w:hint="eastAsia" w:asciiTheme="minorEastAsia" w:hAnsiTheme="minorEastAsia" w:cstheme="minorEastAsia"/>
          <w:b/>
          <w:bCs/>
          <w:sz w:val="28"/>
          <w:szCs w:val="28"/>
          <w:shd w:val="clear" w:color="auto" w:fill="FFFFFF"/>
          <w:lang w:eastAsia="zh-CN"/>
        </w:rPr>
      </w:pPr>
      <w:r>
        <w:rPr>
          <w:rFonts w:hint="eastAsia" w:asciiTheme="minorEastAsia" w:hAnsiTheme="minorEastAsia" w:cstheme="minorEastAsia"/>
          <w:b/>
          <w:bCs/>
          <w:sz w:val="28"/>
          <w:szCs w:val="28"/>
          <w:shd w:val="clear" w:color="auto" w:fill="FFFFFF"/>
          <w:lang w:eastAsia="zh-CN"/>
        </w:rPr>
        <w:t>（三）关于机关运行经费支出说明</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2018年度机关运行经费支出458.37万元</w:t>
      </w:r>
      <w:r>
        <w:rPr>
          <w:rFonts w:hint="eastAsia" w:asciiTheme="minorEastAsia" w:hAnsiTheme="minorEastAsia" w:eastAsiaTheme="minorEastAsia" w:cstheme="minorEastAsia"/>
          <w:sz w:val="28"/>
          <w:szCs w:val="28"/>
          <w:shd w:val="clear" w:color="auto" w:fill="FFFFFF"/>
          <w:lang w:eastAsia="zh-CN"/>
        </w:rPr>
        <w:t>，</w:t>
      </w:r>
      <w:r>
        <w:rPr>
          <w:rFonts w:hint="eastAsia" w:asciiTheme="minorEastAsia" w:hAnsiTheme="minorEastAsia" w:eastAsiaTheme="minorEastAsia" w:cstheme="minorEastAsia"/>
          <w:sz w:val="28"/>
          <w:szCs w:val="28"/>
          <w:shd w:val="clear" w:color="auto" w:fill="FFFFFF"/>
        </w:rPr>
        <w:t>比年初预算数290.93万元增加167.44万元，增长57.55%。主要原因是：人员经费上涨，人员经费实际支出350.87万元；预算数178.62万元；涨幅原因为本年度补发、补交以前年度工资及社保费用。公用经费基本持平。</w:t>
      </w:r>
    </w:p>
    <w:p>
      <w:pPr>
        <w:pStyle w:val="6"/>
        <w:widowControl/>
        <w:spacing w:beforeAutospacing="0" w:afterAutospacing="0"/>
        <w:ind w:firstLine="560"/>
        <w:rPr>
          <w:rFonts w:hint="eastAsia" w:asciiTheme="minorEastAsia" w:hAnsiTheme="minorEastAsia" w:cstheme="minorEastAsia"/>
          <w:b/>
          <w:bCs/>
          <w:sz w:val="28"/>
          <w:szCs w:val="28"/>
          <w:shd w:val="clear" w:color="auto" w:fill="FFFFFF"/>
          <w:lang w:eastAsia="zh-CN"/>
        </w:rPr>
      </w:pPr>
      <w:r>
        <w:rPr>
          <w:rFonts w:hint="eastAsia" w:asciiTheme="minorEastAsia" w:hAnsiTheme="minorEastAsia" w:cstheme="minorEastAsia"/>
          <w:b/>
          <w:bCs/>
          <w:sz w:val="28"/>
          <w:szCs w:val="28"/>
          <w:shd w:val="clear" w:color="auto" w:fill="FFFFFF"/>
          <w:lang w:eastAsia="zh-CN"/>
        </w:rPr>
        <w:t>（四）关于政府采购支出说明</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本年无政府采购支出。</w:t>
      </w:r>
    </w:p>
    <w:p>
      <w:pPr>
        <w:pStyle w:val="6"/>
        <w:widowControl/>
        <w:spacing w:beforeAutospacing="0" w:afterAutospacing="0"/>
        <w:ind w:firstLine="560"/>
        <w:rPr>
          <w:rFonts w:hint="eastAsia" w:asciiTheme="minorEastAsia" w:hAnsiTheme="minorEastAsia" w:cstheme="minorEastAsia"/>
          <w:b/>
          <w:bCs/>
          <w:sz w:val="28"/>
          <w:szCs w:val="28"/>
          <w:shd w:val="clear" w:color="auto" w:fill="FFFFFF"/>
          <w:lang w:eastAsia="zh-CN"/>
        </w:rPr>
      </w:pPr>
      <w:r>
        <w:rPr>
          <w:rFonts w:hint="eastAsia" w:asciiTheme="minorEastAsia" w:hAnsiTheme="minorEastAsia" w:cstheme="minorEastAsia"/>
          <w:b/>
          <w:bCs/>
          <w:sz w:val="28"/>
          <w:szCs w:val="28"/>
          <w:shd w:val="clear" w:color="auto" w:fill="FFFFFF"/>
          <w:lang w:eastAsia="zh-CN"/>
        </w:rPr>
        <w:t>（五）关于国有资产占用情况说明</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本单位无公车和大型设备。</w:t>
      </w:r>
    </w:p>
    <w:p>
      <w:pPr>
        <w:spacing w:line="560" w:lineRule="exact"/>
        <w:ind w:firstLine="570" w:firstLineChars="200"/>
        <w:rPr>
          <w:rFonts w:hint="eastAsia" w:asciiTheme="minorEastAsia" w:hAnsiTheme="minorEastAsia" w:eastAsiaTheme="minorEastAsia" w:cstheme="minorEastAsia"/>
          <w:b/>
          <w:bCs/>
          <w:color w:val="000000"/>
          <w:spacing w:val="2"/>
          <w:sz w:val="28"/>
          <w:szCs w:val="28"/>
          <w:lang w:val="en-US" w:eastAsia="zh-CN"/>
        </w:rPr>
      </w:pPr>
      <w:r>
        <w:rPr>
          <w:rFonts w:hint="eastAsia" w:asciiTheme="minorEastAsia" w:hAnsiTheme="minorEastAsia" w:eastAsiaTheme="minorEastAsia" w:cstheme="minorEastAsia"/>
          <w:b/>
          <w:bCs/>
          <w:color w:val="000000"/>
          <w:spacing w:val="2"/>
          <w:sz w:val="28"/>
          <w:szCs w:val="28"/>
          <w:lang w:val="en-US" w:eastAsia="zh-CN"/>
        </w:rPr>
        <w:t>（六）重点绩效评价结果等预算绩效情况说明</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lang w:val="en-US" w:eastAsia="zh-CN"/>
        </w:rPr>
      </w:pPr>
      <w:r>
        <w:rPr>
          <w:rFonts w:hint="eastAsia" w:asciiTheme="minorEastAsia" w:hAnsiTheme="minorEastAsia" w:eastAsiaTheme="minorEastAsia" w:cstheme="minorEastAsia"/>
          <w:sz w:val="28"/>
          <w:szCs w:val="28"/>
          <w:shd w:val="clear" w:color="auto" w:fill="FFFFFF"/>
          <w:lang w:val="en-US" w:eastAsia="zh-CN"/>
        </w:rPr>
        <w:t>2018年， 根据预算绩效管理要求，我单位组织2018年度一般公共预算项目支出全面开展绩效自评，共涉及项目</w:t>
      </w:r>
      <w:r>
        <w:rPr>
          <w:rFonts w:hint="eastAsia" w:asciiTheme="minorEastAsia" w:hAnsiTheme="minorEastAsia" w:cstheme="minorEastAsia"/>
          <w:sz w:val="28"/>
          <w:szCs w:val="28"/>
          <w:shd w:val="clear" w:color="auto" w:fill="FFFFFF"/>
          <w:lang w:val="en-US" w:eastAsia="zh-CN"/>
        </w:rPr>
        <w:t>5</w:t>
      </w:r>
      <w:r>
        <w:rPr>
          <w:rFonts w:hint="eastAsia" w:asciiTheme="minorEastAsia" w:hAnsiTheme="minorEastAsia" w:eastAsiaTheme="minorEastAsia" w:cstheme="minorEastAsia"/>
          <w:sz w:val="28"/>
          <w:szCs w:val="28"/>
          <w:shd w:val="clear" w:color="auto" w:fill="FFFFFF"/>
          <w:lang w:val="en-US" w:eastAsia="zh-CN"/>
        </w:rPr>
        <w:t>个，资金</w:t>
      </w:r>
      <w:r>
        <w:rPr>
          <w:rFonts w:hint="eastAsia" w:asciiTheme="minorEastAsia" w:hAnsiTheme="minorEastAsia" w:cstheme="minorEastAsia"/>
          <w:sz w:val="28"/>
          <w:szCs w:val="28"/>
          <w:shd w:val="clear" w:color="auto" w:fill="FFFFFF"/>
          <w:lang w:val="en-US" w:eastAsia="zh-CN"/>
        </w:rPr>
        <w:t>42.96</w:t>
      </w:r>
      <w:r>
        <w:rPr>
          <w:rFonts w:hint="eastAsia" w:asciiTheme="minorEastAsia" w:hAnsiTheme="minorEastAsia" w:eastAsiaTheme="minorEastAsia" w:cstheme="minorEastAsia"/>
          <w:sz w:val="28"/>
          <w:szCs w:val="28"/>
          <w:shd w:val="clear" w:color="auto" w:fill="FFFFFF"/>
          <w:lang w:val="en-US" w:eastAsia="zh-CN"/>
        </w:rPr>
        <w:t>万元。 2018年项目资金投入</w:t>
      </w:r>
      <w:r>
        <w:rPr>
          <w:rFonts w:hint="eastAsia" w:asciiTheme="minorEastAsia" w:hAnsiTheme="minorEastAsia" w:cstheme="minorEastAsia"/>
          <w:sz w:val="28"/>
          <w:szCs w:val="28"/>
          <w:shd w:val="clear" w:color="auto" w:fill="FFFFFF"/>
          <w:lang w:val="en-US" w:eastAsia="zh-CN"/>
        </w:rPr>
        <w:t>42.96</w:t>
      </w:r>
      <w:r>
        <w:rPr>
          <w:rFonts w:hint="eastAsia" w:asciiTheme="minorEastAsia" w:hAnsiTheme="minorEastAsia" w:eastAsiaTheme="minorEastAsia" w:cstheme="minorEastAsia"/>
          <w:sz w:val="28"/>
          <w:szCs w:val="28"/>
          <w:shd w:val="clear" w:color="auto" w:fill="FFFFFF"/>
          <w:lang w:val="en-US" w:eastAsia="zh-CN"/>
        </w:rPr>
        <w:t>万元，已使用</w:t>
      </w:r>
      <w:r>
        <w:rPr>
          <w:rFonts w:hint="eastAsia" w:asciiTheme="minorEastAsia" w:hAnsiTheme="minorEastAsia" w:cstheme="minorEastAsia"/>
          <w:sz w:val="28"/>
          <w:szCs w:val="28"/>
          <w:shd w:val="clear" w:color="auto" w:fill="FFFFFF"/>
          <w:lang w:val="en-US" w:eastAsia="zh-CN"/>
        </w:rPr>
        <w:t>42.96</w:t>
      </w:r>
      <w:r>
        <w:rPr>
          <w:rFonts w:hint="eastAsia" w:asciiTheme="minorEastAsia" w:hAnsiTheme="minorEastAsia" w:eastAsiaTheme="minorEastAsia" w:cstheme="minorEastAsia"/>
          <w:sz w:val="28"/>
          <w:szCs w:val="28"/>
          <w:shd w:val="clear" w:color="auto" w:fill="FFFFFF"/>
          <w:lang w:val="en-US" w:eastAsia="zh-CN"/>
        </w:rPr>
        <w:t>万元，使用率100%。使用从评价结果看，项目立项程序完整、规范，</w:t>
      </w:r>
      <w:bookmarkStart w:id="0" w:name="_GoBack"/>
      <w:bookmarkEnd w:id="0"/>
      <w:r>
        <w:rPr>
          <w:rFonts w:hint="eastAsia" w:asciiTheme="minorEastAsia" w:hAnsiTheme="minorEastAsia" w:eastAsiaTheme="minorEastAsia" w:cstheme="minorEastAsia"/>
          <w:sz w:val="28"/>
          <w:szCs w:val="28"/>
          <w:shd w:val="clear" w:color="auto" w:fill="FFFFFF"/>
          <w:lang w:val="en-US" w:eastAsia="zh-CN"/>
        </w:rPr>
        <w:t>预算执行及时、有效，绩效目标得到较好实现，绩效管理水平不断提高，绩效指标体系建设逐渐丰富和完善。</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p>
    <w:p>
      <w:pPr>
        <w:pStyle w:val="6"/>
        <w:widowControl/>
        <w:spacing w:beforeAutospacing="0" w:afterAutospacing="0"/>
        <w:ind w:firstLine="560"/>
        <w:rPr>
          <w:rFonts w:hint="eastAsia" w:ascii="微软雅黑" w:hAnsi="微软雅黑" w:eastAsia="微软雅黑" w:cs="微软雅黑"/>
          <w:b/>
          <w:bCs/>
          <w:sz w:val="24"/>
          <w:szCs w:val="24"/>
          <w:shd w:val="clear" w:color="auto" w:fill="FFFFFF"/>
        </w:rPr>
      </w:pPr>
      <w:r>
        <w:rPr>
          <w:rFonts w:hint="eastAsia" w:ascii="微软雅黑" w:hAnsi="微软雅黑" w:eastAsia="微软雅黑" w:cs="微软雅黑"/>
          <w:b/>
          <w:bCs/>
          <w:sz w:val="24"/>
          <w:szCs w:val="24"/>
          <w:shd w:val="clear" w:color="auto" w:fill="FFFFFF"/>
        </w:rPr>
        <w:t>第四部分 名词解释</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一、财政补助收入：指县级财政当年拨付的资金。</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二、其他收入：指除“财政拨款收入”、“上级补助收入”、“事业收入”、“经营收入”等以外的收入。主要是存款利息收入等。</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三、年初结转和结余：指以前年度尚未完成、结转到本年按有关规定继续使用的资金。</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四、一般公共服务（类）行政运行（项）：指县行政单位及参照公务员管理事业单位用于保障机构正常运行、开展日常工作的基本支出。</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五、一般公共服务（类）一般行政管理事务（项）：指县行政单位及参照公务员管理事业单位用于开展立法调研、财政信息宣传、非税收入征管等未单独设置项级科目的专门性财政管理工作的项目支出。</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六、一般公共服务（类）机关服务（项）：指县黄石港区人大服务中心为机关提供办公楼日常维修、维护等后勤保障服务的支出。</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七、一般公共服务（类）其他一般公共服务支出（款）其他一般公共服务支出（项）：指黄石港区人大用于其他一般公共服务方面的支出。</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八、教育（类）普通教育（款）高等教育（项）：指黄石港区人大厅支持地方高校的重点发展和特色办学，组织专家对省属院校申报的建设规划和项目预算进行评审等相关工作的支出。</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九、社会保障和就业(类)行政事业单位离退休（款）归口管理的行政单位离退休（项）：指黄石港区人大用于离退休人员的支出、退休人员支出，以及提供管理服务工作的离退休干部处的支出。</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十、社会保障和就业(类)行政事业单位离退休（款）其他行政事业单位离退休支出（项）：指黄石港区人大用于离退休方面的其他支出。</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十一、医疗卫生与计划生育（类）医疗保障（款）行政单位医疗（项）：指黄石港区人大用于机关干部职工及离退休人员医疗方面的支出。</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十二、住房保障（类）住房改革支出（款）购房补贴（项）：指按照相关住房分配货币化改革的政策规定和标准，对无房和住房未达标职工发放的住房分配货币化补贴资金。</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十三、年末结转和结余：指本年度或以前年度预算安排、因客观条件发生变化无法按原计划实施，需要延迟到以后年度按有关规定继续使用的资金。</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十四、基本支出：指为保障机构正常运转、完成日常工作任务而发生的人员支出（包括基本工资、津贴补贴等）和公用支出（包括办公费、水电费、邮电费、交通费、差旅费等）。</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十五、项目支出：指在基本支出之外为完成特定行政任务和事业发展目标所发生的支出。</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十六、“三公”经费：是指用财政拨款安排的因公出国（境）费、公务用车购置及运行维护费、公务接待费。</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p>
    <w:sectPr>
      <w:pgSz w:w="16838" w:h="11906" w:orient="landscape"/>
      <w:pgMar w:top="1020" w:right="1440" w:bottom="567"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A875F9"/>
    <w:multiLevelType w:val="singleLevel"/>
    <w:tmpl w:val="8AA875F9"/>
    <w:lvl w:ilvl="0" w:tentative="0">
      <w:start w:val="2"/>
      <w:numFmt w:val="chineseCounting"/>
      <w:suff w:val="space"/>
      <w:lvlText w:val="第%1部分"/>
      <w:lvlJc w:val="left"/>
      <w:rPr>
        <w:rFonts w:hint="eastAsia"/>
      </w:rPr>
    </w:lvl>
  </w:abstractNum>
  <w:abstractNum w:abstractNumId="1">
    <w:nsid w:val="AA4D6B93"/>
    <w:multiLevelType w:val="singleLevel"/>
    <w:tmpl w:val="AA4D6B93"/>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91B32"/>
    <w:rsid w:val="000079F7"/>
    <w:rsid w:val="00484BB3"/>
    <w:rsid w:val="00812E7F"/>
    <w:rsid w:val="0FF83C13"/>
    <w:rsid w:val="1CE10904"/>
    <w:rsid w:val="20425963"/>
    <w:rsid w:val="28385A6F"/>
    <w:rsid w:val="2ED40676"/>
    <w:rsid w:val="30920D9D"/>
    <w:rsid w:val="35687F4F"/>
    <w:rsid w:val="35A91B32"/>
    <w:rsid w:val="4D7C648F"/>
    <w:rsid w:val="55A925D9"/>
    <w:rsid w:val="571A201F"/>
    <w:rsid w:val="5CF6057B"/>
    <w:rsid w:val="649C7F93"/>
    <w:rsid w:val="70884955"/>
    <w:rsid w:val="757E759E"/>
    <w:rsid w:val="76F76D0B"/>
    <w:rsid w:val="77AC7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kern w:val="0"/>
      <w:sz w:val="20"/>
      <w:szCs w:val="20"/>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5"/>
    <w:qFormat/>
    <w:uiPriority w:val="0"/>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10">
    <w:name w:val="ca-2"/>
    <w:basedOn w:val="7"/>
    <w:qFormat/>
    <w:uiPriority w:val="0"/>
  </w:style>
  <w:style w:type="character" w:customStyle="1" w:styleId="11">
    <w:name w:val="ca-3"/>
    <w:basedOn w:val="7"/>
    <w:qFormat/>
    <w:uiPriority w:val="0"/>
  </w:style>
  <w:style w:type="paragraph" w:customStyle="1" w:styleId="12">
    <w:name w:val="正文缩进 + 首行缩进:  2 字符"/>
    <w:basedOn w:val="1"/>
    <w:qFormat/>
    <w:uiPriority w:val="0"/>
    <w:pPr>
      <w:spacing w:line="560" w:lineRule="exact"/>
      <w:ind w:firstLine="640"/>
    </w:pPr>
    <w:rPr>
      <w:rFonts w:ascii="仿宋" w:hAnsi="仿宋" w:eastAsia="仿宋" w:cs="宋体"/>
      <w:sz w:val="32"/>
      <w:szCs w:val="20"/>
    </w:rPr>
  </w:style>
  <w:style w:type="character" w:customStyle="1" w:styleId="13">
    <w:name w:val="页眉 Char"/>
    <w:basedOn w:val="7"/>
    <w:link w:val="5"/>
    <w:qFormat/>
    <w:uiPriority w:val="0"/>
    <w:rPr>
      <w:rFonts w:asciiTheme="minorHAnsi" w:hAnsiTheme="minorHAnsi" w:eastAsiaTheme="minorEastAsia" w:cstheme="minorBidi"/>
      <w:kern w:val="2"/>
      <w:sz w:val="18"/>
      <w:szCs w:val="18"/>
    </w:rPr>
  </w:style>
  <w:style w:type="character" w:customStyle="1" w:styleId="14">
    <w:name w:val="页脚 Char"/>
    <w:basedOn w:val="7"/>
    <w:link w:val="4"/>
    <w:qFormat/>
    <w:uiPriority w:val="0"/>
    <w:rPr>
      <w:rFonts w:asciiTheme="minorHAnsi" w:hAnsiTheme="minorHAnsi" w:eastAsiaTheme="minorEastAsia" w:cstheme="minorBidi"/>
      <w:kern w:val="2"/>
      <w:sz w:val="18"/>
      <w:szCs w:val="18"/>
    </w:rPr>
  </w:style>
  <w:style w:type="character" w:customStyle="1" w:styleId="15">
    <w:name w:val="批注框文本 Char"/>
    <w:basedOn w:val="7"/>
    <w:link w:val="3"/>
    <w:qFormat/>
    <w:uiPriority w:val="0"/>
    <w:rPr>
      <w:rFonts w:asciiTheme="minorHAnsi" w:hAnsiTheme="minorHAnsi" w:eastAsiaTheme="minorEastAsia" w:cstheme="minorBidi"/>
      <w:kern w:val="2"/>
      <w:sz w:val="18"/>
      <w:szCs w:val="18"/>
    </w:rPr>
  </w:style>
  <w:style w:type="paragraph" w:customStyle="1" w:styleId="16">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417</Words>
  <Characters>2378</Characters>
  <Lines>19</Lines>
  <Paragraphs>5</Paragraphs>
  <TotalTime>1</TotalTime>
  <ScaleCrop>false</ScaleCrop>
  <LinksUpToDate>false</LinksUpToDate>
  <CharactersWithSpaces>2790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2019-09-04T04:30:00Z</dcterms:created>
  <dc:creator>米</dc:creator>
  <cp:lastModifiedBy>Administrator</cp:lastModifiedBy>
  <dcterms:modified xsi:type="dcterms:W3CDTF">2021-05-26T02:56:06Z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