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5" w:afterAutospacing="0" w:line="450" w:lineRule="atLeast"/>
        <w:ind w:left="0" w:right="0" w:firstLine="0"/>
        <w:jc w:val="center"/>
        <w:rPr>
          <w:rFonts w:ascii="微软雅黑" w:hAnsi="微软雅黑" w:eastAsia="微软雅黑" w:cs="微软雅黑"/>
          <w:b/>
          <w:i w:val="0"/>
          <w:caps w:val="0"/>
          <w:color w:val="BC1010"/>
          <w:spacing w:val="0"/>
          <w:sz w:val="40"/>
          <w:szCs w:val="40"/>
        </w:rPr>
      </w:pPr>
      <w:r>
        <w:rPr>
          <w:rFonts w:hint="eastAsia" w:ascii="微软雅黑" w:hAnsi="微软雅黑" w:eastAsia="微软雅黑" w:cs="微软雅黑"/>
          <w:b/>
          <w:i w:val="0"/>
          <w:caps w:val="0"/>
          <w:color w:val="BC1010"/>
          <w:spacing w:val="0"/>
          <w:sz w:val="40"/>
          <w:szCs w:val="40"/>
          <w:shd w:val="clear" w:fill="FFFFFF"/>
          <w:lang w:eastAsia="zh-CN"/>
        </w:rPr>
        <w:t>社保局</w:t>
      </w:r>
      <w:r>
        <w:rPr>
          <w:rFonts w:hint="eastAsia" w:ascii="微软雅黑" w:hAnsi="微软雅黑" w:eastAsia="微软雅黑" w:cs="微软雅黑"/>
          <w:b/>
          <w:i w:val="0"/>
          <w:caps w:val="0"/>
          <w:color w:val="BC1010"/>
          <w:spacing w:val="0"/>
          <w:sz w:val="40"/>
          <w:szCs w:val="40"/>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黄石港区社保局</w:t>
      </w:r>
      <w:r>
        <w:rPr>
          <w:rStyle w:val="7"/>
          <w:rFonts w:hint="eastAsia" w:ascii="微软雅黑" w:hAnsi="微软雅黑" w:eastAsia="微软雅黑" w:cs="微软雅黑"/>
          <w:i w:val="0"/>
          <w:caps w:val="0"/>
          <w:color w:val="333333"/>
          <w:spacing w:val="0"/>
          <w:sz w:val="24"/>
          <w:szCs w:val="24"/>
          <w:shd w:val="clear" w:fill="FFFFFF"/>
        </w:rPr>
        <w:t>2017年决算公开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目  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第一部分:部门基本情况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一、部门主要职责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二、部门决算单位构成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第二部分: 部门2017年部门决算表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一、收入支出决算总表（表1）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二、收入决算表（表2）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三、支出决算表（表3）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四、财政拨款收入支出决算总表（表4）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五、一般公共预算财政拨款支出决算表（表5）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六、一般公共预算财政拨款基本支出决算表（表6）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七、一般公共预算财政拨款“三公”经费支出决算表（表7）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八、政府性基金预算财政拨款收入支出决算表（8）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第三部分：部门2017年部门决算情况说明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一、</w:t>
      </w:r>
      <w:r>
        <w:rPr>
          <w:rFonts w:hint="eastAsia" w:ascii="微软雅黑" w:hAnsi="微软雅黑" w:eastAsia="微软雅黑" w:cs="微软雅黑"/>
          <w:b w:val="0"/>
          <w:i w:val="0"/>
          <w:caps w:val="0"/>
          <w:color w:val="333333"/>
          <w:spacing w:val="0"/>
          <w:sz w:val="24"/>
          <w:szCs w:val="24"/>
          <w:shd w:val="clear" w:fill="FFFFFF"/>
        </w:rPr>
        <w:t>预算执行情况分析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二、</w:t>
      </w:r>
      <w:r>
        <w:rPr>
          <w:rFonts w:hint="eastAsia" w:ascii="微软雅黑" w:hAnsi="微软雅黑" w:eastAsia="微软雅黑" w:cs="微软雅黑"/>
          <w:b w:val="0"/>
          <w:i w:val="0"/>
          <w:caps w:val="0"/>
          <w:color w:val="333333"/>
          <w:spacing w:val="0"/>
          <w:sz w:val="24"/>
          <w:szCs w:val="24"/>
          <w:shd w:val="clear" w:fill="FFFFFF"/>
        </w:rPr>
        <w:t>关于“三公”经费支出说明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lang w:eastAsia="zh-CN"/>
        </w:rPr>
        <w:t>三、</w:t>
      </w:r>
      <w:r>
        <w:rPr>
          <w:rFonts w:hint="eastAsia" w:ascii="微软雅黑" w:hAnsi="微软雅黑" w:eastAsia="微软雅黑" w:cs="微软雅黑"/>
          <w:b w:val="0"/>
          <w:i w:val="0"/>
          <w:caps w:val="0"/>
          <w:color w:val="333333"/>
          <w:spacing w:val="0"/>
          <w:sz w:val="24"/>
          <w:szCs w:val="24"/>
          <w:shd w:val="clear" w:fill="FFFFFF"/>
        </w:rPr>
        <w:t>关于机关运行经费支出说明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四</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关于政府采购支出说明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left"/>
        <w:rPr>
          <w:rFonts w:hint="eastAsia" w:ascii="微软雅黑" w:hAnsi="微软雅黑" w:eastAsia="微软雅黑" w:cs="微软雅黑"/>
          <w:b w:val="0"/>
          <w:i w:val="0"/>
          <w:caps w:val="0"/>
          <w:color w:val="333333"/>
          <w:spacing w:val="0"/>
          <w:sz w:val="24"/>
          <w:szCs w:val="24"/>
          <w:shd w:val="clear" w:fill="FFFFFF"/>
        </w:rPr>
      </w:pPr>
      <w:r>
        <w:rPr>
          <w:rFonts w:hint="eastAsia" w:ascii="微软雅黑" w:hAnsi="微软雅黑" w:eastAsia="微软雅黑" w:cs="微软雅黑"/>
          <w:b w:val="0"/>
          <w:i w:val="0"/>
          <w:caps w:val="0"/>
          <w:color w:val="333333"/>
          <w:spacing w:val="0"/>
          <w:sz w:val="24"/>
          <w:szCs w:val="24"/>
          <w:shd w:val="clear" w:fill="FFFFFF"/>
        </w:rPr>
        <w:t>五</w:t>
      </w:r>
      <w:r>
        <w:rPr>
          <w:rFonts w:hint="eastAsia" w:ascii="微软雅黑" w:hAnsi="微软雅黑" w:eastAsia="微软雅黑" w:cs="微软雅黑"/>
          <w:b w:val="0"/>
          <w:i w:val="0"/>
          <w:caps w:val="0"/>
          <w:color w:val="333333"/>
          <w:spacing w:val="0"/>
          <w:sz w:val="24"/>
          <w:szCs w:val="24"/>
          <w:shd w:val="clear" w:fill="FFFFFF"/>
          <w:lang w:eastAsia="zh-CN"/>
        </w:rPr>
        <w:t>、</w:t>
      </w:r>
      <w:r>
        <w:rPr>
          <w:rFonts w:hint="eastAsia" w:ascii="微软雅黑" w:hAnsi="微软雅黑" w:eastAsia="微软雅黑" w:cs="微软雅黑"/>
          <w:b w:val="0"/>
          <w:i w:val="0"/>
          <w:caps w:val="0"/>
          <w:color w:val="333333"/>
          <w:spacing w:val="0"/>
          <w:sz w:val="24"/>
          <w:szCs w:val="24"/>
          <w:shd w:val="clear" w:fill="FFFFFF"/>
        </w:rPr>
        <w:t>关于国有资产占用情况说明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第四部分：名词解释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rPr>
        <w:t>2017年部门决算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第一部分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部门概况</w:t>
      </w:r>
    </w:p>
    <w:p>
      <w:pPr>
        <w:widowControl/>
        <w:shd w:val="clear" w:color="auto" w:fill="FFFFFF"/>
        <w:ind w:firstLine="480"/>
        <w:jc w:val="left"/>
        <w:rPr>
          <w:rFonts w:hint="eastAsia" w:ascii="仿宋_GB2312" w:eastAsia="仿宋_GB2312"/>
          <w:sz w:val="27"/>
          <w:szCs w:val="27"/>
        </w:rPr>
      </w:pPr>
      <w:r>
        <w:rPr>
          <w:rFonts w:hint="eastAsia" w:ascii="宋体" w:hAnsi="宋体" w:cs="宋体"/>
          <w:color w:val="333333"/>
          <w:kern w:val="0"/>
          <w:sz w:val="24"/>
        </w:rPr>
        <w:t>（</w:t>
      </w:r>
      <w:r>
        <w:rPr>
          <w:rFonts w:hint="eastAsia" w:ascii="仿宋_GB2312" w:eastAsia="仿宋_GB2312"/>
          <w:sz w:val="27"/>
          <w:szCs w:val="27"/>
        </w:rPr>
        <w:t>一）主要职责</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黄石港区社保局的主要工作职能是：1、城区居民养老保险参保登记，保险费收缴，基金划拨，基金管理，个人账户建立与管理，待遇核定与支付，保险关系转移接续，稽核与内控工作，档案管理，发放卡证，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企业退休人员管理服务工作；6、人力资源和社会保障法律法规和政策宣传，社区服务信息平台管理等工作；</w:t>
      </w:r>
    </w:p>
    <w:p>
      <w:pPr>
        <w:widowControl/>
        <w:numPr>
          <w:ilvl w:val="0"/>
          <w:numId w:val="1"/>
        </w:numPr>
        <w:shd w:val="clear" w:color="auto" w:fill="FFFFFF"/>
        <w:ind w:firstLine="480"/>
        <w:jc w:val="left"/>
        <w:rPr>
          <w:rFonts w:hint="eastAsia" w:ascii="宋体" w:hAnsi="宋体" w:cs="宋体"/>
          <w:color w:val="333333"/>
          <w:kern w:val="0"/>
          <w:sz w:val="24"/>
        </w:rPr>
      </w:pPr>
      <w:r>
        <w:rPr>
          <w:rFonts w:hint="eastAsia" w:ascii="仿宋_GB2312" w:eastAsia="仿宋_GB2312"/>
          <w:sz w:val="27"/>
          <w:szCs w:val="27"/>
        </w:rPr>
        <w:t>单位基本信息(机构设置等</w:t>
      </w:r>
      <w:r>
        <w:rPr>
          <w:rFonts w:hint="eastAsia" w:ascii="宋体" w:hAnsi="宋体" w:cs="宋体"/>
          <w:color w:val="333333"/>
          <w:kern w:val="0"/>
          <w:sz w:val="24"/>
        </w:rPr>
        <w:t>)</w:t>
      </w:r>
    </w:p>
    <w:p>
      <w:pPr>
        <w:widowControl/>
        <w:shd w:val="clear" w:color="auto" w:fill="FFFFFF"/>
        <w:jc w:val="left"/>
        <w:rPr>
          <w:rFonts w:hint="eastAsia" w:ascii="仿宋_GB2312" w:eastAsia="仿宋_GB2312"/>
          <w:sz w:val="27"/>
          <w:szCs w:val="27"/>
        </w:rPr>
      </w:pPr>
      <w:r>
        <w:rPr>
          <w:rFonts w:hint="eastAsia" w:ascii="宋体" w:hAnsi="宋体" w:cs="宋体"/>
          <w:color w:val="333333"/>
          <w:kern w:val="0"/>
          <w:sz w:val="24"/>
        </w:rPr>
        <w:t xml:space="preserve">      </w:t>
      </w:r>
      <w:r>
        <w:rPr>
          <w:rFonts w:hint="eastAsia" w:ascii="仿宋_GB2312" w:eastAsia="仿宋_GB2312"/>
          <w:sz w:val="27"/>
          <w:szCs w:val="27"/>
        </w:rPr>
        <w:t>黄石港区社会保险管理局实有在编人员3人，聘用人员4人。</w:t>
      </w:r>
    </w:p>
    <w:p>
      <w:pPr>
        <w:widowControl/>
        <w:shd w:val="clear" w:color="auto" w:fill="FFFFFF"/>
        <w:jc w:val="left"/>
        <w:rPr>
          <w:rFonts w:hint="eastAsia" w:ascii="宋体" w:hAnsi="宋体" w:cs="宋体"/>
          <w:color w:val="333333"/>
          <w:kern w:val="0"/>
          <w:sz w:val="24"/>
        </w:rPr>
      </w:pPr>
    </w:p>
    <w:p>
      <w:pPr>
        <w:widowControl/>
        <w:spacing w:before="100" w:beforeAutospacing="1" w:after="100" w:afterAutospacing="1" w:line="408" w:lineRule="auto"/>
        <w:ind w:firstLine="620"/>
        <w:jc w:val="left"/>
        <w:rPr>
          <w:rFonts w:hint="eastAsia"/>
          <w:color w:val="333333"/>
          <w:sz w:val="28"/>
          <w:szCs w:val="28"/>
        </w:rPr>
      </w:pPr>
    </w:p>
    <w:p>
      <w:pPr>
        <w:widowControl/>
        <w:shd w:val="clear" w:color="auto" w:fill="FFFFFF"/>
        <w:jc w:val="left"/>
        <w:rPr>
          <w:rFonts w:hint="eastAsia" w:ascii="宋体" w:hAnsi="宋体" w:cs="宋体"/>
          <w:color w:val="333333"/>
          <w:kern w:val="0"/>
          <w:sz w:val="30"/>
          <w:szCs w:val="30"/>
        </w:rPr>
      </w:pPr>
      <w:r>
        <w:rPr>
          <w:rFonts w:hint="eastAsia" w:ascii="宋体" w:hAnsi="宋体" w:cs="宋体"/>
          <w:color w:val="333333"/>
          <w:kern w:val="0"/>
          <w:sz w:val="30"/>
          <w:szCs w:val="3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Style w:val="7"/>
          <w:rFonts w:hint="eastAsia" w:ascii="微软雅黑" w:hAnsi="微软雅黑" w:eastAsia="微软雅黑" w:cs="微软雅黑"/>
          <w:i w:val="0"/>
          <w:caps w:val="0"/>
          <w:color w:val="333333"/>
          <w:spacing w:val="0"/>
          <w:sz w:val="24"/>
          <w:szCs w:val="24"/>
          <w:shd w:val="clear" w:fill="FFFFFF"/>
        </w:rPr>
      </w:pPr>
      <w:r>
        <w:rPr>
          <w:rStyle w:val="7"/>
          <w:rFonts w:hint="eastAsia" w:ascii="微软雅黑" w:hAnsi="微软雅黑" w:eastAsia="微软雅黑" w:cs="微软雅黑"/>
          <w:i w:val="0"/>
          <w:caps w:val="0"/>
          <w:color w:val="333333"/>
          <w:spacing w:val="0"/>
          <w:sz w:val="24"/>
          <w:szCs w:val="24"/>
          <w:shd w:val="clear" w:fill="FFFFFF"/>
          <w:lang w:eastAsia="zh-CN"/>
        </w:rPr>
        <w:t>第二部分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2017年部门决算表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rPr>
          <w:color w:val="333333"/>
          <w:sz w:val="24"/>
          <w:szCs w:val="24"/>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6012815" cy="527113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012815" cy="5271135"/>
                    </a:xfrm>
                    <a:prstGeom prst="rect">
                      <a:avLst/>
                    </a:prstGeom>
                    <a:noFill/>
                    <a:ln w="9525">
                      <a:noFill/>
                    </a:ln>
                  </pic:spPr>
                </pic:pic>
              </a:graphicData>
            </a:graphic>
          </wp:inline>
        </w:drawing>
      </w:r>
      <w:r>
        <w:drawing>
          <wp:inline distT="0" distB="0" distL="114300" distR="114300">
            <wp:extent cx="8853170" cy="1946275"/>
            <wp:effectExtent l="0" t="0" r="508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853170" cy="1946275"/>
                    </a:xfrm>
                    <a:prstGeom prst="rect">
                      <a:avLst/>
                    </a:prstGeom>
                    <a:noFill/>
                    <a:ln w="9525">
                      <a:noFill/>
                    </a:ln>
                  </pic:spPr>
                </pic:pic>
              </a:graphicData>
            </a:graphic>
          </wp:inline>
        </w:drawing>
      </w:r>
      <w:r>
        <w:drawing>
          <wp:inline distT="0" distB="0" distL="114300" distR="114300">
            <wp:extent cx="8859520" cy="2246630"/>
            <wp:effectExtent l="0" t="0" r="1778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859520" cy="2246630"/>
                    </a:xfrm>
                    <a:prstGeom prst="rect">
                      <a:avLst/>
                    </a:prstGeom>
                    <a:noFill/>
                    <a:ln w="9525">
                      <a:noFill/>
                    </a:ln>
                  </pic:spPr>
                </pic:pic>
              </a:graphicData>
            </a:graphic>
          </wp:inline>
        </w:drawing>
      </w:r>
      <w:r>
        <w:drawing>
          <wp:inline distT="0" distB="0" distL="114300" distR="114300">
            <wp:extent cx="6372225" cy="5191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372225" cy="5191125"/>
                    </a:xfrm>
                    <a:prstGeom prst="rect">
                      <a:avLst/>
                    </a:prstGeom>
                    <a:noFill/>
                    <a:ln w="9525">
                      <a:noFill/>
                    </a:ln>
                  </pic:spPr>
                </pic:pic>
              </a:graphicData>
            </a:graphic>
          </wp:inline>
        </w:drawing>
      </w:r>
      <w:r>
        <w:drawing>
          <wp:inline distT="0" distB="0" distL="114300" distR="114300">
            <wp:extent cx="5972175" cy="2686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972175" cy="2686050"/>
                    </a:xfrm>
                    <a:prstGeom prst="rect">
                      <a:avLst/>
                    </a:prstGeom>
                    <a:noFill/>
                    <a:ln w="9525">
                      <a:noFill/>
                    </a:ln>
                  </pic:spPr>
                </pic:pic>
              </a:graphicData>
            </a:graphic>
          </wp:inline>
        </w:drawing>
      </w:r>
      <w:r>
        <w:drawing>
          <wp:inline distT="0" distB="0" distL="114300" distR="114300">
            <wp:extent cx="8856980" cy="5069205"/>
            <wp:effectExtent l="0" t="0" r="1270"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8856980" cy="5069205"/>
                    </a:xfrm>
                    <a:prstGeom prst="rect">
                      <a:avLst/>
                    </a:prstGeom>
                    <a:noFill/>
                    <a:ln w="9525">
                      <a:noFill/>
                    </a:ln>
                  </pic:spPr>
                </pic:pic>
              </a:graphicData>
            </a:graphic>
          </wp:inline>
        </w:drawing>
      </w:r>
      <w:r>
        <w:drawing>
          <wp:inline distT="0" distB="0" distL="114300" distR="114300">
            <wp:extent cx="8856345" cy="1846580"/>
            <wp:effectExtent l="0" t="0" r="190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8856345" cy="1846580"/>
                    </a:xfrm>
                    <a:prstGeom prst="rect">
                      <a:avLst/>
                    </a:prstGeom>
                    <a:noFill/>
                    <a:ln w="9525">
                      <a:noFill/>
                    </a:ln>
                  </pic:spPr>
                </pic:pic>
              </a:graphicData>
            </a:graphic>
          </wp:inline>
        </w:drawing>
      </w:r>
      <w:bookmarkStart w:id="0" w:name="_GoBack"/>
      <w:bookmarkEnd w:id="0"/>
      <w:r>
        <w:drawing>
          <wp:inline distT="0" distB="0" distL="114300" distR="114300">
            <wp:extent cx="8859520" cy="2339975"/>
            <wp:effectExtent l="0" t="0" r="1778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8859520" cy="233997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right="0"/>
        <w:jc w:val="both"/>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jc w:val="center"/>
        <w:rPr>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Style w:val="7"/>
          <w:rFonts w:hint="eastAsia" w:ascii="微软雅黑" w:hAnsi="微软雅黑" w:eastAsia="微软雅黑" w:cs="微软雅黑"/>
          <w:i w:val="0"/>
          <w:caps w:val="0"/>
          <w:color w:val="333333"/>
          <w:spacing w:val="0"/>
          <w:sz w:val="24"/>
          <w:szCs w:val="24"/>
          <w:shd w:val="clear" w:fill="FFFFFF"/>
          <w:lang w:eastAsia="zh-CN"/>
        </w:rPr>
        <w:t>第三部分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2017年部门决算情况说明</w:t>
      </w:r>
    </w:p>
    <w:p>
      <w:pPr>
        <w:widowControl/>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1、收入支出分析</w:t>
      </w:r>
    </w:p>
    <w:p>
      <w:pPr>
        <w:widowControl/>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2017年全年总收入459076.57元,其中财拔款决算收入459076.57元(基本支出行政运行459076.57元),其它收入0元。 2017年全年总支出459424.07元,其中财拔款决算支出459424.07元(基本支出行政运行459424.07元)。</w:t>
      </w:r>
    </w:p>
    <w:p>
      <w:pPr>
        <w:widowControl/>
        <w:numPr>
          <w:ilvl w:val="0"/>
          <w:numId w:val="2"/>
        </w:numPr>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收入支出对比分析</w:t>
      </w:r>
    </w:p>
    <w:p>
      <w:pPr>
        <w:widowControl/>
        <w:shd w:val="clear" w:color="auto" w:fill="FFFFFF"/>
        <w:jc w:val="left"/>
        <w:rPr>
          <w:rFonts w:hint="eastAsia" w:ascii="仿宋_GB2312" w:eastAsia="仿宋_GB2312"/>
          <w:sz w:val="27"/>
          <w:szCs w:val="27"/>
        </w:rPr>
      </w:pPr>
      <w:r>
        <w:rPr>
          <w:rFonts w:hint="eastAsia" w:ascii="仿宋_GB2312" w:eastAsia="仿宋_GB2312"/>
          <w:sz w:val="27"/>
          <w:szCs w:val="27"/>
        </w:rPr>
        <w:t xml:space="preserve">    上年总收入252062元，本年总收入459076.57元。收入增加207014.57元，增长率82.13%。主要是大厅装修、机关事业单位养老保险改革增加聘用人员等开支。</w:t>
      </w:r>
    </w:p>
    <w:p>
      <w:pPr>
        <w:widowControl/>
        <w:shd w:val="clear" w:color="auto" w:fill="FFFFFF"/>
        <w:ind w:firstLine="540" w:firstLineChars="200"/>
        <w:jc w:val="left"/>
        <w:rPr>
          <w:rFonts w:hint="eastAsia" w:ascii="宋体" w:hAnsi="宋体"/>
          <w:sz w:val="28"/>
          <w:szCs w:val="28"/>
        </w:rPr>
      </w:pPr>
      <w:r>
        <w:rPr>
          <w:rFonts w:hint="eastAsia" w:ascii="仿宋_GB2312" w:eastAsia="仿宋_GB2312"/>
          <w:sz w:val="27"/>
          <w:szCs w:val="27"/>
        </w:rPr>
        <w:t>上年总支出239122.37元，本年总支出459424.07元。支出增加220301.70元，增长率92.13%。主要是大厅装修、机关事业单位养老保险改革增加聘用人员等支出。</w:t>
      </w:r>
    </w:p>
    <w:p>
      <w:pPr>
        <w:widowControl/>
        <w:numPr>
          <w:ilvl w:val="0"/>
          <w:numId w:val="2"/>
        </w:numPr>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收入支出预算对比分析</w:t>
      </w:r>
    </w:p>
    <w:p>
      <w:pPr>
        <w:widowControl/>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本年度支出年初预算数307417.5元，上年度支出年初预算数79828元。本年度收入年初预算数307417.5元，上年度收入年初预算数79828元。</w:t>
      </w:r>
    </w:p>
    <w:p>
      <w:pPr>
        <w:widowControl/>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本年度比上年度增加227589.5元，增长率258.1%。差异原因主要是大厅装修、机关事业单位养老保险改革增加聘用人员等开支。</w:t>
      </w:r>
    </w:p>
    <w:p>
      <w:pPr>
        <w:widowControl/>
        <w:shd w:val="clear" w:color="auto" w:fill="FFFFFF"/>
        <w:jc w:val="left"/>
        <w:rPr>
          <w:rFonts w:hint="eastAsia" w:ascii="仿宋_GB2312" w:eastAsia="仿宋_GB2312"/>
          <w:sz w:val="27"/>
          <w:szCs w:val="27"/>
        </w:rPr>
      </w:pPr>
    </w:p>
    <w:p>
      <w:pPr>
        <w:widowControl/>
        <w:numPr>
          <w:ilvl w:val="0"/>
          <w:numId w:val="2"/>
        </w:numPr>
        <w:shd w:val="clear" w:color="auto" w:fill="FFFFFF"/>
        <w:ind w:firstLine="540" w:firstLineChars="200"/>
        <w:jc w:val="left"/>
        <w:rPr>
          <w:rFonts w:hint="eastAsia" w:ascii="仿宋_GB2312" w:eastAsia="仿宋_GB2312"/>
          <w:sz w:val="27"/>
          <w:szCs w:val="27"/>
        </w:rPr>
      </w:pPr>
      <w:r>
        <w:rPr>
          <w:rFonts w:hint="eastAsia" w:ascii="仿宋_GB2312" w:eastAsia="仿宋_GB2312"/>
          <w:sz w:val="27"/>
          <w:szCs w:val="27"/>
        </w:rPr>
        <w:t>财政拨款支出与年初预算数对比</w:t>
      </w:r>
    </w:p>
    <w:p>
      <w:pPr>
        <w:widowControl/>
        <w:shd w:val="clear" w:color="auto" w:fill="FFFFFF"/>
        <w:jc w:val="left"/>
        <w:rPr>
          <w:rFonts w:hint="eastAsia" w:ascii="仿宋_GB2312" w:eastAsia="仿宋_GB2312"/>
          <w:sz w:val="27"/>
          <w:szCs w:val="27"/>
        </w:rPr>
      </w:pPr>
      <w:r>
        <w:rPr>
          <w:rFonts w:hint="eastAsia" w:ascii="仿宋_GB2312" w:eastAsia="仿宋_GB2312"/>
          <w:sz w:val="27"/>
          <w:szCs w:val="27"/>
        </w:rPr>
        <w:t xml:space="preserve">    本年支出459424.07元，年初预算支出数301417.5元，增长率52%。主要增加大厅装修、机关事业单位养老保险改革增加聘用人员等开支。</w:t>
      </w:r>
    </w:p>
    <w:p>
      <w:pPr>
        <w:widowControl/>
        <w:shd w:val="clear" w:color="auto" w:fill="FFFFFF"/>
        <w:ind w:firstLine="480"/>
        <w:jc w:val="left"/>
        <w:rPr>
          <w:rFonts w:hint="eastAsia" w:ascii="仿宋_GB2312" w:eastAsia="仿宋_GB2312"/>
          <w:sz w:val="27"/>
          <w:szCs w:val="27"/>
        </w:rPr>
      </w:pPr>
      <w:r>
        <w:rPr>
          <w:rFonts w:hint="eastAsia" w:ascii="仿宋_GB2312" w:eastAsia="仿宋_GB2312"/>
          <w:sz w:val="27"/>
          <w:szCs w:val="27"/>
        </w:rPr>
        <w:t>（二）关于“三公”经费支出说明</w:t>
      </w:r>
    </w:p>
    <w:p>
      <w:pPr>
        <w:pStyle w:val="9"/>
        <w:ind w:firstLine="540" w:firstLineChars="200"/>
        <w:rPr>
          <w:rFonts w:hint="eastAsia" w:ascii="仿宋_GB2312" w:hAnsi="Times New Roman" w:eastAsia="仿宋_GB2312" w:cs="Times New Roman"/>
          <w:sz w:val="27"/>
          <w:szCs w:val="27"/>
        </w:rPr>
      </w:pPr>
      <w:r>
        <w:rPr>
          <w:rFonts w:hint="eastAsia" w:ascii="仿宋_GB2312" w:hAnsi="Times New Roman" w:eastAsia="仿宋_GB2312" w:cs="Times New Roman"/>
          <w:sz w:val="27"/>
          <w:szCs w:val="27"/>
        </w:rPr>
        <w:t>(1)”三公”经费支出情况: 2017年决算公务车运行维护费0元，2017年决算公务接待数为0万元， 2016年决算公务车运行维护费0元， 2016年决算公务接待数为0万元 ；(2)会议费支出情况: 2016年决算会议费为0万元 ；(3)培训费支出情况2017年决算培训费0元，2016年决算培训费0元。</w:t>
      </w:r>
    </w:p>
    <w:p>
      <w:pPr>
        <w:widowControl/>
        <w:shd w:val="clear" w:color="auto" w:fill="FFFFFF"/>
        <w:jc w:val="left"/>
        <w:rPr>
          <w:rFonts w:hint="eastAsia" w:ascii="仿宋_GB2312" w:eastAsia="仿宋_GB2312"/>
          <w:sz w:val="27"/>
          <w:szCs w:val="27"/>
        </w:rPr>
      </w:pPr>
      <w:r>
        <w:rPr>
          <w:rFonts w:hint="eastAsia" w:ascii="仿宋_GB2312" w:eastAsia="仿宋_GB2312"/>
          <w:sz w:val="27"/>
          <w:szCs w:val="27"/>
        </w:rPr>
        <w:t>　 （三）关于机关运行经费支出说明</w:t>
      </w:r>
    </w:p>
    <w:p>
      <w:pPr>
        <w:pStyle w:val="9"/>
        <w:ind w:firstLine="540" w:firstLineChars="200"/>
        <w:rPr>
          <w:rFonts w:hint="eastAsia" w:ascii="仿宋_GB2312" w:eastAsia="仿宋_GB2312"/>
          <w:sz w:val="27"/>
          <w:szCs w:val="27"/>
        </w:rPr>
      </w:pPr>
      <w:r>
        <w:rPr>
          <w:rFonts w:hint="eastAsia" w:ascii="仿宋_GB2312" w:hAnsi="Times New Roman" w:eastAsia="仿宋_GB2312" w:cs="Times New Roman"/>
          <w:sz w:val="27"/>
          <w:szCs w:val="27"/>
        </w:rPr>
        <w:t>黄石港区社会保险管理局2017年度机关运行经费支出0元。</w:t>
      </w:r>
    </w:p>
    <w:p>
      <w:pPr>
        <w:widowControl/>
        <w:shd w:val="clear" w:color="auto" w:fill="FFFFFF"/>
        <w:jc w:val="left"/>
        <w:rPr>
          <w:rFonts w:hint="eastAsia" w:ascii="仿宋_GB2312" w:eastAsia="仿宋_GB2312"/>
          <w:sz w:val="27"/>
          <w:szCs w:val="27"/>
        </w:rPr>
      </w:pPr>
      <w:r>
        <w:rPr>
          <w:rFonts w:hint="eastAsia" w:ascii="仿宋_GB2312" w:eastAsia="仿宋_GB2312"/>
          <w:sz w:val="27"/>
          <w:szCs w:val="27"/>
        </w:rPr>
        <w:t>　 （四）关于政府采购支出说明</w:t>
      </w:r>
    </w:p>
    <w:p>
      <w:pPr>
        <w:pStyle w:val="9"/>
        <w:ind w:firstLine="540" w:firstLineChars="200"/>
        <w:rPr>
          <w:rFonts w:hint="eastAsia" w:ascii="仿宋_GB2312" w:eastAsia="仿宋_GB2312"/>
          <w:sz w:val="27"/>
          <w:szCs w:val="27"/>
        </w:rPr>
      </w:pPr>
      <w:r>
        <w:rPr>
          <w:rFonts w:hint="eastAsia" w:ascii="仿宋_GB2312" w:hAnsi="Times New Roman" w:eastAsia="仿宋_GB2312" w:cs="Times New Roman"/>
          <w:sz w:val="27"/>
          <w:szCs w:val="27"/>
        </w:rPr>
        <w:t>黄石港区社会保险管理局2017年度政府采购支出总额0元。</w:t>
      </w:r>
    </w:p>
    <w:p>
      <w:pPr>
        <w:widowControl/>
        <w:shd w:val="clear" w:color="auto" w:fill="FFFFFF"/>
        <w:jc w:val="left"/>
        <w:rPr>
          <w:rFonts w:hint="eastAsia" w:ascii="仿宋_GB2312" w:eastAsia="仿宋_GB2312"/>
          <w:sz w:val="27"/>
          <w:szCs w:val="27"/>
        </w:rPr>
      </w:pPr>
      <w:r>
        <w:rPr>
          <w:rFonts w:hint="eastAsia" w:ascii="仿宋_GB2312" w:eastAsia="仿宋_GB2312"/>
          <w:sz w:val="27"/>
          <w:szCs w:val="27"/>
        </w:rPr>
        <w:t>　 （五）关于国有资产占用情况说明</w:t>
      </w:r>
    </w:p>
    <w:p>
      <w:pPr>
        <w:pStyle w:val="9"/>
        <w:ind w:firstLine="540" w:firstLineChars="200"/>
        <w:rPr>
          <w:rFonts w:ascii="仿宋_GB2312" w:hAnsi="Times New Roman" w:eastAsia="仿宋_GB2312" w:cs="Times New Roman"/>
          <w:sz w:val="27"/>
          <w:szCs w:val="27"/>
        </w:rPr>
      </w:pPr>
      <w:r>
        <w:rPr>
          <w:rFonts w:hint="eastAsia" w:ascii="仿宋_GB2312" w:hAnsi="Times New Roman" w:eastAsia="仿宋_GB2312" w:cs="Times New Roman"/>
          <w:sz w:val="27"/>
          <w:szCs w:val="27"/>
        </w:rPr>
        <w:t>截至2017年12月31日，黄石港区社会保险管理局共有车辆0辆；单位价值50万元以上通用设备0台（套），单价100万元以上专用设备0台（套）。</w:t>
      </w:r>
    </w:p>
    <w:p>
      <w:pPr>
        <w:pStyle w:val="5"/>
        <w:widowControl/>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仿宋_GB2312" w:eastAsia="仿宋_GB2312"/>
          <w:sz w:val="27"/>
          <w:szCs w:val="27"/>
        </w:rPr>
        <w:t xml:space="preserve"> </w:t>
      </w:r>
      <w:r>
        <w:rPr>
          <w:rStyle w:val="7"/>
          <w:rFonts w:hint="eastAsia" w:ascii="微软雅黑" w:hAnsi="微软雅黑" w:eastAsia="微软雅黑" w:cs="微软雅黑"/>
          <w:i w:val="0"/>
          <w:caps w:val="0"/>
          <w:color w:val="333333"/>
          <w:spacing w:val="0"/>
          <w:sz w:val="24"/>
          <w:szCs w:val="24"/>
          <w:shd w:val="clear" w:fill="FFFFFF"/>
        </w:rPr>
        <w:t>第四部分</w:t>
      </w:r>
      <w:r>
        <w:rPr>
          <w:rStyle w:val="7"/>
          <w:rFonts w:hint="eastAsia" w:ascii="微软雅黑" w:hAnsi="微软雅黑" w:eastAsia="微软雅黑" w:cs="微软雅黑"/>
          <w:i w:val="0"/>
          <w:caps w:val="0"/>
          <w:color w:val="333333"/>
          <w:spacing w:val="0"/>
          <w:sz w:val="24"/>
          <w:szCs w:val="24"/>
          <w:shd w:val="clear" w:fill="FFFFFF"/>
          <w:lang w:val="en-US" w:eastAsia="zh-CN"/>
        </w:rPr>
        <w:t xml:space="preserve"> </w:t>
      </w:r>
      <w:r>
        <w:rPr>
          <w:rStyle w:val="7"/>
          <w:rFonts w:hint="eastAsia" w:ascii="微软雅黑" w:hAnsi="微软雅黑" w:eastAsia="微软雅黑" w:cs="微软雅黑"/>
          <w:i w:val="0"/>
          <w:caps w:val="0"/>
          <w:color w:val="333333"/>
          <w:spacing w:val="0"/>
          <w:sz w:val="24"/>
          <w:szCs w:val="24"/>
          <w:shd w:val="clear" w:fill="FFFFFF"/>
        </w:rPr>
        <w:t>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一、财政补助收入：指县级财政当年拨付的资金。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二、其他收入：指除“财政拨款收入”、“上级补助收入”、“事业收入”、“经营收入”等以外的收入。主要是存款利息收入等。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三、年初结转和结余：指以前年度尚未完成、结转到本年按有关规定继续使用的资金。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四、一般公共服务（类）行政运行（项）：指县行政单位及参照公务员管理事业单位用于保障机构正常运行、开展日常工作的基本支出。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五、一般公共服务（类）一般行政管理事务（项）：指县行政单位及参照公务员管理事业单位用于开展立法调研、财政信息宣传、非税收入征管等未单独设置项级科目的专门性财政管理工作的项目支出。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六、一般公共服务（类）机关服务（项）：指县</w:t>
      </w:r>
      <w:r>
        <w:rPr>
          <w:rFonts w:hint="eastAsia" w:ascii="微软雅黑" w:hAnsi="微软雅黑" w:eastAsia="微软雅黑" w:cs="微软雅黑"/>
          <w:b w:val="0"/>
          <w:i w:val="0"/>
          <w:caps w:val="0"/>
          <w:color w:val="333333"/>
          <w:spacing w:val="0"/>
          <w:sz w:val="24"/>
          <w:szCs w:val="24"/>
          <w:shd w:val="clear" w:fill="FFFFFF"/>
          <w:lang w:eastAsia="zh-CN"/>
        </w:rPr>
        <w:t>黄石港区社保局</w:t>
      </w:r>
      <w:r>
        <w:rPr>
          <w:rFonts w:hint="eastAsia" w:ascii="微软雅黑" w:hAnsi="微软雅黑" w:eastAsia="微软雅黑" w:cs="微软雅黑"/>
          <w:b w:val="0"/>
          <w:i w:val="0"/>
          <w:caps w:val="0"/>
          <w:color w:val="333333"/>
          <w:spacing w:val="0"/>
          <w:sz w:val="24"/>
          <w:szCs w:val="24"/>
          <w:shd w:val="clear" w:fill="FFFFFF"/>
        </w:rPr>
        <w:t>服务中心为机关提供办公楼日常维修、维护等后勤保障服务的支出。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七、一般公共服务（类）其他一般公共服务支出（款）其他一般公共服务支出（项）：指</w:t>
      </w:r>
      <w:r>
        <w:rPr>
          <w:rFonts w:hint="eastAsia" w:ascii="微软雅黑" w:hAnsi="微软雅黑" w:eastAsia="微软雅黑" w:cs="微软雅黑"/>
          <w:b w:val="0"/>
          <w:i w:val="0"/>
          <w:caps w:val="0"/>
          <w:color w:val="333333"/>
          <w:spacing w:val="0"/>
          <w:sz w:val="24"/>
          <w:szCs w:val="24"/>
          <w:shd w:val="clear" w:fill="FFFFFF"/>
          <w:lang w:eastAsia="zh-CN"/>
        </w:rPr>
        <w:t>黄石港区社保局</w:t>
      </w:r>
      <w:r>
        <w:rPr>
          <w:rFonts w:hint="eastAsia" w:ascii="微软雅黑" w:hAnsi="微软雅黑" w:eastAsia="微软雅黑" w:cs="微软雅黑"/>
          <w:b w:val="0"/>
          <w:i w:val="0"/>
          <w:caps w:val="0"/>
          <w:color w:val="333333"/>
          <w:spacing w:val="0"/>
          <w:sz w:val="24"/>
          <w:szCs w:val="24"/>
          <w:shd w:val="clear" w:fill="FFFFFF"/>
        </w:rPr>
        <w:t>用于其他一般公共服务方面的支出。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八、教育（类）普通教育（款）高等教育（项）：指</w:t>
      </w:r>
      <w:r>
        <w:rPr>
          <w:rFonts w:hint="eastAsia" w:ascii="微软雅黑" w:hAnsi="微软雅黑" w:eastAsia="微软雅黑" w:cs="微软雅黑"/>
          <w:b w:val="0"/>
          <w:i w:val="0"/>
          <w:caps w:val="0"/>
          <w:color w:val="333333"/>
          <w:spacing w:val="0"/>
          <w:sz w:val="24"/>
          <w:szCs w:val="24"/>
          <w:shd w:val="clear" w:fill="FFFFFF"/>
          <w:lang w:eastAsia="zh-CN"/>
        </w:rPr>
        <w:t>黄石港区社保局</w:t>
      </w:r>
      <w:r>
        <w:rPr>
          <w:rFonts w:hint="eastAsia" w:ascii="微软雅黑" w:hAnsi="微软雅黑" w:eastAsia="微软雅黑" w:cs="微软雅黑"/>
          <w:b w:val="0"/>
          <w:i w:val="0"/>
          <w:caps w:val="0"/>
          <w:color w:val="333333"/>
          <w:spacing w:val="0"/>
          <w:sz w:val="24"/>
          <w:szCs w:val="24"/>
          <w:shd w:val="clear" w:fill="FFFFFF"/>
        </w:rPr>
        <w:t>厅支持地方高校的重点发展和特色办学，组织专家对省属院校申报的建设规划和项目预算进行评审等相关工作的支出。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九、社会保障和就业(类)行政事业单位离退休（款）归口管理的行政单位离退休（项）：指</w:t>
      </w:r>
      <w:r>
        <w:rPr>
          <w:rFonts w:hint="eastAsia" w:ascii="微软雅黑" w:hAnsi="微软雅黑" w:eastAsia="微软雅黑" w:cs="微软雅黑"/>
          <w:b w:val="0"/>
          <w:i w:val="0"/>
          <w:caps w:val="0"/>
          <w:color w:val="333333"/>
          <w:spacing w:val="0"/>
          <w:sz w:val="24"/>
          <w:szCs w:val="24"/>
          <w:shd w:val="clear" w:fill="FFFFFF"/>
          <w:lang w:eastAsia="zh-CN"/>
        </w:rPr>
        <w:t>黄石港区社保局</w:t>
      </w:r>
      <w:r>
        <w:rPr>
          <w:rFonts w:hint="eastAsia" w:ascii="微软雅黑" w:hAnsi="微软雅黑" w:eastAsia="微软雅黑" w:cs="微软雅黑"/>
          <w:b w:val="0"/>
          <w:i w:val="0"/>
          <w:caps w:val="0"/>
          <w:color w:val="333333"/>
          <w:spacing w:val="0"/>
          <w:sz w:val="24"/>
          <w:szCs w:val="24"/>
          <w:shd w:val="clear" w:fill="FFFFFF"/>
        </w:rPr>
        <w:t>用于离退休人员的支出、退休人员支出，以及提供管理服务工作的离退休干部处的支出。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十、社会保障和就业(类)行政事业单位离退休（款）其他行政事业单位离退休支出（项）：指</w:t>
      </w:r>
      <w:r>
        <w:rPr>
          <w:rFonts w:hint="eastAsia" w:ascii="微软雅黑" w:hAnsi="微软雅黑" w:eastAsia="微软雅黑" w:cs="微软雅黑"/>
          <w:b w:val="0"/>
          <w:i w:val="0"/>
          <w:caps w:val="0"/>
          <w:color w:val="333333"/>
          <w:spacing w:val="0"/>
          <w:sz w:val="24"/>
          <w:szCs w:val="24"/>
          <w:shd w:val="clear" w:fill="FFFFFF"/>
          <w:lang w:eastAsia="zh-CN"/>
        </w:rPr>
        <w:t>黄石港区社保局</w:t>
      </w:r>
      <w:r>
        <w:rPr>
          <w:rFonts w:hint="eastAsia" w:ascii="微软雅黑" w:hAnsi="微软雅黑" w:eastAsia="微软雅黑" w:cs="微软雅黑"/>
          <w:b w:val="0"/>
          <w:i w:val="0"/>
          <w:caps w:val="0"/>
          <w:color w:val="333333"/>
          <w:spacing w:val="0"/>
          <w:sz w:val="24"/>
          <w:szCs w:val="24"/>
          <w:shd w:val="clear" w:fill="FFFFFF"/>
        </w:rPr>
        <w:t>用于离退休方面的其他支出。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十一、医疗卫生与计划生育（类）医疗保障（款）行政单位医疗（项）：指</w:t>
      </w:r>
      <w:r>
        <w:rPr>
          <w:rFonts w:hint="eastAsia" w:ascii="微软雅黑" w:hAnsi="微软雅黑" w:eastAsia="微软雅黑" w:cs="微软雅黑"/>
          <w:b w:val="0"/>
          <w:i w:val="0"/>
          <w:caps w:val="0"/>
          <w:color w:val="333333"/>
          <w:spacing w:val="0"/>
          <w:sz w:val="24"/>
          <w:szCs w:val="24"/>
          <w:shd w:val="clear" w:fill="FFFFFF"/>
          <w:lang w:eastAsia="zh-CN"/>
        </w:rPr>
        <w:t>黄石港区社保局</w:t>
      </w:r>
      <w:r>
        <w:rPr>
          <w:rFonts w:hint="eastAsia" w:ascii="微软雅黑" w:hAnsi="微软雅黑" w:eastAsia="微软雅黑" w:cs="微软雅黑"/>
          <w:b w:val="0"/>
          <w:i w:val="0"/>
          <w:caps w:val="0"/>
          <w:color w:val="333333"/>
          <w:spacing w:val="0"/>
          <w:sz w:val="24"/>
          <w:szCs w:val="24"/>
          <w:shd w:val="clear" w:fill="FFFFFF"/>
        </w:rPr>
        <w:t>用于机关干部职工及离退休人员医疗方面的支出。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十二、住房保障（类）住房改革支出（款）购房补贴（项）：指按照相关住房分配货币化改革的政策规定和标准，对无房和住房未达标职工发放的住房分配货币化补贴资金。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十三、年末结转和结余：指本年度或以前年度预算安排、因客观条件发生变化无法按原计划实施，需要延迟到以后年度按有关规定继续使用的资金。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十四、基本支出：指为保障机构正常运转、完成日常工作任务而发生的人员支出（包括基本工资、津贴补贴等）和公用支出（包括办公费、水电费、邮电费、交通费、差旅费等）。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十五、项目支出：指在基本支出之外为完成特定行政任务和事业发展目标所发生的支出。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color w:val="333333"/>
          <w:sz w:val="24"/>
          <w:szCs w:val="24"/>
        </w:rPr>
      </w:pPr>
      <w:r>
        <w:rPr>
          <w:rFonts w:hint="eastAsia" w:ascii="微软雅黑" w:hAnsi="微软雅黑" w:eastAsia="微软雅黑" w:cs="微软雅黑"/>
          <w:b w:val="0"/>
          <w:i w:val="0"/>
          <w:caps w:val="0"/>
          <w:color w:val="333333"/>
          <w:spacing w:val="0"/>
          <w:sz w:val="24"/>
          <w:szCs w:val="24"/>
          <w:shd w:val="clear" w:fill="FFFFFF"/>
        </w:rPr>
        <w:t>十六、“三公”经费：是指用财政拨款安排的因公出国（境）费、公务用车购置及运行维护费、公务接待费。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6A42"/>
    <w:multiLevelType w:val="singleLevel"/>
    <w:tmpl w:val="07106A42"/>
    <w:lvl w:ilvl="0" w:tentative="0">
      <w:start w:val="2"/>
      <w:numFmt w:val="chineseCounting"/>
      <w:suff w:val="nothing"/>
      <w:lvlText w:val="（%1）"/>
      <w:lvlJc w:val="left"/>
      <w:rPr>
        <w:rFonts w:hint="eastAsia"/>
      </w:rPr>
    </w:lvl>
  </w:abstractNum>
  <w:abstractNum w:abstractNumId="1">
    <w:nsid w:val="7C810B6C"/>
    <w:multiLevelType w:val="singleLevel"/>
    <w:tmpl w:val="7C810B6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87B"/>
    <w:rsid w:val="09FF39B4"/>
    <w:rsid w:val="10157CA5"/>
    <w:rsid w:val="11411182"/>
    <w:rsid w:val="13FA6E94"/>
    <w:rsid w:val="1D3216D7"/>
    <w:rsid w:val="1D4720AB"/>
    <w:rsid w:val="219E41B4"/>
    <w:rsid w:val="255E033E"/>
    <w:rsid w:val="27272230"/>
    <w:rsid w:val="27390172"/>
    <w:rsid w:val="2CCE2491"/>
    <w:rsid w:val="2F081AB6"/>
    <w:rsid w:val="401A2F36"/>
    <w:rsid w:val="408F5EDF"/>
    <w:rsid w:val="44064590"/>
    <w:rsid w:val="457D21A1"/>
    <w:rsid w:val="49D83A19"/>
    <w:rsid w:val="507C1CF5"/>
    <w:rsid w:val="57193076"/>
    <w:rsid w:val="61773BFF"/>
    <w:rsid w:val="621B3808"/>
    <w:rsid w:val="67E4782B"/>
    <w:rsid w:val="746766E2"/>
    <w:rsid w:val="74EA7B66"/>
    <w:rsid w:val="78186405"/>
    <w:rsid w:val="784C1E5B"/>
    <w:rsid w:val="7D417A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uiPriority w:val="0"/>
    <w:rPr>
      <w:rFonts w:ascii="宋体" w:hAnsi="Courier New" w:cs="Courier New"/>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9">
    <w:name w:val="正文缩进 + 首行缩进:  2 字符"/>
    <w:basedOn w:val="1"/>
    <w:uiPriority w:val="0"/>
    <w:pPr>
      <w:spacing w:line="560" w:lineRule="exact"/>
      <w:ind w:firstLine="640"/>
    </w:pPr>
    <w:rPr>
      <w:rFonts w:ascii="仿宋" w:hAnsi="仿宋" w:cs="宋体"/>
      <w:sz w:val="32"/>
      <w:szCs w:val="32"/>
    </w:rPr>
  </w:style>
  <w:style w:type="character" w:customStyle="1" w:styleId="10">
    <w:name w:val="ca-2"/>
    <w:basedOn w:val="6"/>
    <w:qFormat/>
    <w:uiPriority w:val="0"/>
  </w:style>
  <w:style w:type="paragraph" w:customStyle="1"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ca-3"/>
    <w:basedOn w:val="6"/>
    <w:qFormat/>
    <w:uiPriority w:val="0"/>
  </w:style>
  <w:style w:type="character" w:customStyle="1" w:styleId="13">
    <w:name w:val="apple-converted-space"/>
    <w:basedOn w:val="6"/>
    <w:uiPriority w:val="99"/>
  </w:style>
  <w:style w:type="paragraph" w:customStyle="1" w:styleId="14">
    <w:name w:val="pa-1"/>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Office_11.1.0.7849_F1E327BC-269C-435d-A152-05C5408002CA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侒靜啲喧嘩</cp:lastModifiedBy>
  <dcterms:modified xsi:type="dcterms:W3CDTF">2019-02-27T12:56:38Z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2052-11.1.0.7849</vt:lpwstr>
  </property>
</Properties>
</file>