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shd w:val="clear" w:color="090000" w:fill="FFFFFF"/>
        </w:rPr>
      </w:pPr>
    </w:p>
    <w:p>
      <w:pPr>
        <w:pStyle w:val="2"/>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090000" w:fill="FFFFFF"/>
        </w:rPr>
        <w:t>人武部</w:t>
      </w:r>
      <w:r>
        <w:rPr>
          <w:rFonts w:hint="eastAsia" w:ascii="微软雅黑" w:hAnsi="微软雅黑" w:eastAsia="微软雅黑" w:cs="微软雅黑"/>
          <w:color w:val="BC1010"/>
          <w:sz w:val="40"/>
          <w:szCs w:val="40"/>
          <w:shd w:val="clear" w:color="090000" w:fill="FFFFFF"/>
          <w:lang w:eastAsia="zh-CN"/>
        </w:rPr>
        <w:t>2019年</w:t>
      </w:r>
      <w:r>
        <w:rPr>
          <w:rFonts w:ascii="微软雅黑" w:hAnsi="微软雅黑" w:eastAsia="微软雅黑" w:cs="微软雅黑"/>
          <w:color w:val="BC1010"/>
          <w:sz w:val="40"/>
          <w:szCs w:val="40"/>
          <w:shd w:val="clear" w:color="090000" w:fill="FFFFFF"/>
        </w:rPr>
        <w:t>决算公开</w:t>
      </w:r>
    </w:p>
    <w:p>
      <w:pPr>
        <w:pStyle w:val="17"/>
        <w:spacing w:before="76" w:beforeAutospacing="0" w:after="76" w:afterAutospacing="0" w:line="450" w:lineRule="atLeast"/>
        <w:ind w:firstLine="420"/>
        <w:jc w:val="center"/>
        <w:rPr>
          <w:color w:val="333333"/>
          <w:szCs w:val="24"/>
        </w:rPr>
      </w:pPr>
      <w:r>
        <w:rPr>
          <w:rStyle w:val="8"/>
          <w:rFonts w:hint="eastAsia" w:ascii="微软雅黑" w:hAnsi="微软雅黑" w:eastAsia="微软雅黑" w:cs="微软雅黑"/>
          <w:color w:val="333333"/>
          <w:szCs w:val="24"/>
          <w:shd w:val="clear" w:color="090000" w:fill="FFFFFF"/>
        </w:rPr>
        <w:t>黄石港区人武部</w:t>
      </w:r>
      <w:r>
        <w:rPr>
          <w:rStyle w:val="8"/>
          <w:rFonts w:hint="eastAsia" w:ascii="微软雅黑" w:hAnsi="微软雅黑" w:eastAsia="微软雅黑" w:cs="微软雅黑"/>
          <w:color w:val="333333"/>
          <w:szCs w:val="24"/>
          <w:shd w:val="clear" w:color="090000" w:fill="FFFFFF"/>
          <w:lang w:eastAsia="zh-CN"/>
        </w:rPr>
        <w:t>2019年</w:t>
      </w:r>
      <w:r>
        <w:rPr>
          <w:rStyle w:val="8"/>
          <w:rFonts w:hint="eastAsia" w:ascii="微软雅黑" w:hAnsi="微软雅黑" w:eastAsia="微软雅黑" w:cs="微软雅黑"/>
          <w:color w:val="333333"/>
          <w:szCs w:val="24"/>
          <w:shd w:val="clear" w:color="090000" w:fill="FFFFFF"/>
        </w:rPr>
        <w:t>决算公开</w:t>
      </w:r>
    </w:p>
    <w:p>
      <w:pPr>
        <w:pStyle w:val="17"/>
        <w:spacing w:before="76" w:beforeAutospacing="0" w:after="76" w:afterAutospacing="0" w:line="450" w:lineRule="atLeast"/>
        <w:ind w:firstLine="420"/>
        <w:jc w:val="center"/>
        <w:rPr>
          <w:color w:val="333333"/>
          <w:szCs w:val="24"/>
        </w:rPr>
      </w:pPr>
      <w:r>
        <w:rPr>
          <w:rFonts w:hint="eastAsia" w:ascii="微软雅黑" w:hAnsi="微软雅黑" w:eastAsia="微软雅黑" w:cs="微软雅黑"/>
          <w:color w:val="333333"/>
          <w:szCs w:val="24"/>
          <w:shd w:val="clear" w:color="090000" w:fill="FFFFFF"/>
        </w:rPr>
        <w:t>目  录</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第一部分:部门基本情况</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一、部门主要职责</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二、部门决算单位构成</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第二部分: 部门</w:t>
      </w:r>
      <w:r>
        <w:rPr>
          <w:rFonts w:hint="eastAsia" w:ascii="微软雅黑" w:hAnsi="微软雅黑" w:eastAsia="微软雅黑" w:cs="微软雅黑"/>
          <w:color w:val="333333"/>
          <w:szCs w:val="24"/>
          <w:shd w:val="clear" w:color="090000" w:fill="FFFFFF"/>
          <w:lang w:eastAsia="zh-CN"/>
        </w:rPr>
        <w:t>2019年</w:t>
      </w:r>
      <w:r>
        <w:rPr>
          <w:rFonts w:hint="eastAsia" w:ascii="微软雅黑" w:hAnsi="微软雅黑" w:eastAsia="微软雅黑" w:cs="微软雅黑"/>
          <w:color w:val="333333"/>
          <w:szCs w:val="24"/>
          <w:shd w:val="clear" w:color="090000" w:fill="FFFFFF"/>
        </w:rPr>
        <w:t>部门决算表</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一、收入支出决算总表（表1）</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二、收入决算表（表2）</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三、支出决算表（表3）</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四、财政拨款收入支出决算总表（表4）</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五、一般公共预算财政拨款支出决算表（表5）</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六、一般公共预算财政拨款基本支出决算表（表6）</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七、一般公共预算财政拨款“三公”经费支出决算表（表7）</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第三部分：部门</w:t>
      </w:r>
      <w:r>
        <w:rPr>
          <w:rFonts w:hint="eastAsia" w:ascii="微软雅黑" w:hAnsi="微软雅黑" w:eastAsia="微软雅黑" w:cs="微软雅黑"/>
          <w:color w:val="333333"/>
          <w:szCs w:val="24"/>
          <w:shd w:val="clear" w:color="090000" w:fill="FFFFFF"/>
          <w:lang w:eastAsia="zh-CN"/>
        </w:rPr>
        <w:t>2019年</w:t>
      </w:r>
      <w:r>
        <w:rPr>
          <w:rFonts w:hint="eastAsia" w:ascii="微软雅黑" w:hAnsi="微软雅黑" w:eastAsia="微软雅黑" w:cs="微软雅黑"/>
          <w:color w:val="333333"/>
          <w:szCs w:val="24"/>
          <w:shd w:val="clear" w:color="090000" w:fill="FFFFFF"/>
        </w:rPr>
        <w:t>部门决算情况说明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一、预算执行情况分析</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二、关于“三公”经费支出说明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三、关于机关运行经费支出说明</w:t>
      </w:r>
    </w:p>
    <w:p>
      <w:pPr>
        <w:pStyle w:val="17"/>
        <w:spacing w:before="76" w:beforeAutospacing="0" w:after="76" w:afterAutospacing="0" w:line="450" w:lineRule="atLeast"/>
        <w:ind w:firstLine="420"/>
        <w:rPr>
          <w:rFonts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四、关于政府采购支出说明</w:t>
      </w:r>
    </w:p>
    <w:p>
      <w:pPr>
        <w:pStyle w:val="17"/>
        <w:spacing w:before="76" w:beforeAutospacing="0" w:after="76" w:afterAutospacing="0" w:line="450" w:lineRule="atLeast"/>
        <w:ind w:firstLine="420"/>
        <w:rPr>
          <w:rFonts w:hint="eastAsia" w:ascii="微软雅黑" w:hAnsi="微软雅黑" w:eastAsia="微软雅黑" w:cs="微软雅黑"/>
          <w:color w:val="333333"/>
          <w:szCs w:val="24"/>
          <w:shd w:val="clear" w:color="080000" w:fill="FFFFFF"/>
        </w:rPr>
      </w:pPr>
      <w:r>
        <w:rPr>
          <w:rFonts w:hint="eastAsia" w:ascii="微软雅黑" w:hAnsi="微软雅黑" w:eastAsia="微软雅黑" w:cs="微软雅黑"/>
          <w:color w:val="333333"/>
          <w:szCs w:val="24"/>
          <w:shd w:val="clear" w:color="080000" w:fill="FFFFFF"/>
        </w:rPr>
        <w:t>五、关于国有资产占用情况说明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7"/>
        <w:spacing w:before="76" w:beforeAutospacing="0" w:after="76" w:afterAutospacing="0" w:line="450" w:lineRule="atLeast"/>
        <w:ind w:firstLine="420"/>
        <w:rPr>
          <w:color w:val="333333"/>
          <w:szCs w:val="24"/>
        </w:rPr>
      </w:pPr>
      <w:r>
        <w:rPr>
          <w:rFonts w:hint="eastAsia" w:ascii="微软雅黑" w:hAnsi="微软雅黑" w:eastAsia="微软雅黑" w:cs="微软雅黑"/>
          <w:color w:val="333333"/>
          <w:szCs w:val="24"/>
          <w:shd w:val="clear" w:color="090000" w:fill="FFFFFF"/>
        </w:rPr>
        <w:t>第四部分：名词解释 </w:t>
      </w:r>
    </w:p>
    <w:p>
      <w:pPr>
        <w:ind w:firstLine="480"/>
        <w:rPr>
          <w:rFonts w:ascii="微软雅黑" w:hAnsi="微软雅黑" w:eastAsia="微软雅黑" w:cs="微软雅黑"/>
          <w:b/>
          <w:bCs/>
          <w:color w:val="000000" w:themeColor="text1"/>
          <w:sz w:val="28"/>
          <w:szCs w:val="28"/>
          <w14:textFill>
            <w14:solidFill>
              <w14:schemeClr w14:val="tx1"/>
            </w14:solidFill>
          </w14:textFill>
        </w:rPr>
      </w:pPr>
    </w:p>
    <w:p>
      <w:pPr>
        <w:ind w:firstLine="480"/>
        <w:rPr>
          <w:rFonts w:ascii="微软雅黑" w:hAnsi="微软雅黑" w:eastAsia="微软雅黑" w:cs="微软雅黑"/>
          <w:b/>
          <w:bCs/>
          <w:color w:val="000000" w:themeColor="text1"/>
          <w:sz w:val="28"/>
          <w:szCs w:val="28"/>
          <w14:textFill>
            <w14:solidFill>
              <w14:schemeClr w14:val="tx1"/>
            </w14:solidFill>
          </w14:textFill>
        </w:rPr>
      </w:pPr>
    </w:p>
    <w:p>
      <w:pPr>
        <w:ind w:firstLine="480"/>
        <w:rPr>
          <w:rFonts w:ascii="微软雅黑" w:hAnsi="微软雅黑" w:eastAsia="微软雅黑" w:cs="微软雅黑"/>
          <w:b/>
          <w:bCs/>
          <w:color w:val="000000" w:themeColor="text1"/>
          <w:sz w:val="28"/>
          <w:szCs w:val="28"/>
          <w14:textFill>
            <w14:solidFill>
              <w14:schemeClr w14:val="tx1"/>
            </w14:solidFill>
          </w14:textFill>
        </w:rPr>
      </w:pPr>
    </w:p>
    <w:p>
      <w:pPr>
        <w:ind w:firstLine="480"/>
        <w:rPr>
          <w:rFonts w:ascii="微软雅黑" w:hAnsi="微软雅黑" w:eastAsia="微软雅黑" w:cs="微软雅黑"/>
          <w:b/>
          <w:bCs/>
          <w:color w:val="000000" w:themeColor="text1"/>
          <w:sz w:val="28"/>
          <w:szCs w:val="28"/>
          <w14:textFill>
            <w14:solidFill>
              <w14:schemeClr w14:val="tx1"/>
            </w14:solidFill>
          </w14:textFill>
        </w:rPr>
      </w:pPr>
    </w:p>
    <w:p>
      <w:pPr>
        <w:ind w:firstLine="480"/>
        <w:rPr>
          <w:rFonts w:ascii="微软雅黑" w:hAnsi="微软雅黑" w:eastAsia="微软雅黑" w:cs="微软雅黑"/>
          <w:b/>
          <w:bCs/>
          <w:color w:val="000000" w:themeColor="text1"/>
          <w:sz w:val="28"/>
          <w:szCs w:val="28"/>
          <w14:textFill>
            <w14:solidFill>
              <w14:schemeClr w14:val="tx1"/>
            </w14:solidFill>
          </w14:textFill>
        </w:rPr>
      </w:pPr>
    </w:p>
    <w:p>
      <w:pPr>
        <w:pStyle w:val="17"/>
        <w:spacing w:before="76" w:beforeAutospacing="0" w:after="76" w:afterAutospacing="0" w:line="450" w:lineRule="atLeast"/>
        <w:jc w:val="center"/>
        <w:rPr>
          <w:color w:val="333333"/>
          <w:szCs w:val="24"/>
        </w:rPr>
      </w:pPr>
      <w:r>
        <w:rPr>
          <w:rStyle w:val="8"/>
          <w:rFonts w:hint="eastAsia" w:ascii="微软雅黑" w:hAnsi="微软雅黑" w:eastAsia="微软雅黑" w:cs="微软雅黑"/>
          <w:color w:val="333333"/>
          <w:szCs w:val="24"/>
          <w:shd w:val="clear" w:color="090000" w:fill="FFFFFF"/>
          <w:lang w:eastAsia="zh-CN"/>
        </w:rPr>
        <w:t>2019年</w:t>
      </w:r>
      <w:r>
        <w:rPr>
          <w:rStyle w:val="8"/>
          <w:rFonts w:hint="eastAsia" w:ascii="微软雅黑" w:hAnsi="微软雅黑" w:eastAsia="微软雅黑" w:cs="微软雅黑"/>
          <w:color w:val="333333"/>
          <w:szCs w:val="24"/>
          <w:shd w:val="clear" w:color="090000" w:fill="FFFFFF"/>
        </w:rPr>
        <w:t>部门决算</w:t>
      </w:r>
    </w:p>
    <w:p>
      <w:pPr>
        <w:pStyle w:val="17"/>
        <w:spacing w:before="76" w:beforeAutospacing="0" w:after="76" w:afterAutospacing="0" w:line="450" w:lineRule="atLeast"/>
        <w:ind w:firstLine="420"/>
        <w:rPr>
          <w:color w:val="333333"/>
          <w:szCs w:val="24"/>
        </w:rPr>
      </w:pPr>
      <w:r>
        <w:rPr>
          <w:rStyle w:val="8"/>
          <w:rFonts w:hint="eastAsia" w:ascii="微软雅黑" w:hAnsi="微软雅黑" w:eastAsia="微软雅黑" w:cs="微软雅黑"/>
          <w:color w:val="333333"/>
          <w:szCs w:val="24"/>
          <w:shd w:val="clear" w:color="090000" w:fill="FFFFFF"/>
        </w:rPr>
        <w:t>第一部分部门概况</w:t>
      </w:r>
    </w:p>
    <w:p>
      <w:pPr>
        <w:widowControl/>
        <w:shd w:val="clear" w:color="auto" w:fill="FFFFFF"/>
        <w:ind w:firstLine="280" w:firstLineChars="1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（一）主要职责</w:t>
      </w:r>
    </w:p>
    <w:p>
      <w:pPr>
        <w:pStyle w:val="10"/>
        <w:ind w:left="284" w:firstLine="600" w:firstLineChars="200"/>
        <w:rPr>
          <w:rFonts w:ascii="仿宋_GB2312" w:eastAsia="仿宋_GB2312"/>
          <w:sz w:val="30"/>
          <w:szCs w:val="30"/>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人武部座落于黄石市磁湖路35-3号，隶属于黄石市军分区。负责兵役、民兵工作的职能部门。主要职责是：宣传贯彻兵役法、民兵工作政策及法律法规；培养征兵工作和民兵工作干部；参与地方抢险救灾、反恐维稳、森林灭火等急难险重任务；协调处理军地有关工作。</w:t>
      </w:r>
    </w:p>
    <w:p>
      <w:pPr>
        <w:widowControl/>
        <w:shd w:val="clear" w:color="auto" w:fill="FFFFFF"/>
        <w:ind w:firstLine="300" w:firstLineChars="100"/>
        <w:jc w:val="left"/>
        <w:rPr>
          <w:rFonts w:ascii="宋体" w:hAnsi="宋体" w:cs="宋体"/>
          <w:color w:val="333333"/>
          <w:kern w:val="0"/>
          <w:sz w:val="30"/>
          <w:szCs w:val="30"/>
        </w:rPr>
      </w:pPr>
      <w:r>
        <w:rPr>
          <w:rFonts w:hint="eastAsia" w:ascii="仿宋_GB2312" w:eastAsia="仿宋_GB2312"/>
          <w:sz w:val="30"/>
          <w:szCs w:val="30"/>
        </w:rPr>
        <w:t>（二）单位基本信息(机构设置等</w:t>
      </w:r>
      <w:r>
        <w:rPr>
          <w:rFonts w:hint="eastAsia" w:ascii="宋体" w:hAnsi="宋体" w:cs="宋体"/>
          <w:color w:val="333333"/>
          <w:kern w:val="0"/>
          <w:sz w:val="30"/>
          <w:szCs w:val="30"/>
        </w:rPr>
        <w:t>)</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黄石港区人民武装部内设军事科、政治工作科、保障科</w:t>
      </w:r>
    </w:p>
    <w:p>
      <w:pPr>
        <w:pStyle w:val="10"/>
        <w:ind w:firstLine="60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（三）人员情况</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黄石港区人武部地方参公管理事业编制5名,其中，科员1人，办事人员1名，技术人员3名。</w:t>
      </w: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p>
    <w:p>
      <w:pPr>
        <w:pStyle w:val="10"/>
        <w:ind w:left="284" w:firstLine="60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p>
    <w:p>
      <w:pPr>
        <w:pStyle w:val="6"/>
        <w:widowControl/>
        <w:numPr>
          <w:ilvl w:val="0"/>
          <w:numId w:val="1"/>
        </w:numPr>
        <w:spacing w:before="76" w:beforeAutospacing="0" w:after="76" w:afterAutospacing="0" w:line="450" w:lineRule="atLeast"/>
        <w:ind w:firstLine="420"/>
        <w:rPr>
          <w:rStyle w:val="8"/>
          <w:rFonts w:ascii="微软雅黑" w:hAnsi="微软雅黑" w:eastAsia="微软雅黑" w:cs="微软雅黑"/>
          <w:color w:val="333333"/>
          <w:szCs w:val="24"/>
          <w:shd w:val="clear" w:color="auto" w:fill="FFFFFF"/>
        </w:rPr>
      </w:pPr>
      <w:r>
        <w:rPr>
          <w:rStyle w:val="8"/>
          <w:rFonts w:hint="eastAsia" w:ascii="微软雅黑" w:hAnsi="微软雅黑" w:eastAsia="微软雅黑" w:cs="微软雅黑"/>
          <w:color w:val="333333"/>
          <w:szCs w:val="24"/>
          <w:shd w:val="clear" w:color="auto" w:fill="FFFFFF"/>
        </w:rPr>
        <w:t>部门</w:t>
      </w:r>
      <w:r>
        <w:rPr>
          <w:rStyle w:val="8"/>
          <w:rFonts w:hint="eastAsia" w:ascii="微软雅黑" w:hAnsi="微软雅黑" w:eastAsia="微软雅黑" w:cs="微软雅黑"/>
          <w:color w:val="333333"/>
          <w:szCs w:val="24"/>
          <w:shd w:val="clear" w:color="auto" w:fill="FFFFFF"/>
          <w:lang w:eastAsia="zh-CN"/>
        </w:rPr>
        <w:t>2019年</w:t>
      </w:r>
      <w:r>
        <w:rPr>
          <w:rStyle w:val="8"/>
          <w:rFonts w:hint="eastAsia" w:ascii="微软雅黑" w:hAnsi="微软雅黑" w:eastAsia="微软雅黑" w:cs="微软雅黑"/>
          <w:color w:val="333333"/>
          <w:szCs w:val="24"/>
          <w:shd w:val="clear" w:color="auto" w:fill="FFFFFF"/>
        </w:rPr>
        <w:t>部门决算表</w:t>
      </w:r>
    </w:p>
    <w:tbl>
      <w:tblPr>
        <w:tblStyle w:val="9"/>
        <w:tblW w:w="13400" w:type="dxa"/>
        <w:jc w:val="center"/>
        <w:tblInd w:w="0" w:type="dxa"/>
        <w:shd w:val="clear" w:color="auto" w:fill="auto"/>
        <w:tblLayout w:type="fixed"/>
        <w:tblCellMar>
          <w:top w:w="0" w:type="dxa"/>
          <w:left w:w="0" w:type="dxa"/>
          <w:bottom w:w="0" w:type="dxa"/>
          <w:right w:w="0" w:type="dxa"/>
        </w:tblCellMar>
      </w:tblPr>
      <w:tblGrid>
        <w:gridCol w:w="4274"/>
        <w:gridCol w:w="607"/>
        <w:gridCol w:w="1735"/>
        <w:gridCol w:w="4274"/>
        <w:gridCol w:w="607"/>
        <w:gridCol w:w="1903"/>
      </w:tblGrid>
      <w:tr>
        <w:tblPrEx>
          <w:shd w:val="clear" w:color="auto" w:fill="auto"/>
          <w:tblLayout w:type="fixed"/>
          <w:tblCellMar>
            <w:top w:w="0" w:type="dxa"/>
            <w:left w:w="0" w:type="dxa"/>
            <w:bottom w:w="0" w:type="dxa"/>
            <w:right w:w="0" w:type="dxa"/>
          </w:tblCellMar>
        </w:tblPrEx>
        <w:trPr>
          <w:trHeight w:val="407" w:hRule="atLeast"/>
          <w:jc w:val="center"/>
        </w:trPr>
        <w:tc>
          <w:tcPr>
            <w:tcW w:w="13400"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37" w:hRule="atLeast"/>
          <w:jc w:val="center"/>
        </w:trPr>
        <w:tc>
          <w:tcPr>
            <w:tcW w:w="13400"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50" w:hRule="atLeast"/>
          <w:jc w:val="center"/>
        </w:trPr>
        <w:tc>
          <w:tcPr>
            <w:tcW w:w="427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7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0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50" w:hRule="atLeast"/>
          <w:jc w:val="center"/>
        </w:trPr>
        <w:tc>
          <w:tcPr>
            <w:tcW w:w="427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60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27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71" w:hRule="atLeast"/>
          <w:jc w:val="center"/>
        </w:trPr>
        <w:tc>
          <w:tcPr>
            <w:tcW w:w="661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784"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9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1" w:hRule="atLeast"/>
          <w:jc w:val="center"/>
        </w:trPr>
        <w:tc>
          <w:tcPr>
            <w:tcW w:w="427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42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0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90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r>
      <w:tr>
        <w:tblPrEx>
          <w:tblLayout w:type="fixed"/>
          <w:tblCellMar>
            <w:top w:w="0" w:type="dxa"/>
            <w:left w:w="0" w:type="dxa"/>
            <w:bottom w:w="0" w:type="dxa"/>
            <w:right w:w="0" w:type="dxa"/>
          </w:tblCellMar>
        </w:tblPrEx>
        <w:trPr>
          <w:trHeight w:val="371" w:hRule="atLeast"/>
          <w:jc w:val="center"/>
        </w:trPr>
        <w:tc>
          <w:tcPr>
            <w:tcW w:w="13400"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6"/>
        <w:widowControl/>
        <w:spacing w:before="76" w:beforeAutospacing="0" w:after="76" w:afterAutospacing="0" w:line="450" w:lineRule="atLeast"/>
        <w:jc w:val="both"/>
      </w:pPr>
    </w:p>
    <w:tbl>
      <w:tblPr>
        <w:tblStyle w:val="9"/>
        <w:tblW w:w="13559" w:type="dxa"/>
        <w:jc w:val="center"/>
        <w:tblInd w:w="0" w:type="dxa"/>
        <w:shd w:val="clear" w:color="auto" w:fill="auto"/>
        <w:tblLayout w:type="fixed"/>
        <w:tblCellMar>
          <w:top w:w="0" w:type="dxa"/>
          <w:left w:w="0" w:type="dxa"/>
          <w:bottom w:w="0" w:type="dxa"/>
          <w:right w:w="0" w:type="dxa"/>
        </w:tblCellMar>
      </w:tblPr>
      <w:tblGrid>
        <w:gridCol w:w="2230"/>
        <w:gridCol w:w="36"/>
        <w:gridCol w:w="36"/>
        <w:gridCol w:w="2230"/>
        <w:gridCol w:w="1504"/>
        <w:gridCol w:w="1775"/>
        <w:gridCol w:w="1238"/>
        <w:gridCol w:w="837"/>
        <w:gridCol w:w="963"/>
        <w:gridCol w:w="1637"/>
        <w:gridCol w:w="1073"/>
      </w:tblGrid>
      <w:tr>
        <w:tblPrEx>
          <w:shd w:val="clear" w:color="auto" w:fill="auto"/>
          <w:tblLayout w:type="fixed"/>
          <w:tblCellMar>
            <w:top w:w="0" w:type="dxa"/>
            <w:left w:w="0" w:type="dxa"/>
            <w:bottom w:w="0" w:type="dxa"/>
            <w:right w:w="0" w:type="dxa"/>
          </w:tblCellMar>
        </w:tblPrEx>
        <w:trPr>
          <w:trHeight w:val="375" w:hRule="atLeast"/>
          <w:jc w:val="center"/>
        </w:trPr>
        <w:tc>
          <w:tcPr>
            <w:tcW w:w="13559"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jc w:val="center"/>
        </w:trPr>
        <w:tc>
          <w:tcPr>
            <w:tcW w:w="13559"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22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7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jc w:val="center"/>
        </w:trPr>
        <w:tc>
          <w:tcPr>
            <w:tcW w:w="22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453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7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83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63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07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jc w:val="center"/>
        </w:trPr>
        <w:tc>
          <w:tcPr>
            <w:tcW w:w="230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23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3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3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453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jc w:val="center"/>
        </w:trPr>
        <w:tc>
          <w:tcPr>
            <w:tcW w:w="453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1,480,953.19</w:t>
            </w:r>
          </w:p>
        </w:tc>
        <w:tc>
          <w:tcPr>
            <w:tcW w:w="1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1,480,953.19</w:t>
            </w:r>
          </w:p>
        </w:tc>
        <w:tc>
          <w:tcPr>
            <w:tcW w:w="1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5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20199</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其他一般公共服务支出</w:t>
            </w:r>
          </w:p>
        </w:tc>
        <w:tc>
          <w:tcPr>
            <w:tcW w:w="15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22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203</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国防支出</w:t>
            </w:r>
          </w:p>
        </w:tc>
        <w:tc>
          <w:tcPr>
            <w:tcW w:w="15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20306</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国防动员</w:t>
            </w:r>
          </w:p>
        </w:tc>
        <w:tc>
          <w:tcPr>
            <w:tcW w:w="15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2030601</w:t>
            </w:r>
          </w:p>
        </w:tc>
        <w:tc>
          <w:tcPr>
            <w:tcW w:w="22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兵役征集</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15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22999</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150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7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2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2299901</w:t>
            </w:r>
          </w:p>
        </w:tc>
        <w:tc>
          <w:tcPr>
            <w:tcW w:w="22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7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2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3559"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6"/>
        <w:widowControl/>
        <w:spacing w:before="76" w:beforeAutospacing="0" w:after="76" w:afterAutospacing="0" w:line="450" w:lineRule="atLeast"/>
        <w:jc w:val="both"/>
      </w:pPr>
    </w:p>
    <w:tbl>
      <w:tblPr>
        <w:tblStyle w:val="9"/>
        <w:tblW w:w="13415" w:type="dxa"/>
        <w:jc w:val="center"/>
        <w:tblInd w:w="0" w:type="dxa"/>
        <w:shd w:val="clear" w:color="auto" w:fill="auto"/>
        <w:tblLayout w:type="fixed"/>
        <w:tblCellMar>
          <w:top w:w="0" w:type="dxa"/>
          <w:left w:w="0" w:type="dxa"/>
          <w:bottom w:w="0" w:type="dxa"/>
          <w:right w:w="0" w:type="dxa"/>
        </w:tblCellMar>
      </w:tblPr>
      <w:tblGrid>
        <w:gridCol w:w="2230"/>
        <w:gridCol w:w="36"/>
        <w:gridCol w:w="36"/>
        <w:gridCol w:w="2612"/>
        <w:gridCol w:w="1738"/>
        <w:gridCol w:w="1437"/>
        <w:gridCol w:w="1075"/>
        <w:gridCol w:w="1300"/>
        <w:gridCol w:w="1088"/>
        <w:gridCol w:w="1863"/>
      </w:tblGrid>
      <w:tr>
        <w:tblPrEx>
          <w:shd w:val="clear" w:color="auto" w:fill="auto"/>
          <w:tblLayout w:type="fixed"/>
          <w:tblCellMar>
            <w:top w:w="0" w:type="dxa"/>
            <w:left w:w="0" w:type="dxa"/>
            <w:bottom w:w="0" w:type="dxa"/>
            <w:right w:w="0" w:type="dxa"/>
          </w:tblCellMar>
        </w:tblPrEx>
        <w:trPr>
          <w:trHeight w:val="375" w:hRule="atLeast"/>
          <w:jc w:val="center"/>
        </w:trPr>
        <w:tc>
          <w:tcPr>
            <w:tcW w:w="13415" w:type="dxa"/>
            <w:gridSpan w:val="10"/>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jc w:val="center"/>
        </w:trPr>
        <w:tc>
          <w:tcPr>
            <w:tcW w:w="13415" w:type="dxa"/>
            <w:gridSpan w:val="10"/>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22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6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0" w:hRule="atLeast"/>
          <w:jc w:val="center"/>
        </w:trPr>
        <w:tc>
          <w:tcPr>
            <w:tcW w:w="22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4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491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3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3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8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jc w:val="center"/>
        </w:trPr>
        <w:tc>
          <w:tcPr>
            <w:tcW w:w="230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612"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3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3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1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491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jc w:val="center"/>
        </w:trPr>
        <w:tc>
          <w:tcPr>
            <w:tcW w:w="491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1,480,953.19</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1,480,953.19</w:t>
            </w:r>
          </w:p>
        </w:tc>
        <w:tc>
          <w:tcPr>
            <w:tcW w:w="10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6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4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0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20199</w:t>
            </w:r>
          </w:p>
        </w:tc>
        <w:tc>
          <w:tcPr>
            <w:tcW w:w="26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其他一般公共服务支出</w:t>
            </w:r>
          </w:p>
        </w:tc>
        <w:tc>
          <w:tcPr>
            <w:tcW w:w="1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4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0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261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7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0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203</w:t>
            </w:r>
          </w:p>
        </w:tc>
        <w:tc>
          <w:tcPr>
            <w:tcW w:w="26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国防支出</w:t>
            </w:r>
          </w:p>
        </w:tc>
        <w:tc>
          <w:tcPr>
            <w:tcW w:w="1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4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0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20306</w:t>
            </w:r>
          </w:p>
        </w:tc>
        <w:tc>
          <w:tcPr>
            <w:tcW w:w="26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国防动员</w:t>
            </w:r>
          </w:p>
        </w:tc>
        <w:tc>
          <w:tcPr>
            <w:tcW w:w="1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4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0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2030601</w:t>
            </w:r>
          </w:p>
        </w:tc>
        <w:tc>
          <w:tcPr>
            <w:tcW w:w="261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兵役征集</w:t>
            </w:r>
          </w:p>
        </w:tc>
        <w:tc>
          <w:tcPr>
            <w:tcW w:w="17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0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w:t>
            </w:r>
          </w:p>
        </w:tc>
        <w:tc>
          <w:tcPr>
            <w:tcW w:w="26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1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4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0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22999</w:t>
            </w:r>
          </w:p>
        </w:tc>
        <w:tc>
          <w:tcPr>
            <w:tcW w:w="26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1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4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0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3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2299901</w:t>
            </w:r>
          </w:p>
        </w:tc>
        <w:tc>
          <w:tcPr>
            <w:tcW w:w="261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7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4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0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3415"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6"/>
        <w:widowControl/>
        <w:spacing w:before="76" w:beforeAutospacing="0" w:after="76" w:afterAutospacing="0" w:line="450" w:lineRule="atLeast"/>
        <w:jc w:val="center"/>
      </w:pPr>
    </w:p>
    <w:tbl>
      <w:tblPr>
        <w:tblStyle w:val="9"/>
        <w:tblW w:w="14054" w:type="dxa"/>
        <w:jc w:val="center"/>
        <w:tblInd w:w="0" w:type="dxa"/>
        <w:shd w:val="clear" w:color="auto" w:fill="auto"/>
        <w:tblLayout w:type="fixed"/>
        <w:tblCellMar>
          <w:top w:w="0" w:type="dxa"/>
          <w:left w:w="0" w:type="dxa"/>
          <w:bottom w:w="0" w:type="dxa"/>
          <w:right w:w="0" w:type="dxa"/>
        </w:tblCellMar>
      </w:tblPr>
      <w:tblGrid>
        <w:gridCol w:w="3471"/>
        <w:gridCol w:w="1087"/>
        <w:gridCol w:w="1350"/>
        <w:gridCol w:w="3313"/>
        <w:gridCol w:w="750"/>
        <w:gridCol w:w="1287"/>
        <w:gridCol w:w="1413"/>
        <w:gridCol w:w="1383"/>
      </w:tblGrid>
      <w:tr>
        <w:tblPrEx>
          <w:shd w:val="clear" w:color="auto" w:fill="auto"/>
          <w:tblLayout w:type="fixed"/>
          <w:tblCellMar>
            <w:top w:w="0" w:type="dxa"/>
            <w:left w:w="0" w:type="dxa"/>
            <w:bottom w:w="0" w:type="dxa"/>
            <w:right w:w="0" w:type="dxa"/>
          </w:tblCellMar>
        </w:tblPrEx>
        <w:trPr>
          <w:trHeight w:val="375" w:hRule="atLeast"/>
          <w:jc w:val="center"/>
        </w:trPr>
        <w:tc>
          <w:tcPr>
            <w:tcW w:w="14054"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jc w:val="center"/>
        </w:trPr>
        <w:tc>
          <w:tcPr>
            <w:tcW w:w="14054"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1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108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7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8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590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146"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jc w:val="center"/>
        </w:trPr>
        <w:tc>
          <w:tcPr>
            <w:tcW w:w="3471"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31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8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1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8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jc w:val="center"/>
        </w:trPr>
        <w:tc>
          <w:tcPr>
            <w:tcW w:w="3471"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0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1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8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471"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0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331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14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1,480,953.19</w:t>
            </w:r>
          </w:p>
        </w:tc>
        <w:tc>
          <w:tcPr>
            <w:tcW w:w="138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4054"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6"/>
        <w:widowControl/>
        <w:spacing w:before="76" w:beforeAutospacing="0" w:after="76" w:afterAutospacing="0" w:line="450" w:lineRule="atLeast"/>
        <w:jc w:val="both"/>
      </w:pPr>
    </w:p>
    <w:tbl>
      <w:tblPr>
        <w:tblStyle w:val="9"/>
        <w:tblW w:w="14042" w:type="dxa"/>
        <w:jc w:val="center"/>
        <w:tblInd w:w="0" w:type="dxa"/>
        <w:shd w:val="clear" w:color="auto" w:fill="auto"/>
        <w:tblLayout w:type="fixed"/>
        <w:tblCellMar>
          <w:top w:w="0" w:type="dxa"/>
          <w:left w:w="0" w:type="dxa"/>
          <w:bottom w:w="0" w:type="dxa"/>
          <w:right w:w="0" w:type="dxa"/>
        </w:tblCellMar>
      </w:tblPr>
      <w:tblGrid>
        <w:gridCol w:w="2314"/>
        <w:gridCol w:w="37"/>
        <w:gridCol w:w="789"/>
        <w:gridCol w:w="4750"/>
        <w:gridCol w:w="2325"/>
        <w:gridCol w:w="1621"/>
        <w:gridCol w:w="2206"/>
      </w:tblGrid>
      <w:tr>
        <w:tblPrEx>
          <w:shd w:val="clear" w:color="auto" w:fill="auto"/>
          <w:tblLayout w:type="fixed"/>
          <w:tblCellMar>
            <w:top w:w="0" w:type="dxa"/>
            <w:left w:w="0" w:type="dxa"/>
            <w:bottom w:w="0" w:type="dxa"/>
            <w:right w:w="0" w:type="dxa"/>
          </w:tblCellMar>
        </w:tblPrEx>
        <w:trPr>
          <w:trHeight w:val="375" w:hRule="atLeast"/>
          <w:jc w:val="center"/>
        </w:trPr>
        <w:tc>
          <w:tcPr>
            <w:tcW w:w="14042"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jc w:val="center"/>
        </w:trPr>
        <w:tc>
          <w:tcPr>
            <w:tcW w:w="14042"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23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7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2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jc w:val="center"/>
        </w:trPr>
        <w:tc>
          <w:tcPr>
            <w:tcW w:w="231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3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789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152"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jc w:val="center"/>
        </w:trPr>
        <w:tc>
          <w:tcPr>
            <w:tcW w:w="3140"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75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3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62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jc w:val="center"/>
        </w:trPr>
        <w:tc>
          <w:tcPr>
            <w:tcW w:w="314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5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14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5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789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jc w:val="center"/>
        </w:trPr>
        <w:tc>
          <w:tcPr>
            <w:tcW w:w="789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3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1,480,953.19</w:t>
            </w:r>
          </w:p>
        </w:tc>
        <w:tc>
          <w:tcPr>
            <w:tcW w:w="16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1,480,953.19</w:t>
            </w:r>
          </w:p>
        </w:tc>
        <w:tc>
          <w:tcPr>
            <w:tcW w:w="22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20199</w:t>
            </w:r>
          </w:p>
        </w:tc>
        <w:tc>
          <w:tcPr>
            <w:tcW w:w="4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其他一般公共服务支出</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1,290,953.19</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475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23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16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1,290,953.19</w:t>
            </w:r>
          </w:p>
        </w:tc>
        <w:tc>
          <w:tcPr>
            <w:tcW w:w="22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203</w:t>
            </w:r>
          </w:p>
        </w:tc>
        <w:tc>
          <w:tcPr>
            <w:tcW w:w="4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国防支出</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20306</w:t>
            </w:r>
          </w:p>
        </w:tc>
        <w:tc>
          <w:tcPr>
            <w:tcW w:w="4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国防动员</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30,000.00</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2030601</w:t>
            </w:r>
          </w:p>
        </w:tc>
        <w:tc>
          <w:tcPr>
            <w:tcW w:w="475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兵役征集</w:t>
            </w:r>
          </w:p>
        </w:tc>
        <w:tc>
          <w:tcPr>
            <w:tcW w:w="23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16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w:t>
            </w:r>
          </w:p>
        </w:tc>
        <w:tc>
          <w:tcPr>
            <w:tcW w:w="22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w:t>
            </w:r>
          </w:p>
        </w:tc>
        <w:tc>
          <w:tcPr>
            <w:tcW w:w="4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22999</w:t>
            </w:r>
          </w:p>
        </w:tc>
        <w:tc>
          <w:tcPr>
            <w:tcW w:w="4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23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16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160,000.00</w:t>
            </w:r>
          </w:p>
        </w:tc>
        <w:tc>
          <w:tcPr>
            <w:tcW w:w="22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314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2299901</w:t>
            </w:r>
          </w:p>
        </w:tc>
        <w:tc>
          <w:tcPr>
            <w:tcW w:w="475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23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16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22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404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6"/>
        <w:widowControl/>
        <w:spacing w:before="76" w:beforeAutospacing="0" w:after="76" w:afterAutospacing="0" w:line="450" w:lineRule="atLeast"/>
        <w:jc w:val="both"/>
      </w:pPr>
    </w:p>
    <w:tbl>
      <w:tblPr>
        <w:tblStyle w:val="9"/>
        <w:tblW w:w="13988" w:type="dxa"/>
        <w:tblInd w:w="0" w:type="dxa"/>
        <w:shd w:val="clear" w:color="auto" w:fill="auto"/>
        <w:tblLayout w:type="fixed"/>
        <w:tblCellMar>
          <w:top w:w="0" w:type="dxa"/>
          <w:left w:w="0" w:type="dxa"/>
          <w:bottom w:w="0" w:type="dxa"/>
          <w:right w:w="0" w:type="dxa"/>
        </w:tblCellMar>
      </w:tblPr>
      <w:tblGrid>
        <w:gridCol w:w="640"/>
        <w:gridCol w:w="2460"/>
        <w:gridCol w:w="1175"/>
        <w:gridCol w:w="575"/>
        <w:gridCol w:w="2088"/>
        <w:gridCol w:w="1137"/>
        <w:gridCol w:w="588"/>
        <w:gridCol w:w="4061"/>
        <w:gridCol w:w="1264"/>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6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6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8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6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310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11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8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1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6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427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713"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64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3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06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6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64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6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512,664.00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968,289.19</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206,184.50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155,088.50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13,724.00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13,703.00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79,703.00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37,304.00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20,560.00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6,957.00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742,290.19</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9,139.00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4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1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72,753.00</w:t>
            </w:r>
          </w:p>
        </w:tc>
        <w:tc>
          <w:tcPr>
            <w:tcW w:w="5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06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10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512,664.00</w:t>
            </w:r>
          </w:p>
        </w:tc>
        <w:tc>
          <w:tcPr>
            <w:tcW w:w="8449"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968,289.19</w:t>
            </w:r>
          </w:p>
        </w:tc>
      </w:tr>
      <w:tr>
        <w:tblPrEx>
          <w:tblLayout w:type="fixed"/>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6"/>
        <w:widowControl/>
        <w:spacing w:before="76" w:beforeAutospacing="0" w:after="76" w:afterAutospacing="0" w:line="450" w:lineRule="atLeast"/>
        <w:jc w:val="both"/>
      </w:pPr>
    </w:p>
    <w:tbl>
      <w:tblPr>
        <w:tblStyle w:val="9"/>
        <w:tblW w:w="13893" w:type="dxa"/>
        <w:jc w:val="center"/>
        <w:tblInd w:w="0" w:type="dxa"/>
        <w:shd w:val="clear" w:color="auto" w:fill="auto"/>
        <w:tblLayout w:type="fixed"/>
        <w:tblCellMar>
          <w:top w:w="0" w:type="dxa"/>
          <w:left w:w="0" w:type="dxa"/>
          <w:bottom w:w="0" w:type="dxa"/>
          <w:right w:w="0" w:type="dxa"/>
        </w:tblCellMar>
      </w:tblPr>
      <w:tblGrid>
        <w:gridCol w:w="728"/>
        <w:gridCol w:w="1063"/>
        <w:gridCol w:w="637"/>
        <w:gridCol w:w="963"/>
        <w:gridCol w:w="1025"/>
        <w:gridCol w:w="1062"/>
        <w:gridCol w:w="625"/>
        <w:gridCol w:w="1713"/>
        <w:gridCol w:w="575"/>
        <w:gridCol w:w="1862"/>
        <w:gridCol w:w="2163"/>
        <w:gridCol w:w="1477"/>
      </w:tblGrid>
      <w:tr>
        <w:tblPrEx>
          <w:shd w:val="clear" w:color="auto" w:fill="auto"/>
          <w:tblLayout w:type="fixed"/>
          <w:tblCellMar>
            <w:top w:w="0" w:type="dxa"/>
            <w:left w:w="0" w:type="dxa"/>
            <w:bottom w:w="0" w:type="dxa"/>
            <w:right w:w="0" w:type="dxa"/>
          </w:tblCellMar>
        </w:tblPrEx>
        <w:trPr>
          <w:trHeight w:val="375" w:hRule="atLeast"/>
          <w:jc w:val="center"/>
        </w:trPr>
        <w:tc>
          <w:tcPr>
            <w:tcW w:w="13893"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jc w:val="center"/>
        </w:trPr>
        <w:tc>
          <w:tcPr>
            <w:tcW w:w="13893"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72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jc w:val="center"/>
        </w:trPr>
        <w:tc>
          <w:tcPr>
            <w:tcW w:w="3391"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部门：黄石港区人武部</w:t>
            </w:r>
          </w:p>
        </w:tc>
        <w:tc>
          <w:tcPr>
            <w:tcW w:w="10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1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5478"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8415"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jc w:val="center"/>
        </w:trPr>
        <w:tc>
          <w:tcPr>
            <w:tcW w:w="72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62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1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460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jc w:val="center"/>
        </w:trPr>
        <w:tc>
          <w:tcPr>
            <w:tcW w:w="72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8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21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728"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3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1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8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16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jc w:val="center"/>
        </w:trPr>
        <w:tc>
          <w:tcPr>
            <w:tcW w:w="728"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37"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600" w:hRule="atLeast"/>
          <w:jc w:val="center"/>
        </w:trPr>
        <w:tc>
          <w:tcPr>
            <w:tcW w:w="13893"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rPr>
          <w:rFonts w:ascii="微软雅黑" w:hAnsi="微软雅黑" w:eastAsia="微软雅黑" w:cs="微软雅黑"/>
          <w:color w:val="333333"/>
          <w:szCs w:val="24"/>
          <w:shd w:val="clear" w:color="auto" w:fill="FFFFFF"/>
        </w:rPr>
      </w:pPr>
    </w:p>
    <w:tbl>
      <w:tblPr>
        <w:tblStyle w:val="9"/>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部门：黄石港区</w:t>
            </w:r>
            <w:r>
              <w:rPr>
                <w:rFonts w:hint="eastAsia" w:ascii="宋体" w:hAnsi="宋体" w:eastAsia="宋体" w:cs="宋体"/>
                <w:color w:val="000000"/>
                <w:kern w:val="0"/>
                <w:sz w:val="22"/>
                <w:szCs w:val="22"/>
                <w:lang w:eastAsia="zh-CN"/>
              </w:rPr>
              <w:t>人武部</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ind w:firstLine="420" w:firstLineChars="200"/>
        <w:jc w:val="left"/>
        <w:rPr>
          <w:rStyle w:val="8"/>
          <w:rFonts w:hint="eastAsia" w:ascii="微软雅黑" w:hAnsi="微软雅黑" w:eastAsia="微软雅黑" w:cs="微软雅黑"/>
          <w:color w:val="333333"/>
          <w:szCs w:val="24"/>
          <w:shd w:val="clear" w:color="auto" w:fill="FFFFFF"/>
        </w:rPr>
      </w:pPr>
    </w:p>
    <w:p>
      <w:pPr>
        <w:widowControl/>
        <w:ind w:firstLine="480" w:firstLineChars="200"/>
        <w:jc w:val="left"/>
        <w:rPr>
          <w:rFonts w:hint="eastAsia" w:ascii="仿宋_GB2312" w:hAnsi="仿宋" w:eastAsia="仿宋_GB2312"/>
          <w:sz w:val="32"/>
          <w:szCs w:val="32"/>
        </w:rPr>
      </w:pPr>
      <w:r>
        <w:rPr>
          <w:rFonts w:hint="eastAsia" w:ascii="微软雅黑" w:hAnsi="微软雅黑" w:eastAsia="微软雅黑" w:cs="微软雅黑"/>
          <w:b/>
          <w:bCs/>
          <w:color w:val="000000" w:themeColor="text1"/>
          <w:kern w:val="0"/>
          <w:sz w:val="24"/>
          <w:szCs w:val="24"/>
          <w:shd w:val="clear" w:color="auto" w:fill="FFFFFF"/>
          <w:lang w:val="en-US" w:eastAsia="zh-CN" w:bidi="ar-SA"/>
          <w14:textFill>
            <w14:solidFill>
              <w14:schemeClr w14:val="tx1"/>
            </w14:solidFill>
          </w14:textFill>
        </w:rPr>
        <w:t>第三部分2019年部门决算情况说明</w:t>
      </w:r>
      <w:r>
        <w:br w:type="textWrapping"/>
      </w: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（一）预算执行情况分析</w:t>
      </w: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28"/>
          <w:szCs w:val="28"/>
          <w:shd w:val="clear" w:color="auto" w:fill="FFFFFF"/>
          <w:lang w:val="en-US" w:eastAsia="zh-CN"/>
          <w14:textFill>
            <w14:solidFill>
              <w14:schemeClr w14:val="tx1"/>
            </w14:solidFill>
          </w14:textFill>
        </w:rPr>
        <w:t xml:space="preserve"> </w:t>
      </w:r>
      <w:r>
        <w:rPr>
          <w:rFonts w:ascii="仿宋_GB2312" w:hAnsi="仿宋" w:eastAsia="仿宋_GB2312"/>
          <w:sz w:val="32"/>
          <w:szCs w:val="32"/>
        </w:rPr>
        <w:t>201</w:t>
      </w:r>
      <w:r>
        <w:rPr>
          <w:rFonts w:hint="eastAsia" w:ascii="仿宋_GB2312" w:hAnsi="仿宋" w:eastAsia="仿宋_GB2312"/>
          <w:sz w:val="32"/>
          <w:szCs w:val="32"/>
        </w:rPr>
        <w:t>9</w:t>
      </w:r>
      <w:r>
        <w:rPr>
          <w:rFonts w:ascii="仿宋_GB2312" w:hAnsi="仿宋" w:eastAsia="仿宋_GB2312"/>
          <w:sz w:val="32"/>
          <w:szCs w:val="32"/>
        </w:rPr>
        <w:t>年我</w:t>
      </w:r>
      <w:r>
        <w:rPr>
          <w:rFonts w:hint="eastAsia" w:ascii="仿宋_GB2312" w:hAnsi="仿宋" w:eastAsia="仿宋_GB2312"/>
          <w:sz w:val="32"/>
          <w:szCs w:val="32"/>
        </w:rPr>
        <w:t>部</w:t>
      </w:r>
      <w:r>
        <w:rPr>
          <w:rFonts w:ascii="仿宋_GB2312" w:hAnsi="仿宋" w:eastAsia="仿宋_GB2312"/>
          <w:sz w:val="32"/>
          <w:szCs w:val="32"/>
        </w:rPr>
        <w:t>总预算</w:t>
      </w:r>
      <w:r>
        <w:rPr>
          <w:rFonts w:hint="eastAsia" w:ascii="仿宋_GB2312" w:hAnsi="仿宋" w:eastAsia="仿宋_GB2312"/>
          <w:sz w:val="32"/>
          <w:szCs w:val="32"/>
        </w:rPr>
        <w:t>36.49</w:t>
      </w:r>
      <w:r>
        <w:rPr>
          <w:rFonts w:ascii="仿宋_GB2312" w:hAnsi="仿宋" w:eastAsia="仿宋_GB2312"/>
          <w:sz w:val="32"/>
          <w:szCs w:val="32"/>
        </w:rPr>
        <w:t>万元，</w:t>
      </w:r>
      <w:r>
        <w:rPr>
          <w:rFonts w:hint="eastAsia" w:ascii="仿宋_GB2312" w:hAnsi="仿宋" w:eastAsia="仿宋_GB2312"/>
          <w:sz w:val="32"/>
          <w:szCs w:val="32"/>
        </w:rPr>
        <w:t>总</w:t>
      </w:r>
      <w:r>
        <w:rPr>
          <w:rFonts w:ascii="仿宋_GB2312" w:hAnsi="仿宋" w:eastAsia="仿宋_GB2312"/>
          <w:sz w:val="32"/>
          <w:szCs w:val="32"/>
        </w:rPr>
        <w:t>支出</w:t>
      </w:r>
      <w:r>
        <w:rPr>
          <w:rFonts w:hint="eastAsia" w:ascii="仿宋_GB2312" w:hAnsi="仿宋" w:eastAsia="仿宋_GB2312"/>
          <w:sz w:val="32"/>
          <w:szCs w:val="32"/>
        </w:rPr>
        <w:t>148.1</w:t>
      </w:r>
      <w:r>
        <w:rPr>
          <w:rFonts w:ascii="仿宋_GB2312" w:hAnsi="仿宋" w:eastAsia="仿宋_GB2312"/>
          <w:sz w:val="32"/>
          <w:szCs w:val="32"/>
        </w:rPr>
        <w:t>万元，占预算比例</w:t>
      </w:r>
      <w:r>
        <w:rPr>
          <w:rFonts w:hint="eastAsia" w:ascii="仿宋_GB2312" w:hAnsi="仿宋" w:eastAsia="仿宋_GB2312"/>
          <w:sz w:val="32"/>
          <w:szCs w:val="32"/>
        </w:rPr>
        <w:t>405.86</w:t>
      </w:r>
      <w:r>
        <w:rPr>
          <w:rFonts w:ascii="仿宋_GB2312" w:hAnsi="仿宋" w:eastAsia="仿宋_GB2312"/>
          <w:sz w:val="32"/>
          <w:szCs w:val="32"/>
        </w:rPr>
        <w:t>%。其中：人员经费预算</w:t>
      </w:r>
      <w:r>
        <w:rPr>
          <w:rFonts w:hint="eastAsia" w:ascii="仿宋_GB2312" w:hAnsi="仿宋" w:eastAsia="仿宋_GB2312"/>
          <w:sz w:val="32"/>
          <w:szCs w:val="32"/>
        </w:rPr>
        <w:t>18.93</w:t>
      </w:r>
      <w:r>
        <w:rPr>
          <w:rFonts w:ascii="仿宋_GB2312" w:hAnsi="仿宋" w:eastAsia="仿宋_GB2312"/>
          <w:sz w:val="32"/>
          <w:szCs w:val="32"/>
        </w:rPr>
        <w:t>万元（含工资福利支出、对个人及家庭补助支出），目前经费支出</w:t>
      </w:r>
      <w:r>
        <w:rPr>
          <w:rFonts w:hint="eastAsia" w:ascii="仿宋_GB2312" w:hAnsi="仿宋" w:eastAsia="仿宋_GB2312"/>
          <w:sz w:val="32"/>
          <w:szCs w:val="32"/>
        </w:rPr>
        <w:t>51.27</w:t>
      </w:r>
      <w:r>
        <w:rPr>
          <w:rFonts w:ascii="仿宋_GB2312" w:hAnsi="仿宋" w:eastAsia="仿宋_GB2312"/>
          <w:sz w:val="32"/>
          <w:szCs w:val="32"/>
        </w:rPr>
        <w:t>万元，比上年</w:t>
      </w:r>
      <w:r>
        <w:rPr>
          <w:rFonts w:hint="eastAsia" w:ascii="仿宋_GB2312" w:hAnsi="仿宋" w:eastAsia="仿宋_GB2312"/>
          <w:sz w:val="32"/>
          <w:szCs w:val="32"/>
        </w:rPr>
        <w:t>增加170.84</w:t>
      </w:r>
      <w:r>
        <w:rPr>
          <w:rFonts w:ascii="仿宋_GB2312" w:hAnsi="仿宋" w:eastAsia="仿宋_GB2312"/>
          <w:sz w:val="32"/>
          <w:szCs w:val="32"/>
        </w:rPr>
        <w:t>%；公用经费预算</w:t>
      </w:r>
      <w:r>
        <w:rPr>
          <w:rFonts w:hint="eastAsia" w:ascii="仿宋_GB2312" w:hAnsi="仿宋" w:eastAsia="仿宋_GB2312"/>
          <w:sz w:val="32"/>
          <w:szCs w:val="32"/>
        </w:rPr>
        <w:t>17.56</w:t>
      </w:r>
      <w:r>
        <w:rPr>
          <w:rFonts w:ascii="仿宋_GB2312" w:hAnsi="仿宋" w:eastAsia="仿宋_GB2312"/>
          <w:sz w:val="32"/>
          <w:szCs w:val="32"/>
        </w:rPr>
        <w:t>万元（含商品和服务支出、其他资本性支出），目前经费支出</w:t>
      </w:r>
      <w:r>
        <w:rPr>
          <w:rFonts w:hint="eastAsia" w:ascii="仿宋_GB2312" w:hAnsi="仿宋" w:eastAsia="仿宋_GB2312"/>
          <w:sz w:val="32"/>
          <w:szCs w:val="32"/>
        </w:rPr>
        <w:t>96.83</w:t>
      </w:r>
      <w:r>
        <w:rPr>
          <w:rFonts w:ascii="仿宋_GB2312" w:hAnsi="仿宋" w:eastAsia="仿宋_GB2312"/>
          <w:sz w:val="32"/>
          <w:szCs w:val="32"/>
        </w:rPr>
        <w:t>万元，比上年减少了</w:t>
      </w:r>
      <w:r>
        <w:rPr>
          <w:rFonts w:hint="eastAsia" w:ascii="仿宋_GB2312" w:hAnsi="仿宋" w:eastAsia="仿宋_GB2312"/>
          <w:sz w:val="32"/>
          <w:szCs w:val="32"/>
        </w:rPr>
        <w:t>451.42</w:t>
      </w:r>
      <w:r>
        <w:rPr>
          <w:rFonts w:ascii="仿宋_GB2312" w:hAnsi="仿宋" w:eastAsia="仿宋_GB2312"/>
          <w:sz w:val="32"/>
          <w:szCs w:val="32"/>
        </w:rPr>
        <w:t>万元</w:t>
      </w:r>
      <w:r>
        <w:rPr>
          <w:rFonts w:hint="eastAsia" w:ascii="仿宋_GB2312" w:hAnsi="仿宋" w:eastAsia="仿宋_GB2312"/>
          <w:sz w:val="32"/>
          <w:szCs w:val="32"/>
        </w:rPr>
        <w:t>。</w:t>
      </w:r>
    </w:p>
    <w:p>
      <w:pPr>
        <w:snapToGrid w:val="0"/>
        <w:spacing w:line="520" w:lineRule="exact"/>
        <w:rPr>
          <w:rFonts w:hint="eastAsia" w:ascii="仿宋_GB2312" w:hAnsi="仿宋" w:eastAsia="仿宋_GB2312"/>
          <w:b/>
          <w:sz w:val="32"/>
          <w:szCs w:val="32"/>
        </w:rPr>
      </w:pPr>
      <w:r>
        <w:rPr>
          <w:rFonts w:hint="eastAsia" w:ascii="仿宋_GB2312" w:hAnsi="仿宋" w:eastAsia="仿宋_GB2312"/>
          <w:b/>
          <w:sz w:val="32"/>
          <w:szCs w:val="32"/>
        </w:rPr>
        <w:t>1．收入支出与预算对比分析。</w:t>
      </w:r>
    </w:p>
    <w:p>
      <w:pPr>
        <w:snapToGrid w:val="0"/>
        <w:spacing w:line="520" w:lineRule="exact"/>
        <w:rPr>
          <w:rFonts w:hint="eastAsia" w:ascii="仿宋_GB2312" w:hAnsi="仿宋" w:eastAsia="仿宋_GB2312"/>
          <w:sz w:val="32"/>
          <w:szCs w:val="32"/>
        </w:rPr>
      </w:pPr>
      <w:r>
        <w:rPr>
          <w:rFonts w:hint="eastAsia" w:ascii="仿宋_GB2312" w:hAnsi="仿宋" w:eastAsia="仿宋_GB2312"/>
          <w:sz w:val="32"/>
          <w:szCs w:val="32"/>
        </w:rPr>
        <w:t>（1）预、决算差异情况，可分收入支出功能科目、分单位、分收入支出具体项目逐项对比（可列表）。</w:t>
      </w:r>
    </w:p>
    <w:p>
      <w:pPr>
        <w:snapToGrid w:val="0"/>
        <w:spacing w:line="520" w:lineRule="exact"/>
        <w:ind w:firstLine="320" w:firstLineChars="100"/>
        <w:rPr>
          <w:rFonts w:hint="eastAsia" w:ascii="仿宋_GB2312" w:hAnsi="仿宋" w:eastAsia="仿宋_GB2312"/>
          <w:sz w:val="32"/>
          <w:szCs w:val="32"/>
        </w:rPr>
      </w:pPr>
      <w:r>
        <w:rPr>
          <w:rFonts w:hint="eastAsia" w:ascii="仿宋_GB2312" w:hAnsi="仿宋" w:eastAsia="仿宋_GB2312"/>
          <w:sz w:val="32"/>
          <w:szCs w:val="32"/>
        </w:rPr>
        <w:t>1.行政运行预算数36.49万元，执行数为148.1万元，执行率为405.86%。</w:t>
      </w:r>
    </w:p>
    <w:p>
      <w:pPr>
        <w:snapToGrid w:val="0"/>
        <w:spacing w:line="520" w:lineRule="exact"/>
        <w:ind w:firstLine="320" w:firstLineChars="100"/>
        <w:rPr>
          <w:rFonts w:hint="eastAsia" w:ascii="仿宋_GB2312" w:hAnsi="仿宋" w:eastAsia="仿宋_GB2312"/>
          <w:sz w:val="32"/>
          <w:szCs w:val="32"/>
        </w:rPr>
      </w:pPr>
      <w:r>
        <w:rPr>
          <w:rFonts w:hint="eastAsia" w:ascii="仿宋_GB2312" w:hAnsi="仿宋" w:eastAsia="仿宋_GB2312"/>
          <w:sz w:val="32"/>
          <w:szCs w:val="32"/>
        </w:rPr>
        <w:t>2.机关服务预算数17.56万元，执行数为96.83万元，执行率为551.42%。</w:t>
      </w:r>
    </w:p>
    <w:p>
      <w:pPr>
        <w:snapToGrid w:val="0"/>
        <w:spacing w:line="520" w:lineRule="exact"/>
        <w:rPr>
          <w:rFonts w:hint="eastAsia" w:ascii="仿宋_GB2312" w:hAnsi="仿宋" w:eastAsia="仿宋_GB2312"/>
          <w:b/>
          <w:sz w:val="32"/>
          <w:szCs w:val="32"/>
        </w:rPr>
      </w:pPr>
      <w:r>
        <w:rPr>
          <w:rFonts w:hint="eastAsia" w:ascii="仿宋_GB2312" w:hAnsi="仿宋" w:eastAsia="仿宋_GB2312"/>
          <w:b/>
          <w:sz w:val="32"/>
          <w:szCs w:val="32"/>
        </w:rPr>
        <w:t>2．收入支出结构分析。</w:t>
      </w:r>
    </w:p>
    <w:p>
      <w:pPr>
        <w:snapToGrid w:val="0"/>
        <w:spacing w:line="520" w:lineRule="exact"/>
        <w:ind w:firstLine="320" w:firstLineChars="100"/>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pPr>
      <w:r>
        <w:rPr>
          <w:rFonts w:hint="eastAsia" w:ascii="仿宋_GB2312" w:hAnsi="仿宋" w:eastAsia="仿宋_GB2312"/>
          <w:sz w:val="32"/>
          <w:szCs w:val="32"/>
        </w:rPr>
        <w:t>2019年总收入148.1万元，财拨收入148.1万元，占总收入的100%，其他收入0万元，占总收入0%。2019年总支出148.1万元，财政拨款支出148.1万元，占总支出的100%，其他支出0万元，占总支出的100%。</w:t>
      </w:r>
    </w:p>
    <w:p>
      <w:pPr>
        <w:pStyle w:val="6"/>
        <w:widowControl/>
        <w:spacing w:before="76" w:beforeAutospacing="0" w:after="76" w:afterAutospacing="0" w:line="450" w:lineRule="atLeast"/>
        <w:rPr>
          <w:rFonts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（二）关于“三公”经费支出说明</w:t>
      </w:r>
    </w:p>
    <w:p>
      <w:pPr>
        <w:pStyle w:val="6"/>
        <w:widowControl/>
        <w:spacing w:before="76" w:beforeAutospacing="0" w:after="76" w:afterAutospacing="0" w:line="450" w:lineRule="atLeast"/>
        <w:ind w:firstLine="280" w:firstLineChars="100"/>
        <w:rPr>
          <w:rFonts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本年度三公经费中，公务接待费用支出0元。出国及车辆均无支出。</w:t>
      </w:r>
    </w:p>
    <w:p>
      <w:pPr>
        <w:pStyle w:val="6"/>
        <w:widowControl/>
        <w:spacing w:before="76" w:beforeAutospacing="0" w:after="76" w:afterAutospacing="0" w:line="450" w:lineRule="atLeast"/>
        <w:ind w:firstLine="281" w:firstLineChars="100"/>
        <w:rPr>
          <w:rFonts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（三）关于机关运行经费支出说明</w:t>
      </w:r>
    </w:p>
    <w:p>
      <w:pPr>
        <w:pStyle w:val="6"/>
        <w:widowControl/>
        <w:spacing w:before="76" w:beforeAutospacing="0" w:after="76" w:afterAutospacing="0" w:line="450" w:lineRule="atLeast"/>
        <w:ind w:firstLine="280" w:firstLineChars="100"/>
        <w:rPr>
          <w:rFonts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2019年</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度机关运行经费支出</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148.1</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万元，其中：人员经费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51.27</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万元；日常公用经费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96.83</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万元；日常公用经费包括：办公费3</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.75</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万元、印刷费1.</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万元、</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手续费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297元、水费250元、电费5100元、</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邮电费2.07万元、物业费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20560</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元、</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差旅费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4200元、维修费1.12万元</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劳务费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2000元、</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交通费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23200元</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、委托业务费</w:t>
      </w: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742290.19</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万元。</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2019年</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度机关运行经费支出比年初预算数0万元增加0万元，增长0%。主要原因是：涨幅原因为本年度补发、补交以前年度工资及社保费用以及开展老干部活动经费支出上涨。</w:t>
      </w:r>
    </w:p>
    <w:p>
      <w:pPr>
        <w:pStyle w:val="6"/>
        <w:widowControl/>
        <w:spacing w:before="76" w:beforeAutospacing="0" w:after="76" w:afterAutospacing="0" w:line="450" w:lineRule="atLeast"/>
        <w:ind w:firstLine="281" w:firstLineChars="100"/>
        <w:rPr>
          <w:rFonts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（四）关于政府采购支出说明</w:t>
      </w:r>
    </w:p>
    <w:p>
      <w:pPr>
        <w:pStyle w:val="6"/>
        <w:widowControl/>
        <w:spacing w:before="76" w:beforeAutospacing="0" w:after="76" w:afterAutospacing="0" w:line="450" w:lineRule="atLeast"/>
        <w:ind w:firstLine="280" w:firstLineChars="100"/>
        <w:rPr>
          <w:rFonts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本年无政府采购支出。</w:t>
      </w:r>
    </w:p>
    <w:p>
      <w:pPr>
        <w:pStyle w:val="6"/>
        <w:widowControl/>
        <w:spacing w:before="76" w:beforeAutospacing="0" w:after="76" w:afterAutospacing="0" w:line="450" w:lineRule="atLeast"/>
        <w:ind w:firstLine="281" w:firstLineChars="100"/>
        <w:rPr>
          <w:rFonts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（五）国有资产占用情况说明</w:t>
      </w:r>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本单位无公车和大型设备。</w:t>
      </w:r>
    </w:p>
    <w:p>
      <w:pPr>
        <w:pStyle w:val="6"/>
        <w:widowControl/>
        <w:spacing w:before="76" w:beforeAutospacing="0" w:after="76" w:afterAutospacing="0" w:line="450" w:lineRule="atLeast"/>
        <w:ind w:firstLine="281" w:firstLineChars="100"/>
        <w:rPr>
          <w:rFonts w:hint="eastAsia" w:asciiTheme="minorEastAsia" w:hAnsiTheme="minorEastAsia" w:eastAsiaTheme="minorEastAsia" w:cstheme="minorEastAsia"/>
          <w:b/>
          <w:bCs/>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lang w:val="en-US" w:eastAsia="zh-CN"/>
          <w14:textFill>
            <w14:solidFill>
              <w14:schemeClr w14:val="tx1"/>
            </w14:solidFill>
          </w14:textFill>
        </w:rPr>
        <w:t>（六）重点绩效评价结果等预算绩效情况说明</w:t>
      </w:r>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2019年， 根据预算绩效管理要求，我单位组织2019年度一般公共预算项目支出全面开展绩效自评，共涉及项目6个，资金14万元。 2019年项目资金投入14万元，已使用14万元，使用率达100%。使用从评价结果看，项目立项程序完整、规范，预算执行及时、有效，绩效目标得到较好实现，绩效管理水平不断提高，绩效指标体系建设逐渐丰富和完善。</w:t>
      </w:r>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bookmarkStart w:id="0" w:name="_GoBack"/>
      <w:bookmarkEnd w:id="0"/>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p>
    <w:p>
      <w:pPr>
        <w:pStyle w:val="6"/>
        <w:widowControl/>
        <w:spacing w:before="76" w:beforeAutospacing="0" w:after="76" w:afterAutospacing="0" w:line="450" w:lineRule="atLeast"/>
        <w:ind w:firstLine="280" w:firstLineChars="100"/>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p>
    <w:p>
      <w:pPr>
        <w:pStyle w:val="6"/>
        <w:widowControl/>
        <w:spacing w:before="76" w:beforeAutospacing="0" w:after="76" w:afterAutospacing="0" w:line="450" w:lineRule="atLeast"/>
        <w:ind w:left="420"/>
        <w:rPr>
          <w:rFonts w:ascii="微软雅黑" w:hAnsi="微软雅黑" w:eastAsia="微软雅黑" w:cs="微软雅黑"/>
          <w:color w:val="000000" w:themeColor="text1"/>
          <w:szCs w:val="24"/>
          <w:shd w:val="clear" w:color="auto" w:fill="FFFFFF"/>
          <w14:textFill>
            <w14:solidFill>
              <w14:schemeClr w14:val="tx1"/>
            </w14:solidFill>
          </w14:textFill>
        </w:rPr>
      </w:pPr>
      <w:r>
        <w:rPr>
          <w:rFonts w:hint="eastAsia" w:ascii="微软雅黑" w:hAnsi="微软雅黑" w:eastAsia="微软雅黑" w:cs="微软雅黑"/>
          <w:b/>
          <w:bCs/>
          <w:color w:val="000000" w:themeColor="text1"/>
          <w:szCs w:val="24"/>
          <w:shd w:val="clear" w:color="auto" w:fill="FFFFFF"/>
          <w14:textFill>
            <w14:solidFill>
              <w14:schemeClr w14:val="tx1"/>
            </w14:solidFill>
          </w14:textFill>
        </w:rPr>
        <w:t>第四部分</w:t>
      </w:r>
      <w:r>
        <w:rPr>
          <w:rFonts w:hint="eastAsia" w:ascii="微软雅黑" w:hAnsi="微软雅黑" w:eastAsia="微软雅黑" w:cs="微软雅黑"/>
          <w:b/>
          <w:bCs/>
          <w:color w:val="000000" w:themeColor="text1"/>
          <w:szCs w:val="24"/>
          <w:shd w:val="clear" w:color="auto" w:fill="FFFFFF"/>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zCs w:val="24"/>
          <w:shd w:val="clear" w:color="auto" w:fill="FFFFFF"/>
          <w14:textFill>
            <w14:solidFill>
              <w14:schemeClr w14:val="tx1"/>
            </w14:solidFill>
          </w14:textFill>
        </w:rPr>
        <w:t>名词解释</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一、财政补助收入：指县级财政当年拨付的资金。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二、其他收入：指除“财政拨款收入”、“上级补助收入”、“事业收入”、“经营收入”等以外的收入。主要是存款利息收入等。</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三、年初结转和结余：指以前年度尚未完成、结转到本年按有关规定继续使用的资金。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四、一般公共服务（类）行政运行（项）：指县行政单位及参照公务员管理事业单位用于保障机构正常运行、开展日常工作的基本支出。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六、一般公共服务（类）机关服务（项）：指县黄石港区人大服务中心为机关提供办公楼日常维修、维护等后勤保障服务的支出。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七、一般公共服务（类）其他一般公共服务支出（款）其他一般公共服务支出（项）：指黄石港区人大用于其他一般公共服务方面的支出。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八、教育（类）普通教育（款）高等教育（项）：指黄石港区人大厅支持地方高校的重点发展和特色办学，组织专家对省属院校申报的建设规划和项目预算进行评审等相关工作的支出。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九、社会保障和就业(类)行政事业单位离退休（款）归口管理的行政单位离退休（项）：指黄石港区人大用于离退休人员的支出、退休人员支出，以及提供管理服务工作的离退休干部处的支出。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十、社会保障和就业(类)行政事业单位离退休（款）其他行政事业单位离退休支出（项）：指黄石港区人大用于离退休方面的其他支出。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十一、医疗卫生与计划生育（类）医疗保障（款）行政单位医疗（项）：指黄石港区人大用于机关干部职工及离退休人员医疗方面的支出。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十五、项目支出：指在基本支出之外为完成特定行政任务和事业发展目标所发生的支出。</w:t>
      </w:r>
    </w:p>
    <w:p>
      <w:pPr>
        <w:pStyle w:val="6"/>
        <w:widowControl/>
        <w:spacing w:before="76" w:beforeAutospacing="0" w:after="76" w:afterAutospacing="0" w:line="450" w:lineRule="atLeast"/>
        <w:ind w:firstLine="420"/>
        <w:rPr>
          <w:rFonts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十六、“三公”经费：是指用财政拨款安排的因公出国（境）费、公务用车购置及运行维护费、公务接待费。</w:t>
      </w:r>
    </w:p>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960CD"/>
    <w:rsid w:val="00007444"/>
    <w:rsid w:val="0001109D"/>
    <w:rsid w:val="000D0817"/>
    <w:rsid w:val="00176274"/>
    <w:rsid w:val="001F4A83"/>
    <w:rsid w:val="002703D9"/>
    <w:rsid w:val="00287599"/>
    <w:rsid w:val="002D7A61"/>
    <w:rsid w:val="003746FF"/>
    <w:rsid w:val="003A3488"/>
    <w:rsid w:val="003A51F7"/>
    <w:rsid w:val="003C6949"/>
    <w:rsid w:val="004C0A45"/>
    <w:rsid w:val="00590282"/>
    <w:rsid w:val="005F589D"/>
    <w:rsid w:val="006742C3"/>
    <w:rsid w:val="006818F4"/>
    <w:rsid w:val="006D4232"/>
    <w:rsid w:val="006D57CE"/>
    <w:rsid w:val="006E541D"/>
    <w:rsid w:val="007B3625"/>
    <w:rsid w:val="008B4BF5"/>
    <w:rsid w:val="008C680B"/>
    <w:rsid w:val="009B3AD0"/>
    <w:rsid w:val="009E74D0"/>
    <w:rsid w:val="00A4435D"/>
    <w:rsid w:val="00A51EF5"/>
    <w:rsid w:val="00A53003"/>
    <w:rsid w:val="00A70BC9"/>
    <w:rsid w:val="00A7561E"/>
    <w:rsid w:val="00AF52FE"/>
    <w:rsid w:val="00B01567"/>
    <w:rsid w:val="00B15340"/>
    <w:rsid w:val="00B579A1"/>
    <w:rsid w:val="00BA23FC"/>
    <w:rsid w:val="00C46659"/>
    <w:rsid w:val="00CA34DB"/>
    <w:rsid w:val="00CC282C"/>
    <w:rsid w:val="00D05A46"/>
    <w:rsid w:val="00DC26D1"/>
    <w:rsid w:val="00EB33E5"/>
    <w:rsid w:val="031D54AF"/>
    <w:rsid w:val="0C820BD3"/>
    <w:rsid w:val="12663EED"/>
    <w:rsid w:val="126A2636"/>
    <w:rsid w:val="15EA3E0C"/>
    <w:rsid w:val="16B960CD"/>
    <w:rsid w:val="182154E2"/>
    <w:rsid w:val="1F4472E7"/>
    <w:rsid w:val="20FF20C3"/>
    <w:rsid w:val="22347A2E"/>
    <w:rsid w:val="24573004"/>
    <w:rsid w:val="24E56094"/>
    <w:rsid w:val="273E5209"/>
    <w:rsid w:val="33020364"/>
    <w:rsid w:val="33526D35"/>
    <w:rsid w:val="395E6838"/>
    <w:rsid w:val="406C5ECF"/>
    <w:rsid w:val="464A43DD"/>
    <w:rsid w:val="468C1926"/>
    <w:rsid w:val="49B7787B"/>
    <w:rsid w:val="4D1A0750"/>
    <w:rsid w:val="58F151C8"/>
    <w:rsid w:val="5A9C347A"/>
    <w:rsid w:val="610B1263"/>
    <w:rsid w:val="62EA14E5"/>
    <w:rsid w:val="63855244"/>
    <w:rsid w:val="63D251F4"/>
    <w:rsid w:val="682F066E"/>
    <w:rsid w:val="6AB9076E"/>
    <w:rsid w:val="71BF2DF5"/>
    <w:rsid w:val="71DE56DE"/>
    <w:rsid w:val="74900FCB"/>
    <w:rsid w:val="74B15FC0"/>
    <w:rsid w:val="77AA6070"/>
    <w:rsid w:val="7ADF609E"/>
    <w:rsid w:val="7DE63F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5"/>
    <w:basedOn w:val="1"/>
    <w:next w:val="1"/>
    <w:qFormat/>
    <w:uiPriority w:val="0"/>
    <w:pPr>
      <w:spacing w:beforeAutospacing="1" w:afterAutospacing="1"/>
      <w:jc w:val="left"/>
      <w:outlineLvl w:val="4"/>
    </w:pPr>
    <w:rPr>
      <w:rFonts w:hint="eastAsia" w:ascii="宋体" w:hAnsi="宋体" w:cs="宋体"/>
      <w:b/>
      <w:kern w:val="0"/>
      <w:sz w:val="20"/>
      <w:szCs w:val="20"/>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10">
    <w:name w:val="pa-1"/>
    <w:basedOn w:val="1"/>
    <w:link w:val="18"/>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ca-2"/>
    <w:basedOn w:val="7"/>
    <w:qFormat/>
    <w:uiPriority w:val="0"/>
  </w:style>
  <w:style w:type="character" w:customStyle="1" w:styleId="12">
    <w:name w:val="ca-3"/>
    <w:basedOn w:val="7"/>
    <w:qFormat/>
    <w:uiPriority w:val="0"/>
  </w:style>
  <w:style w:type="paragraph" w:customStyle="1" w:styleId="13">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4">
    <w:name w:val="页眉 Char"/>
    <w:basedOn w:val="7"/>
    <w:link w:val="5"/>
    <w:qFormat/>
    <w:uiPriority w:val="0"/>
    <w:rPr>
      <w:rFonts w:ascii="Calibri" w:hAnsi="Calibri" w:cs="Calibri"/>
      <w:kern w:val="2"/>
      <w:sz w:val="18"/>
      <w:szCs w:val="18"/>
    </w:rPr>
  </w:style>
  <w:style w:type="character" w:customStyle="1" w:styleId="15">
    <w:name w:val="页脚 Char"/>
    <w:basedOn w:val="7"/>
    <w:link w:val="4"/>
    <w:qFormat/>
    <w:uiPriority w:val="0"/>
    <w:rPr>
      <w:rFonts w:ascii="Calibri" w:hAnsi="Calibri" w:cs="Calibri"/>
      <w:kern w:val="2"/>
      <w:sz w:val="18"/>
      <w:szCs w:val="18"/>
    </w:rPr>
  </w:style>
  <w:style w:type="character" w:customStyle="1" w:styleId="16">
    <w:name w:val="批注框文本 Char"/>
    <w:basedOn w:val="7"/>
    <w:link w:val="3"/>
    <w:qFormat/>
    <w:uiPriority w:val="0"/>
    <w:rPr>
      <w:rFonts w:ascii="Calibri" w:hAnsi="Calibri" w:cs="Calibri"/>
      <w:kern w:val="2"/>
      <w:sz w:val="18"/>
      <w:szCs w:val="18"/>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pa-1 Char"/>
    <w:link w:val="10"/>
    <w:qFormat/>
    <w:uiPriority w:val="0"/>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397</Words>
  <Characters>2266</Characters>
  <Lines>18</Lines>
  <Paragraphs>5</Paragraphs>
  <TotalTime>1</TotalTime>
  <ScaleCrop>false</ScaleCrop>
  <LinksUpToDate>false</LinksUpToDate>
  <CharactersWithSpaces>2658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米</dc:creator>
  <cp:lastModifiedBy>Administrator</cp:lastModifiedBy>
  <cp:lastPrinted>2019-09-19T08:58:00Z</cp:lastPrinted>
  <dcterms:modified xsi:type="dcterms:W3CDTF">2021-05-26T08:03:50Z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