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shd w:val="clear" w:color="090000" w:fill="FFFFFF"/>
        </w:rPr>
      </w:pPr>
    </w:p>
    <w:p>
      <w:pPr>
        <w:pStyle w:val="2"/>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090000" w:fill="FFFFFF"/>
        </w:rPr>
        <w:t>人武部2018年决算公开</w:t>
      </w:r>
    </w:p>
    <w:p>
      <w:pPr>
        <w:pStyle w:val="17"/>
        <w:spacing w:before="76" w:beforeAutospacing="0" w:after="76" w:afterAutospacing="0" w:line="450" w:lineRule="atLeast"/>
        <w:ind w:firstLine="420"/>
        <w:jc w:val="center"/>
        <w:rPr>
          <w:color w:val="333333"/>
          <w:szCs w:val="24"/>
        </w:rPr>
      </w:pPr>
      <w:r>
        <w:rPr>
          <w:rStyle w:val="8"/>
          <w:rFonts w:hint="eastAsia" w:ascii="微软雅黑" w:hAnsi="微软雅黑" w:eastAsia="微软雅黑" w:cs="微软雅黑"/>
          <w:color w:val="333333"/>
          <w:szCs w:val="24"/>
          <w:shd w:val="clear" w:color="090000" w:fill="FFFFFF"/>
        </w:rPr>
        <w:t>黄石港区人武部2018年决算公开</w:t>
      </w:r>
    </w:p>
    <w:p>
      <w:pPr>
        <w:pStyle w:val="17"/>
        <w:spacing w:before="76" w:beforeAutospacing="0" w:after="76" w:afterAutospacing="0" w:line="450" w:lineRule="atLeast"/>
        <w:ind w:firstLine="420"/>
        <w:jc w:val="center"/>
        <w:rPr>
          <w:color w:val="333333"/>
          <w:szCs w:val="24"/>
        </w:rPr>
      </w:pPr>
      <w:r>
        <w:rPr>
          <w:rFonts w:hint="eastAsia" w:ascii="微软雅黑" w:hAnsi="微软雅黑" w:eastAsia="微软雅黑" w:cs="微软雅黑"/>
          <w:color w:val="333333"/>
          <w:szCs w:val="24"/>
          <w:shd w:val="clear" w:color="090000" w:fill="FFFFFF"/>
        </w:rPr>
        <w:t>目  录</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第一部分:部门基本情况</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一、部门主要职责</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二、部门决算单位构成</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第二部分: 部门2018年部门决算表</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一、收入支出决算总表（表1）</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二、收入决算表（表2）</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三、支出决算表（表3）</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四、财政拨款收入支出决算总表（表4）</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五、一般公共预算财政拨款支出决算表（表5）</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六、一般公共预算财政拨款基本支出决算表（表6）</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七、一般公共预算财政拨款“三公”经费支出决算表（表7）</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八、政府性基金预算财政拨款收入支出决算表（8）</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第三部分：部门2018年部门决算情况说明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一、预算执行情况分析</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二、关于“三公”经费支出说明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三、关于机关运行经费支出说明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四、关于政府采购支出说明</w:t>
      </w:r>
    </w:p>
    <w:p>
      <w:pPr>
        <w:pStyle w:val="17"/>
        <w:spacing w:before="76" w:beforeAutospacing="0" w:after="76" w:afterAutospacing="0" w:line="450" w:lineRule="atLeast"/>
        <w:ind w:firstLine="420"/>
        <w:rPr>
          <w:rFonts w:hint="eastAsia"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五、关于国有资产占用情况说明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第四部分：名词解释 </w:t>
      </w:r>
    </w:p>
    <w:p>
      <w:pPr>
        <w:ind w:firstLine="480"/>
        <w:rPr>
          <w:rFonts w:ascii="微软雅黑" w:hAnsi="微软雅黑" w:eastAsia="微软雅黑" w:cs="微软雅黑"/>
          <w:b/>
          <w:bCs/>
          <w:color w:val="000000" w:themeColor="text1"/>
          <w:sz w:val="28"/>
          <w:szCs w:val="28"/>
        </w:rPr>
      </w:pPr>
    </w:p>
    <w:p>
      <w:pPr>
        <w:ind w:firstLine="480"/>
        <w:rPr>
          <w:rFonts w:ascii="微软雅黑" w:hAnsi="微软雅黑" w:eastAsia="微软雅黑" w:cs="微软雅黑"/>
          <w:b/>
          <w:bCs/>
          <w:color w:val="000000" w:themeColor="text1"/>
          <w:sz w:val="28"/>
          <w:szCs w:val="28"/>
        </w:rPr>
      </w:pPr>
    </w:p>
    <w:p>
      <w:pPr>
        <w:ind w:firstLine="480"/>
        <w:rPr>
          <w:rFonts w:ascii="微软雅黑" w:hAnsi="微软雅黑" w:eastAsia="微软雅黑" w:cs="微软雅黑"/>
          <w:b/>
          <w:bCs/>
          <w:color w:val="000000" w:themeColor="text1"/>
          <w:sz w:val="28"/>
          <w:szCs w:val="28"/>
        </w:rPr>
      </w:pPr>
    </w:p>
    <w:p>
      <w:pPr>
        <w:ind w:firstLine="480"/>
        <w:rPr>
          <w:rFonts w:ascii="微软雅黑" w:hAnsi="微软雅黑" w:eastAsia="微软雅黑" w:cs="微软雅黑"/>
          <w:b/>
          <w:bCs/>
          <w:color w:val="000000" w:themeColor="text1"/>
          <w:sz w:val="28"/>
          <w:szCs w:val="28"/>
        </w:rPr>
      </w:pPr>
    </w:p>
    <w:p>
      <w:pPr>
        <w:pStyle w:val="17"/>
        <w:spacing w:before="76" w:beforeAutospacing="0" w:after="76" w:afterAutospacing="0" w:line="450" w:lineRule="atLeast"/>
        <w:jc w:val="center"/>
        <w:rPr>
          <w:color w:val="333333"/>
          <w:szCs w:val="24"/>
        </w:rPr>
      </w:pPr>
      <w:r>
        <w:rPr>
          <w:rStyle w:val="8"/>
          <w:rFonts w:hint="eastAsia" w:ascii="微软雅黑" w:hAnsi="微软雅黑" w:eastAsia="微软雅黑" w:cs="微软雅黑"/>
          <w:color w:val="333333"/>
          <w:szCs w:val="24"/>
          <w:shd w:val="clear" w:color="090000" w:fill="FFFFFF"/>
        </w:rPr>
        <w:t>2018年部门决算</w:t>
      </w:r>
    </w:p>
    <w:p>
      <w:pPr>
        <w:pStyle w:val="17"/>
        <w:spacing w:before="76" w:beforeAutospacing="0" w:after="76" w:afterAutospacing="0" w:line="450" w:lineRule="atLeast"/>
        <w:ind w:firstLine="420"/>
        <w:rPr>
          <w:color w:val="333333"/>
          <w:szCs w:val="24"/>
        </w:rPr>
      </w:pPr>
      <w:r>
        <w:rPr>
          <w:rStyle w:val="8"/>
          <w:rFonts w:hint="eastAsia" w:ascii="微软雅黑" w:hAnsi="微软雅黑" w:eastAsia="微软雅黑" w:cs="微软雅黑"/>
          <w:color w:val="333333"/>
          <w:szCs w:val="24"/>
          <w:shd w:val="clear" w:color="090000" w:fill="FFFFFF"/>
        </w:rPr>
        <w:t>第一部分部门概况</w:t>
      </w:r>
    </w:p>
    <w:p>
      <w:pPr>
        <w:widowControl/>
        <w:shd w:val="clear" w:color="auto" w:fill="FFFFFF"/>
        <w:ind w:firstLine="280" w:firstLineChars="1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（一）主要职责</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黄石港区人武部座落于黄石市磁湖路35-3号，隶属于黄石市军分区。负责兵役、民兵工作的职能部门。主要职责是：宣传贯彻兵役法、民兵工作政策及法律法规；培养征兵工作和民兵工作干部；参与地方抢险救灾、反恐维稳、森林灭火等急难险重任务；协调处理军地有关工作。</w:t>
      </w:r>
    </w:p>
    <w:p>
      <w:pPr>
        <w:widowControl/>
        <w:shd w:val="clear" w:color="auto" w:fill="FFFFFF"/>
        <w:ind w:firstLine="300" w:firstLineChars="100"/>
        <w:jc w:val="left"/>
        <w:rPr>
          <w:rFonts w:ascii="仿宋_GB2312" w:eastAsia="仿宋_GB2312"/>
          <w:sz w:val="30"/>
          <w:szCs w:val="30"/>
        </w:rPr>
      </w:pPr>
    </w:p>
    <w:p>
      <w:pPr>
        <w:widowControl/>
        <w:shd w:val="clear" w:color="auto" w:fill="FFFFFF"/>
        <w:ind w:firstLine="300" w:firstLineChars="100"/>
        <w:jc w:val="left"/>
        <w:rPr>
          <w:rFonts w:ascii="宋体" w:hAnsi="宋体" w:cs="宋体"/>
          <w:color w:val="333333"/>
          <w:kern w:val="0"/>
          <w:sz w:val="30"/>
          <w:szCs w:val="30"/>
        </w:rPr>
      </w:pPr>
      <w:r>
        <w:rPr>
          <w:rFonts w:hint="eastAsia" w:ascii="仿宋_GB2312" w:eastAsia="仿宋_GB2312"/>
          <w:sz w:val="30"/>
          <w:szCs w:val="30"/>
        </w:rPr>
        <w:t>（二）单位基本信息(机构设置等</w:t>
      </w:r>
      <w:r>
        <w:rPr>
          <w:rFonts w:hint="eastAsia" w:ascii="宋体" w:hAnsi="宋体" w:cs="宋体"/>
          <w:color w:val="333333"/>
          <w:kern w:val="0"/>
          <w:sz w:val="30"/>
          <w:szCs w:val="30"/>
        </w:rPr>
        <w:t>)</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黄石港区人民武装部内设军事科、政治工作科、保障科</w:t>
      </w:r>
    </w:p>
    <w:p>
      <w:pPr>
        <w:pStyle w:val="10"/>
        <w:ind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（三）人员情况</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黄石港区人武部地方参公管理事业编制5名,其中，科员1人，办事人员1名，技术人员3名。</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p>
    <w:p>
      <w:pPr>
        <w:pStyle w:val="6"/>
        <w:widowControl/>
        <w:numPr>
          <w:ilvl w:val="0"/>
          <w:numId w:val="1"/>
        </w:numPr>
        <w:spacing w:before="76" w:beforeAutospacing="0" w:after="76" w:afterAutospacing="0" w:line="450" w:lineRule="atLeast"/>
        <w:ind w:firstLine="420"/>
        <w:rPr>
          <w:rStyle w:val="8"/>
          <w:rFonts w:ascii="微软雅黑" w:hAnsi="微软雅黑" w:eastAsia="微软雅黑" w:cs="微软雅黑"/>
          <w:color w:val="333333"/>
          <w:szCs w:val="24"/>
          <w:shd w:val="clear" w:color="auto" w:fill="FFFFFF"/>
        </w:rPr>
      </w:pPr>
      <w:r>
        <w:rPr>
          <w:rStyle w:val="8"/>
          <w:rFonts w:hint="eastAsia" w:ascii="微软雅黑" w:hAnsi="微软雅黑" w:eastAsia="微软雅黑" w:cs="微软雅黑"/>
          <w:color w:val="333333"/>
          <w:szCs w:val="24"/>
          <w:shd w:val="clear" w:color="auto" w:fill="FFFFFF"/>
        </w:rPr>
        <w:t>部门2018年部门决算表</w:t>
      </w:r>
    </w:p>
    <w:p>
      <w:pPr>
        <w:pStyle w:val="6"/>
        <w:widowControl/>
        <w:spacing w:before="76" w:beforeAutospacing="0" w:after="76" w:afterAutospacing="0" w:line="450" w:lineRule="atLeast"/>
        <w:jc w:val="both"/>
      </w:pPr>
      <w:r>
        <w:drawing>
          <wp:inline distT="0" distB="0" distL="114300" distR="114300">
            <wp:extent cx="8947785" cy="5695315"/>
            <wp:effectExtent l="0" t="0" r="571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947785" cy="5695315"/>
                    </a:xfrm>
                    <a:prstGeom prst="rect">
                      <a:avLst/>
                    </a:prstGeom>
                    <a:noFill/>
                    <a:ln>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8826500" cy="2700655"/>
            <wp:effectExtent l="0" t="0" r="1270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rcRect b="13019"/>
                    <a:stretch>
                      <a:fillRect/>
                    </a:stretch>
                  </pic:blipFill>
                  <pic:spPr>
                    <a:xfrm>
                      <a:off x="0" y="0"/>
                      <a:ext cx="8826500" cy="2700655"/>
                    </a:xfrm>
                    <a:prstGeom prst="rect">
                      <a:avLst/>
                    </a:prstGeom>
                    <a:noFill/>
                    <a:ln w="9525">
                      <a:noFill/>
                    </a:ln>
                  </pic:spPr>
                </pic:pic>
              </a:graphicData>
            </a:graphic>
          </wp:inline>
        </w:drawing>
      </w:r>
      <w:r>
        <w:drawing>
          <wp:inline distT="0" distB="0" distL="114300" distR="114300">
            <wp:extent cx="8856980" cy="3429635"/>
            <wp:effectExtent l="0" t="0" r="127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r="1927" b="2571"/>
                    <a:stretch>
                      <a:fillRect/>
                    </a:stretch>
                  </pic:blipFill>
                  <pic:spPr>
                    <a:xfrm>
                      <a:off x="0" y="0"/>
                      <a:ext cx="8856980" cy="3429635"/>
                    </a:xfrm>
                    <a:prstGeom prst="rect">
                      <a:avLst/>
                    </a:prstGeom>
                    <a:noFill/>
                    <a:ln w="9525">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8728075" cy="6022340"/>
            <wp:effectExtent l="0" t="0" r="1587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8728075" cy="6022340"/>
                    </a:xfrm>
                    <a:prstGeom prst="rect">
                      <a:avLst/>
                    </a:prstGeom>
                    <a:noFill/>
                    <a:ln>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8800465" cy="3619500"/>
            <wp:effectExtent l="0" t="0" r="63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8800465" cy="3619500"/>
                    </a:xfrm>
                    <a:prstGeom prst="rect">
                      <a:avLst/>
                    </a:prstGeom>
                    <a:noFill/>
                    <a:ln>
                      <a:noFill/>
                    </a:ln>
                  </pic:spPr>
                </pic:pic>
              </a:graphicData>
            </a:graphic>
          </wp:inline>
        </w:drawing>
      </w:r>
      <w:r>
        <w:drawing>
          <wp:inline distT="0" distB="0" distL="114300" distR="114300">
            <wp:extent cx="8860155" cy="5422265"/>
            <wp:effectExtent l="0" t="0" r="17145" b="698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8860155" cy="5422265"/>
                    </a:xfrm>
                    <a:prstGeom prst="rect">
                      <a:avLst/>
                    </a:prstGeom>
                    <a:noFill/>
                    <a:ln>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8822055" cy="2542540"/>
            <wp:effectExtent l="0" t="0" r="1714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rcRect r="2260" b="9449"/>
                    <a:stretch>
                      <a:fillRect/>
                    </a:stretch>
                  </pic:blipFill>
                  <pic:spPr>
                    <a:xfrm>
                      <a:off x="0" y="0"/>
                      <a:ext cx="8822055" cy="2542540"/>
                    </a:xfrm>
                    <a:prstGeom prst="rect">
                      <a:avLst/>
                    </a:prstGeom>
                    <a:noFill/>
                    <a:ln w="9525">
                      <a:noFill/>
                    </a:ln>
                  </pic:spPr>
                </pic:pic>
              </a:graphicData>
            </a:graphic>
          </wp:inline>
        </w:drawing>
      </w: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r>
        <w:drawing>
          <wp:inline distT="0" distB="0" distL="114300" distR="114300">
            <wp:extent cx="8830945" cy="3105150"/>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rcRect r="6667" b="10685"/>
                    <a:stretch>
                      <a:fillRect/>
                    </a:stretch>
                  </pic:blipFill>
                  <pic:spPr>
                    <a:xfrm>
                      <a:off x="0" y="0"/>
                      <a:ext cx="8830945" cy="3105150"/>
                    </a:xfrm>
                    <a:prstGeom prst="rect">
                      <a:avLst/>
                    </a:prstGeom>
                    <a:noFill/>
                    <a:ln w="9525">
                      <a:noFill/>
                    </a:ln>
                  </pic:spPr>
                </pic:pic>
              </a:graphicData>
            </a:graphic>
          </wp:inline>
        </w:drawing>
      </w:r>
    </w:p>
    <w:p>
      <w:pPr>
        <w:pStyle w:val="6"/>
        <w:keepNext w:val="0"/>
        <w:keepLines w:val="0"/>
        <w:pageBreakBefore w:val="0"/>
        <w:widowControl/>
        <w:kinsoku/>
        <w:wordWrap/>
        <w:overflowPunct/>
        <w:topLinePunct w:val="0"/>
        <w:autoSpaceDE/>
        <w:autoSpaceDN/>
        <w:bidi w:val="0"/>
        <w:adjustRightInd/>
        <w:snapToGrid/>
        <w:spacing w:before="76" w:beforeAutospacing="0" w:after="76" w:afterAutospacing="0" w:line="450" w:lineRule="atLeast"/>
        <w:ind w:firstLine="480" w:firstLineChars="200"/>
        <w:textAlignment w:val="auto"/>
        <w:rPr>
          <w:rFonts w:asciiTheme="minorEastAsia" w:hAnsiTheme="minorEastAsia" w:eastAsiaTheme="minorEastAsia" w:cstheme="minorEastAsia"/>
          <w:color w:val="000000" w:themeColor="text1"/>
          <w:sz w:val="28"/>
          <w:szCs w:val="28"/>
          <w:shd w:val="clear" w:color="auto" w:fill="FFFFFF"/>
        </w:rPr>
      </w:pPr>
      <w:r>
        <w:rPr>
          <w:rStyle w:val="8"/>
          <w:rFonts w:hint="eastAsia" w:ascii="微软雅黑" w:hAnsi="微软雅黑" w:eastAsia="微软雅黑" w:cs="微软雅黑"/>
          <w:color w:val="333333"/>
          <w:szCs w:val="24"/>
          <w:shd w:val="clear" w:color="auto" w:fill="FFFFFF"/>
        </w:rPr>
        <w:t>第三部分2018年部门决算情况说明</w:t>
      </w:r>
      <w:r>
        <w:br w:type="textWrapping"/>
      </w:r>
      <w:r>
        <w:rPr>
          <w:rFonts w:hint="eastAsia" w:asciiTheme="minorEastAsia" w:hAnsiTheme="minorEastAsia" w:eastAsiaTheme="minorEastAsia" w:cstheme="minorEastAsia"/>
          <w:b/>
          <w:bCs/>
          <w:color w:val="000000" w:themeColor="text1"/>
          <w:sz w:val="28"/>
          <w:szCs w:val="28"/>
          <w:shd w:val="clear" w:color="auto" w:fill="FFFFFF"/>
        </w:rPr>
        <w:t>（一）预算执行情况分析</w:t>
      </w:r>
      <w:r>
        <w:rPr>
          <w:rFonts w:hint="eastAsia" w:asciiTheme="minorEastAsia" w:hAnsiTheme="minorEastAsia" w:eastAsiaTheme="minorEastAsia" w:cstheme="minorEastAsia"/>
          <w:b/>
          <w:bCs/>
          <w:color w:val="000000" w:themeColor="text1"/>
          <w:sz w:val="28"/>
          <w:szCs w:val="28"/>
          <w:shd w:val="clear" w:color="auto" w:fill="FFFFFF"/>
        </w:rPr>
        <w:br w:type="textWrapping"/>
      </w:r>
      <w:r>
        <w:rPr>
          <w:rFonts w:hint="eastAsia" w:asciiTheme="minorEastAsia" w:hAnsiTheme="minorEastAsia" w:eastAsiaTheme="minorEastAsia" w:cstheme="minorEastAsia"/>
          <w:b/>
          <w:bCs/>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color w:val="000000" w:themeColor="text1"/>
          <w:sz w:val="28"/>
          <w:szCs w:val="28"/>
          <w:shd w:val="clear" w:color="auto" w:fill="FFFFFF"/>
        </w:rPr>
        <w:t>2018年财政收入预算数613944元，其中人员经费408776元，公用经费205168元,2018年财政支出预算数613944元，其中人员经费408776元,公用经费205168元,2017年财政收入预算数546703元，其中人员经费342299元，公用经费204404元,2017年财政支出预算数546703元，其中人员经费342299元，公用经费204404元,2018年收入预算数安排比上年增加67241元，2018年支出预算数安排比上年增加67241元。增长12.29%。</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color w:val="000000" w:themeColor="text1"/>
          <w:sz w:val="28"/>
          <w:szCs w:val="28"/>
          <w:shd w:val="clear" w:color="auto" w:fill="FFFFFF"/>
        </w:rPr>
        <w:t>1、收入支出与预算对比分析</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rPr>
        <w:t>2018年全年总收入978476元,其中财拨决算收入978476元,其它收入0元,2018年全年决算总支出978476元,其中财拨决算支出978476元,其它资金支出0元,2018年财政预算数613944元，财拔决算比预算多364532元,幅度为59.38%,原因：人员经费增长职业年金纳入预算缴纳。</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color w:val="000000" w:themeColor="text1"/>
          <w:sz w:val="28"/>
          <w:szCs w:val="28"/>
          <w:shd w:val="clear" w:color="auto" w:fill="FFFFFF"/>
        </w:rPr>
        <w:t>2、收入支出结构分析</w:t>
      </w:r>
    </w:p>
    <w:p>
      <w:pPr>
        <w:pStyle w:val="6"/>
        <w:widowControl/>
        <w:spacing w:before="76" w:beforeAutospacing="0" w:after="76" w:afterAutospacing="0" w:line="450" w:lineRule="atLeast"/>
        <w:rPr>
          <w:rFonts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（1）2018年全年总收入978476元,其中财拨决算收入978476元,其它收入0元。</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rPr>
        <w:t>（2）2018年全年决算总支出978476元,其中财拨决算支出978476元,其它资金支出0元，支出按以下分类说明：</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color w:val="000000" w:themeColor="text1"/>
          <w:sz w:val="28"/>
          <w:szCs w:val="28"/>
          <w:shd w:val="clear" w:color="auto" w:fill="FFFFFF"/>
        </w:rPr>
        <w:t>①支出功能分类：978476元，政府办公厅（室）及相关机构事务978476元；</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color w:val="000000" w:themeColor="text1"/>
          <w:sz w:val="28"/>
          <w:szCs w:val="28"/>
          <w:shd w:val="clear" w:color="auto" w:fill="FFFFFF"/>
        </w:rPr>
        <w:t>②支出性质分类：978476元，其中人员经费520774元，公用经费457702元；</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color w:val="000000" w:themeColor="text1"/>
          <w:sz w:val="28"/>
          <w:szCs w:val="28"/>
          <w:shd w:val="clear" w:color="auto" w:fill="FFFFFF"/>
        </w:rPr>
        <w:t>③支出经济分类：978476元，其中工资福利支出520774元，商品服务支出457702元，其它资本性支出0元。</w:t>
      </w:r>
      <w:r>
        <w:rPr>
          <w:rFonts w:hint="eastAsia" w:asciiTheme="minorEastAsia" w:hAnsiTheme="minorEastAsia" w:eastAsiaTheme="minorEastAsia" w:cstheme="minorEastAsia"/>
          <w:color w:val="000000" w:themeColor="text1"/>
          <w:sz w:val="28"/>
          <w:szCs w:val="28"/>
          <w:shd w:val="clear" w:color="auto" w:fill="FFFFFF"/>
        </w:rPr>
        <w:br w:type="textWrapping"/>
      </w:r>
      <w:r>
        <w:rPr>
          <w:rFonts w:hint="eastAsia" w:asciiTheme="minorEastAsia" w:hAnsiTheme="minorEastAsia" w:eastAsiaTheme="minorEastAsia" w:cstheme="minorEastAsia"/>
          <w:color w:val="000000" w:themeColor="text1"/>
          <w:sz w:val="28"/>
          <w:szCs w:val="28"/>
          <w:shd w:val="clear" w:color="auto" w:fill="FFFFFF"/>
          <w:lang w:val="en-US" w:eastAsia="zh-CN"/>
        </w:rPr>
        <w:t xml:space="preserve"> </w:t>
      </w:r>
      <w:r>
        <w:rPr>
          <w:rFonts w:hint="eastAsia" w:asciiTheme="minorEastAsia" w:hAnsiTheme="minorEastAsia" w:eastAsiaTheme="minorEastAsia" w:cstheme="minorEastAsia"/>
          <w:b/>
          <w:bCs/>
          <w:color w:val="000000" w:themeColor="text1"/>
          <w:sz w:val="28"/>
          <w:szCs w:val="28"/>
          <w:shd w:val="clear" w:color="auto" w:fill="FFFFFF"/>
        </w:rPr>
        <w:t>（二）关于“三公”经费支出说明</w:t>
      </w:r>
    </w:p>
    <w:p>
      <w:pPr>
        <w:pStyle w:val="6"/>
        <w:widowControl/>
        <w:spacing w:before="76" w:beforeAutospacing="0" w:after="76" w:afterAutospacing="0" w:line="450" w:lineRule="atLeast"/>
        <w:ind w:firstLine="280" w:firstLineChars="100"/>
        <w:rPr>
          <w:rFonts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本年度三公经费中，公务接待费用支出0元。出国及车辆均无支出。</w:t>
      </w:r>
    </w:p>
    <w:p>
      <w:pPr>
        <w:pStyle w:val="6"/>
        <w:widowControl/>
        <w:spacing w:before="76" w:beforeAutospacing="0" w:after="76" w:afterAutospacing="0" w:line="450" w:lineRule="atLeast"/>
        <w:ind w:firstLine="281" w:firstLineChars="100"/>
        <w:rPr>
          <w:rFonts w:asciiTheme="minorEastAsia" w:hAnsiTheme="minorEastAsia" w:eastAsiaTheme="minorEastAsia" w:cstheme="minorEastAsia"/>
          <w:b/>
          <w:bCs/>
          <w:color w:val="000000" w:themeColor="text1"/>
          <w:sz w:val="28"/>
          <w:szCs w:val="28"/>
          <w:shd w:val="clear" w:color="auto" w:fill="FFFFFF"/>
        </w:rPr>
      </w:pPr>
      <w:r>
        <w:rPr>
          <w:rFonts w:hint="eastAsia" w:asciiTheme="minorEastAsia" w:hAnsiTheme="minorEastAsia" w:eastAsiaTheme="minorEastAsia" w:cstheme="minorEastAsia"/>
          <w:b/>
          <w:bCs/>
          <w:color w:val="000000" w:themeColor="text1"/>
          <w:sz w:val="28"/>
          <w:szCs w:val="28"/>
          <w:shd w:val="clear" w:color="auto" w:fill="FFFFFF"/>
        </w:rPr>
        <w:t>（三）关于机关运行经费支出说明</w:t>
      </w:r>
    </w:p>
    <w:p>
      <w:pPr>
        <w:pStyle w:val="6"/>
        <w:widowControl/>
        <w:spacing w:before="76" w:beforeAutospacing="0" w:after="76" w:afterAutospacing="0" w:line="450" w:lineRule="atLeast"/>
        <w:ind w:firstLine="280" w:firstLineChars="100"/>
        <w:rPr>
          <w:rFonts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2018年度机关运行经费支出97.85万元，其中：人员经费52.08万元；日常公用经费45.77万元；日常公用经费包括：办公费3.25万元、印刷费1.35万元、邮电费2.07万元、差旅费0万元、物业费2.06万元、培训费0万元、公务招待0万元、工会经费0.91万元、委托业务费32万元。2018年度机关运行经费支出比年初预算数0万元增加0万元，增长0%。主要原因是：涨幅原因为本年度补发、补交以前年度工资及社保费用以及开展老干部活动经费支出上涨。</w:t>
      </w:r>
    </w:p>
    <w:p>
      <w:pPr>
        <w:pStyle w:val="6"/>
        <w:widowControl/>
        <w:spacing w:before="76" w:beforeAutospacing="0" w:after="76" w:afterAutospacing="0" w:line="450" w:lineRule="atLeast"/>
        <w:ind w:firstLine="281" w:firstLineChars="100"/>
        <w:rPr>
          <w:rFonts w:asciiTheme="minorEastAsia" w:hAnsiTheme="minorEastAsia" w:eastAsiaTheme="minorEastAsia" w:cstheme="minorEastAsia"/>
          <w:b/>
          <w:bCs/>
          <w:color w:val="000000" w:themeColor="text1"/>
          <w:sz w:val="28"/>
          <w:szCs w:val="28"/>
          <w:shd w:val="clear" w:color="auto" w:fill="FFFFFF"/>
        </w:rPr>
      </w:pPr>
      <w:r>
        <w:rPr>
          <w:rFonts w:hint="eastAsia" w:asciiTheme="minorEastAsia" w:hAnsiTheme="minorEastAsia" w:eastAsiaTheme="minorEastAsia" w:cstheme="minorEastAsia"/>
          <w:b/>
          <w:bCs/>
          <w:color w:val="000000" w:themeColor="text1"/>
          <w:sz w:val="28"/>
          <w:szCs w:val="28"/>
          <w:shd w:val="clear" w:color="auto" w:fill="FFFFFF"/>
        </w:rPr>
        <w:t>（四）关于政府采购支出说明</w:t>
      </w:r>
    </w:p>
    <w:p>
      <w:pPr>
        <w:pStyle w:val="6"/>
        <w:widowControl/>
        <w:spacing w:before="76" w:beforeAutospacing="0" w:after="76" w:afterAutospacing="0" w:line="450" w:lineRule="atLeast"/>
        <w:ind w:firstLine="280" w:firstLineChars="100"/>
        <w:rPr>
          <w:rFonts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本年无政府采购支出。</w:t>
      </w:r>
    </w:p>
    <w:p>
      <w:pPr>
        <w:pStyle w:val="6"/>
        <w:widowControl/>
        <w:spacing w:before="76" w:beforeAutospacing="0" w:after="76" w:afterAutospacing="0" w:line="450" w:lineRule="atLeast"/>
        <w:ind w:firstLine="281" w:firstLineChars="100"/>
        <w:rPr>
          <w:rFonts w:asciiTheme="minorEastAsia" w:hAnsiTheme="minorEastAsia" w:eastAsiaTheme="minorEastAsia" w:cstheme="minorEastAsia"/>
          <w:b/>
          <w:bCs/>
          <w:color w:val="000000" w:themeColor="text1"/>
          <w:sz w:val="28"/>
          <w:szCs w:val="28"/>
          <w:shd w:val="clear" w:color="auto" w:fill="FFFFFF"/>
        </w:rPr>
      </w:pPr>
      <w:r>
        <w:rPr>
          <w:rFonts w:hint="eastAsia" w:asciiTheme="minorEastAsia" w:hAnsiTheme="minorEastAsia" w:eastAsiaTheme="minorEastAsia" w:cstheme="minorEastAsia"/>
          <w:b/>
          <w:bCs/>
          <w:color w:val="000000" w:themeColor="text1"/>
          <w:sz w:val="28"/>
          <w:szCs w:val="28"/>
          <w:shd w:val="clear" w:color="auto" w:fill="FFFFFF"/>
        </w:rPr>
        <w:t>（五）国有资产占用情况说明</w:t>
      </w:r>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本单位无公车和大型设备。</w:t>
      </w:r>
    </w:p>
    <w:p>
      <w:pPr>
        <w:pStyle w:val="6"/>
        <w:widowControl/>
        <w:spacing w:before="76" w:beforeAutospacing="0" w:after="76" w:afterAutospacing="0" w:line="450" w:lineRule="atLeast"/>
        <w:ind w:firstLine="281" w:firstLineChars="100"/>
        <w:rPr>
          <w:rFonts w:hint="eastAsia" w:asciiTheme="minorEastAsia" w:hAnsiTheme="minorEastAsia" w:eastAsiaTheme="minorEastAsia" w:cstheme="minorEastAsia"/>
          <w:b/>
          <w:bCs/>
          <w:color w:val="000000" w:themeColor="text1"/>
          <w:sz w:val="28"/>
          <w:szCs w:val="28"/>
          <w:shd w:val="clear" w:color="auto" w:fill="FFFFFF"/>
          <w:lang w:val="en-US" w:eastAsia="zh-CN"/>
        </w:rPr>
      </w:pPr>
      <w:r>
        <w:rPr>
          <w:rFonts w:hint="eastAsia" w:asciiTheme="minorEastAsia" w:hAnsiTheme="minorEastAsia" w:eastAsiaTheme="minorEastAsia" w:cstheme="minorEastAsia"/>
          <w:b/>
          <w:bCs/>
          <w:color w:val="000000" w:themeColor="text1"/>
          <w:sz w:val="28"/>
          <w:szCs w:val="28"/>
          <w:shd w:val="clear" w:color="auto" w:fill="FFFFFF"/>
          <w:lang w:val="en-US" w:eastAsia="zh-CN"/>
        </w:rPr>
        <w:t>（六）重点绩效评价结果等预算绩效情况说明</w:t>
      </w:r>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lang w:val="en-US" w:eastAsia="zh-CN"/>
        </w:rPr>
      </w:pPr>
      <w:r>
        <w:rPr>
          <w:rFonts w:hint="eastAsia" w:asciiTheme="minorEastAsia" w:hAnsiTheme="minorEastAsia" w:eastAsiaTheme="minorEastAsia" w:cstheme="minorEastAsia"/>
          <w:color w:val="000000" w:themeColor="text1"/>
          <w:sz w:val="28"/>
          <w:szCs w:val="28"/>
          <w:shd w:val="clear" w:color="auto" w:fill="FFFFFF"/>
          <w:lang w:val="en-US" w:eastAsia="zh-CN"/>
        </w:rPr>
        <w:t>2018年， 根据预算绩效管理要求，我单位组织2018年度一般公共预算项目支出全面开展绩效自评，共涉及项目5个，资金9万元。 2018年项目资金投入9万元，已使用9万元，使用率100%。使用从评价结果看，项目立项程序完整、规范，预算执行及时、有效，绩效目标得到较好实现，绩效管理水平不断提高，绩效指标体系建设逐渐丰富和完善。</w:t>
      </w:r>
      <w:bookmarkStart w:id="0" w:name="_GoBack"/>
      <w:bookmarkEnd w:id="0"/>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rPr>
      </w:pPr>
    </w:p>
    <w:p>
      <w:pPr>
        <w:pStyle w:val="6"/>
        <w:widowControl/>
        <w:spacing w:before="76" w:beforeAutospacing="0" w:after="76" w:afterAutospacing="0" w:line="450" w:lineRule="atLeast"/>
        <w:ind w:left="420"/>
        <w:rPr>
          <w:rFonts w:asciiTheme="minorEastAsia" w:hAnsiTheme="minorEastAsia" w:eastAsiaTheme="minorEastAsia" w:cstheme="minorEastAsia"/>
          <w:color w:val="000000" w:themeColor="text1"/>
          <w:sz w:val="30"/>
          <w:szCs w:val="30"/>
          <w:shd w:val="clear" w:color="auto" w:fill="FFFFFF"/>
        </w:rPr>
      </w:pPr>
    </w:p>
    <w:p>
      <w:pPr>
        <w:pStyle w:val="6"/>
        <w:widowControl/>
        <w:spacing w:before="76" w:beforeAutospacing="0" w:after="76" w:afterAutospacing="0" w:line="450" w:lineRule="atLeast"/>
        <w:ind w:left="420"/>
        <w:rPr>
          <w:rFonts w:asciiTheme="minorEastAsia" w:hAnsiTheme="minorEastAsia" w:eastAsiaTheme="minorEastAsia" w:cstheme="minorEastAsia"/>
          <w:color w:val="000000" w:themeColor="text1"/>
          <w:sz w:val="30"/>
          <w:szCs w:val="30"/>
          <w:shd w:val="clear" w:color="auto" w:fill="FFFFFF"/>
        </w:rPr>
      </w:pPr>
    </w:p>
    <w:p>
      <w:pPr>
        <w:pStyle w:val="6"/>
        <w:widowControl/>
        <w:spacing w:before="76" w:beforeAutospacing="0" w:after="76" w:afterAutospacing="0" w:line="450" w:lineRule="atLeast"/>
        <w:ind w:left="420"/>
        <w:rPr>
          <w:rFonts w:ascii="微软雅黑" w:hAnsi="微软雅黑" w:eastAsia="微软雅黑" w:cs="微软雅黑"/>
          <w:color w:val="000000" w:themeColor="text1"/>
          <w:szCs w:val="24"/>
          <w:shd w:val="clear" w:color="auto" w:fill="FFFFFF"/>
        </w:rPr>
      </w:pPr>
      <w:r>
        <w:rPr>
          <w:rFonts w:hint="eastAsia" w:ascii="微软雅黑" w:hAnsi="微软雅黑" w:eastAsia="微软雅黑" w:cs="微软雅黑"/>
          <w:b/>
          <w:bCs/>
          <w:color w:val="000000" w:themeColor="text1"/>
          <w:szCs w:val="24"/>
          <w:shd w:val="clear" w:color="auto" w:fill="FFFFFF"/>
        </w:rPr>
        <w:t>第四部分名词解释</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一、财政补助收入：指县级财政当年拨付的资金。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二、其他收入：指除“财政拨款收入”、“上级补助收入”、“事业收入”、“经营收入”等以外的收入。主要是存款利息收入等。</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三、年初结转和结余：指以前年度尚未完成、结转到本年按有关规定继续使用的资金。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四、一般公共服务（类）行政运行（项）：指县行政单位及参照公务员管理事业单位用于保障机构正常运行、开展日常工作的基本支出。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六、一般公共服务（类）机关服务（项）：指县黄石港区人大服务中心为机关提供办公楼日常维修、维护等后勤保障服务的支出。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七、一般公共服务（类）其他一般公共服务支出（款）其他一般公共服务支出（项）：指黄石港区人大用于其他一般公共服务方面的支出。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八、教育（类）普通教育（款）高等教育（项）：指黄石港区人大厅支持地方高校的重点发展和特色办学，组织专家对省属院校申报的建设规划和项目预算进行评审等相关工作的支出。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九、社会保障和就业(类)行政事业单位离退休（款）归口管理的行政单位离退休（项）：指黄石港区人大用于离退休人员的支出、退休人员支出，以及提供管理服务工作的离退休干部处的支出。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十、社会保障和就业(类)行政事业单位离退休（款）其他行政事业单位离退休支出（项）：指黄石港区人大用于离退休方面的其他支出。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十一、医疗卫生与计划生育（类）医疗保障（款）行政单位医疗（项）：指黄石港区人大用于机关干部职工及离退休人员医疗方面的支出。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十五、项目支出：指在基本支出之外为完成特定行政任务和事业发展目标所发生的支出。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十六、“三公”经费：是指用财政拨款安排的因公出国（境）费、公务用车购置及运行维护费、公务接待费。</w:t>
      </w:r>
    </w:p>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960CD"/>
    <w:rsid w:val="00007444"/>
    <w:rsid w:val="0001109D"/>
    <w:rsid w:val="000D0817"/>
    <w:rsid w:val="00176274"/>
    <w:rsid w:val="001F4A83"/>
    <w:rsid w:val="002703D9"/>
    <w:rsid w:val="00287599"/>
    <w:rsid w:val="002D7A61"/>
    <w:rsid w:val="003746FF"/>
    <w:rsid w:val="003A3488"/>
    <w:rsid w:val="003A51F7"/>
    <w:rsid w:val="003C6949"/>
    <w:rsid w:val="004C0A45"/>
    <w:rsid w:val="00590282"/>
    <w:rsid w:val="005F589D"/>
    <w:rsid w:val="006742C3"/>
    <w:rsid w:val="006818F4"/>
    <w:rsid w:val="006D4232"/>
    <w:rsid w:val="006D57CE"/>
    <w:rsid w:val="006E541D"/>
    <w:rsid w:val="007B3625"/>
    <w:rsid w:val="008B4BF5"/>
    <w:rsid w:val="008C680B"/>
    <w:rsid w:val="009B3AD0"/>
    <w:rsid w:val="009E74D0"/>
    <w:rsid w:val="00A4435D"/>
    <w:rsid w:val="00A51EF5"/>
    <w:rsid w:val="00A53003"/>
    <w:rsid w:val="00A70BC9"/>
    <w:rsid w:val="00A7561E"/>
    <w:rsid w:val="00AF52FE"/>
    <w:rsid w:val="00B01567"/>
    <w:rsid w:val="00B15340"/>
    <w:rsid w:val="00B579A1"/>
    <w:rsid w:val="00BA23FC"/>
    <w:rsid w:val="00C46659"/>
    <w:rsid w:val="00CA34DB"/>
    <w:rsid w:val="00CC282C"/>
    <w:rsid w:val="00D05A46"/>
    <w:rsid w:val="00DC26D1"/>
    <w:rsid w:val="00EB33E5"/>
    <w:rsid w:val="031D54AF"/>
    <w:rsid w:val="0C820BD3"/>
    <w:rsid w:val="126A2636"/>
    <w:rsid w:val="15EA3E0C"/>
    <w:rsid w:val="16B960CD"/>
    <w:rsid w:val="182154E2"/>
    <w:rsid w:val="1F4472E7"/>
    <w:rsid w:val="20FF20C3"/>
    <w:rsid w:val="22347A2E"/>
    <w:rsid w:val="24573004"/>
    <w:rsid w:val="24E56094"/>
    <w:rsid w:val="273E5209"/>
    <w:rsid w:val="2EBD052C"/>
    <w:rsid w:val="33020364"/>
    <w:rsid w:val="33526D35"/>
    <w:rsid w:val="395E6838"/>
    <w:rsid w:val="406C5ECF"/>
    <w:rsid w:val="49B7787B"/>
    <w:rsid w:val="4D1A0750"/>
    <w:rsid w:val="5A9C347A"/>
    <w:rsid w:val="610B1263"/>
    <w:rsid w:val="63855244"/>
    <w:rsid w:val="63D251F4"/>
    <w:rsid w:val="682F066E"/>
    <w:rsid w:val="6AB9076E"/>
    <w:rsid w:val="71BF2DF5"/>
    <w:rsid w:val="71DE56DE"/>
    <w:rsid w:val="74900FCB"/>
    <w:rsid w:val="74B15FC0"/>
    <w:rsid w:val="77AA6070"/>
    <w:rsid w:val="7ADF609E"/>
    <w:rsid w:val="7DE63F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qFormat/>
    <w:uiPriority w:val="0"/>
    <w:pPr>
      <w:spacing w:beforeAutospacing="1" w:afterAutospacing="1"/>
      <w:jc w:val="left"/>
      <w:outlineLvl w:val="4"/>
    </w:pPr>
    <w:rPr>
      <w:rFonts w:hint="eastAsia" w:ascii="宋体" w:hAnsi="宋体" w:cs="宋体"/>
      <w:b/>
      <w:kern w:val="0"/>
      <w:sz w:val="20"/>
      <w:szCs w:val="20"/>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10">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ca-2"/>
    <w:basedOn w:val="7"/>
    <w:qFormat/>
    <w:uiPriority w:val="0"/>
  </w:style>
  <w:style w:type="character" w:customStyle="1" w:styleId="12">
    <w:name w:val="ca-3"/>
    <w:basedOn w:val="7"/>
    <w:qFormat/>
    <w:uiPriority w:val="0"/>
  </w:style>
  <w:style w:type="paragraph" w:customStyle="1" w:styleId="13">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4">
    <w:name w:val="页眉 Char"/>
    <w:basedOn w:val="7"/>
    <w:link w:val="5"/>
    <w:qFormat/>
    <w:uiPriority w:val="0"/>
    <w:rPr>
      <w:rFonts w:ascii="Calibri" w:hAnsi="Calibri" w:cs="Calibri"/>
      <w:kern w:val="2"/>
      <w:sz w:val="18"/>
      <w:szCs w:val="18"/>
    </w:rPr>
  </w:style>
  <w:style w:type="character" w:customStyle="1" w:styleId="15">
    <w:name w:val="页脚 Char"/>
    <w:basedOn w:val="7"/>
    <w:link w:val="4"/>
    <w:qFormat/>
    <w:uiPriority w:val="0"/>
    <w:rPr>
      <w:rFonts w:ascii="Calibri" w:hAnsi="Calibri" w:cs="Calibri"/>
      <w:kern w:val="2"/>
      <w:sz w:val="18"/>
      <w:szCs w:val="18"/>
    </w:rPr>
  </w:style>
  <w:style w:type="character" w:customStyle="1" w:styleId="16">
    <w:name w:val="批注框文本 Char"/>
    <w:basedOn w:val="7"/>
    <w:link w:val="3"/>
    <w:qFormat/>
    <w:uiPriority w:val="0"/>
    <w:rPr>
      <w:rFonts w:ascii="Calibri" w:hAnsi="Calibri" w:cs="Calibri"/>
      <w:kern w:val="2"/>
      <w:sz w:val="18"/>
      <w:szCs w:val="18"/>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397</Words>
  <Characters>2266</Characters>
  <Lines>18</Lines>
  <Paragraphs>5</Paragraphs>
  <TotalTime>1</TotalTime>
  <ScaleCrop>false</ScaleCrop>
  <LinksUpToDate>false</LinksUpToDate>
  <CharactersWithSpaces>2658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米</dc:creator>
  <cp:lastModifiedBy>Administrator</cp:lastModifiedBy>
  <cp:lastPrinted>2019-09-19T08:58:00Z</cp:lastPrinted>
  <dcterms:modified xsi:type="dcterms:W3CDTF">2021-05-26T02:59:24Z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