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人武部2020年决算公开</w:t>
      </w:r>
    </w:p>
    <w:p>
      <w:pPr>
        <w:pStyle w:val="6"/>
        <w:widowControl/>
        <w:spacing w:before="76" w:beforeAutospacing="0" w:after="76" w:afterAutospacing="0" w:line="450" w:lineRule="atLeast"/>
        <w:ind w:firstLine="420"/>
        <w:jc w:val="center"/>
        <w:rPr>
          <w:color w:val="333333"/>
        </w:rPr>
      </w:pPr>
      <w:r>
        <w:rPr>
          <w:rStyle w:val="8"/>
          <w:rFonts w:hint="eastAsia" w:ascii="微软雅黑" w:hAnsi="微软雅黑" w:eastAsia="微软雅黑" w:cs="微软雅黑"/>
          <w:color w:val="333333"/>
          <w:shd w:val="clear" w:color="auto" w:fill="FFFFFF"/>
        </w:rPr>
        <w:t>黄石港区人民武装部2020年决算公开</w:t>
      </w:r>
    </w:p>
    <w:p>
      <w:pPr>
        <w:pStyle w:val="6"/>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部门2020年部门决算表</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六、一般公共预算财政拨款基本支出决算表（表6）</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七、政府性基金预算财政拨款收入支出决算表（表8）</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第三部分：部门2020年部门决算情况说明</w:t>
      </w:r>
    </w:p>
    <w:p>
      <w:pPr>
        <w:pStyle w:val="16"/>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080000" w:fill="FFFFFF"/>
        </w:rPr>
        <w:t>一、预算执行情况分析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三、关于政府采购支出说明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四、关于国有资产占用情况说明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8"/>
          <w:rFonts w:hint="eastAsia" w:ascii="微软雅黑" w:hAnsi="微软雅黑" w:eastAsia="微软雅黑" w:cs="微软雅黑"/>
          <w:color w:val="333333"/>
          <w:shd w:val="clear" w:color="auto" w:fill="FFFFFF"/>
        </w:rPr>
        <w:t>2020年部门决算</w:t>
      </w:r>
    </w:p>
    <w:p>
      <w:pPr>
        <w:pStyle w:val="6"/>
        <w:widowControl/>
        <w:spacing w:before="76" w:beforeAutospacing="0" w:after="76" w:afterAutospacing="0" w:line="450" w:lineRule="atLeast"/>
        <w:ind w:firstLine="420"/>
        <w:rPr>
          <w:color w:val="333333"/>
        </w:rPr>
      </w:pPr>
      <w:r>
        <w:rPr>
          <w:rStyle w:val="8"/>
          <w:rFonts w:hint="eastAsia" w:ascii="微软雅黑" w:hAnsi="微软雅黑" w:eastAsia="微软雅黑" w:cs="微软雅黑"/>
          <w:color w:val="333333"/>
          <w:shd w:val="clear" w:color="auto" w:fill="FFFFFF"/>
        </w:rPr>
        <w:t>第一部分 部门概况</w:t>
      </w:r>
    </w:p>
    <w:p>
      <w:pPr>
        <w:spacing w:line="620" w:lineRule="exact"/>
        <w:ind w:firstLine="640"/>
        <w:rPr>
          <w:rFonts w:ascii="仿宋_GB2312" w:hAnsi="仿宋" w:eastAsia="仿宋_GB2312"/>
          <w:sz w:val="32"/>
          <w:szCs w:val="32"/>
        </w:rPr>
      </w:pPr>
      <w:r>
        <w:rPr>
          <w:rFonts w:hint="eastAsia" w:ascii="仿宋_GB2312" w:hAnsi="仿宋" w:eastAsia="仿宋_GB2312"/>
          <w:sz w:val="32"/>
          <w:szCs w:val="32"/>
        </w:rPr>
        <w:t>（一）主要职能</w:t>
      </w:r>
    </w:p>
    <w:p>
      <w:pPr>
        <w:pStyle w:val="17"/>
        <w:ind w:left="284" w:firstLine="640" w:firstLineChars="200"/>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黄石港区人武部座落于黄石市磁湖路35-3号，隶属于黄石市军分区。主要职能：负责本区域内民兵组织建设、政治建设、军事训练、武器装备管理工作；组织带领民兵完成战备执勤任务，配合公安部门维护社会治安；发动民兵参加“三个文明”建设，完成急难险重任务；战时组织带领民兵参军参战，支援前线；负责本区域内的征兵工作、预备役士兵、预备役军官、军兵种预编预备役人员、地方与部队军事对口专业人员登记统计工作；会同有关部门进行国防潜力调查，做好相关动员准备工作；协同预备役部（分）队落实参训人员，做好兵员管理、动员集结等工作；协同有关部门开展国防教育、做好退伍军人安置和烈军属优抚工作；协助军队做好本区域内军事设施保护工作；负责民兵干部的选拔、任免、培训及管理工作；完成地方党委、政府和上级军事机关交给的其他工作任务。</w:t>
      </w:r>
    </w:p>
    <w:p>
      <w:pPr>
        <w:widowControl/>
        <w:shd w:val="clear" w:color="auto" w:fill="FFFFFF"/>
        <w:snapToGrid w:val="0"/>
        <w:spacing w:line="560" w:lineRule="atLeast"/>
        <w:ind w:firstLine="640" w:firstLineChars="200"/>
        <w:jc w:val="left"/>
        <w:rPr>
          <w:rFonts w:ascii="仿宋_GB2312" w:hAnsi="仿宋" w:eastAsia="仿宋_GB2312"/>
          <w:sz w:val="32"/>
          <w:szCs w:val="32"/>
        </w:rPr>
      </w:pPr>
      <w:r>
        <w:rPr>
          <w:rFonts w:hint="eastAsia" w:ascii="仿宋_GB2312" w:hAnsi="仿宋" w:eastAsia="仿宋_GB2312"/>
          <w:sz w:val="32"/>
          <w:szCs w:val="32"/>
        </w:rPr>
        <w:t>（二）单位基本信息（机构设置等）</w:t>
      </w:r>
    </w:p>
    <w:p>
      <w:pPr>
        <w:widowControl/>
        <w:shd w:val="clear" w:color="auto" w:fill="FFFFFF"/>
        <w:snapToGrid w:val="0"/>
        <w:spacing w:line="560" w:lineRule="atLeast"/>
        <w:ind w:firstLine="960" w:firstLineChars="300"/>
        <w:jc w:val="left"/>
        <w:rPr>
          <w:rFonts w:asciiTheme="minorEastAsia" w:hAnsiTheme="minorEastAsia" w:cstheme="minorEastAsia"/>
          <w:kern w:val="0"/>
          <w:sz w:val="30"/>
          <w:szCs w:val="30"/>
        </w:rPr>
      </w:pPr>
      <w:r>
        <w:rPr>
          <w:rFonts w:hint="eastAsia" w:ascii="仿宋_GB2312" w:hAnsi="仿宋" w:eastAsia="仿宋_GB2312"/>
          <w:sz w:val="32"/>
          <w:szCs w:val="32"/>
        </w:rPr>
        <w:t>根据上述职责，黄石港区人武部内设军事科、政治工作科、保障科。</w:t>
      </w:r>
    </w:p>
    <w:p>
      <w:pPr>
        <w:widowControl/>
        <w:shd w:val="clear" w:color="auto" w:fill="FFFFFF"/>
        <w:snapToGrid w:val="0"/>
        <w:spacing w:line="560" w:lineRule="atLeast"/>
        <w:ind w:left="481" w:leftChars="229" w:firstLine="160" w:firstLineChars="50"/>
        <w:jc w:val="left"/>
        <w:rPr>
          <w:rFonts w:ascii="仿宋_GB2312" w:hAnsi="仿宋" w:eastAsia="仿宋_GB2312"/>
          <w:sz w:val="32"/>
          <w:szCs w:val="32"/>
        </w:rPr>
      </w:pPr>
      <w:r>
        <w:rPr>
          <w:rFonts w:hint="eastAsia" w:ascii="仿宋_GB2312" w:hAnsi="仿宋" w:eastAsia="仿宋_GB2312"/>
          <w:sz w:val="32"/>
          <w:szCs w:val="32"/>
        </w:rPr>
        <w:t>（三）人员情况</w:t>
      </w:r>
    </w:p>
    <w:p>
      <w:pPr>
        <w:widowControl/>
        <w:shd w:val="clear" w:color="auto" w:fill="FFFFFF"/>
        <w:snapToGrid w:val="0"/>
        <w:spacing w:line="560" w:lineRule="atLeast"/>
        <w:ind w:firstLine="915" w:firstLineChars="286"/>
        <w:jc w:val="left"/>
        <w:rPr>
          <w:rFonts w:ascii="仿宋_GB2312" w:hAnsi="仿宋" w:eastAsia="仿宋_GB2312"/>
          <w:sz w:val="32"/>
          <w:szCs w:val="32"/>
        </w:rPr>
      </w:pPr>
      <w:r>
        <w:rPr>
          <w:rFonts w:hint="eastAsia" w:ascii="仿宋_GB2312" w:hAnsi="仿宋" w:eastAsia="仿宋_GB2312"/>
          <w:sz w:val="32"/>
          <w:szCs w:val="32"/>
        </w:rPr>
        <w:t>黄石港区人武部地方参公管理事业编制5名。</w:t>
      </w:r>
    </w:p>
    <w:p>
      <w:pPr>
        <w:widowControl/>
        <w:shd w:val="clear" w:color="auto" w:fill="FFFFFF"/>
        <w:snapToGrid w:val="0"/>
        <w:spacing w:line="560" w:lineRule="atLeast"/>
        <w:ind w:firstLine="858" w:firstLineChars="286"/>
        <w:jc w:val="left"/>
        <w:rPr>
          <w:rFonts w:asciiTheme="minorEastAsia" w:hAnsiTheme="minorEastAsia" w:cstheme="minorEastAsia"/>
          <w:kern w:val="0"/>
          <w:sz w:val="30"/>
          <w:szCs w:val="30"/>
        </w:rPr>
      </w:pPr>
    </w:p>
    <w:p>
      <w:pPr>
        <w:pStyle w:val="6"/>
        <w:widowControl/>
        <w:numPr>
          <w:ilvl w:val="0"/>
          <w:numId w:val="1"/>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部门2020年部门决算表</w:t>
      </w:r>
    </w:p>
    <w:tbl>
      <w:tblPr>
        <w:tblStyle w:val="9"/>
        <w:tblW w:w="13819" w:type="dxa"/>
        <w:tblInd w:w="0" w:type="dxa"/>
        <w:tblLayout w:type="fixed"/>
        <w:tblCellMar>
          <w:top w:w="0" w:type="dxa"/>
          <w:left w:w="0" w:type="dxa"/>
          <w:bottom w:w="0" w:type="dxa"/>
          <w:right w:w="0" w:type="dxa"/>
        </w:tblCellMar>
      </w:tblPr>
      <w:tblGrid>
        <w:gridCol w:w="4650"/>
        <w:gridCol w:w="430"/>
        <w:gridCol w:w="1908"/>
        <w:gridCol w:w="3335"/>
        <w:gridCol w:w="1257"/>
        <w:gridCol w:w="2239"/>
      </w:tblGrid>
      <w:tr>
        <w:tblPrEx>
          <w:tblLayout w:type="fixed"/>
          <w:tblCellMar>
            <w:top w:w="0" w:type="dxa"/>
            <w:left w:w="0" w:type="dxa"/>
            <w:bottom w:w="0" w:type="dxa"/>
            <w:right w:w="0" w:type="dxa"/>
          </w:tblCellMar>
        </w:tblPrEx>
        <w:trPr>
          <w:trHeight w:val="638" w:hRule="atLeast"/>
        </w:trPr>
        <w:tc>
          <w:tcPr>
            <w:tcW w:w="13819" w:type="dxa"/>
            <w:gridSpan w:val="6"/>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收入支出决算总表</w:t>
            </w:r>
          </w:p>
        </w:tc>
      </w:tr>
      <w:tr>
        <w:tblPrEx>
          <w:tblLayout w:type="fixed"/>
          <w:tblCellMar>
            <w:top w:w="0" w:type="dxa"/>
            <w:left w:w="0" w:type="dxa"/>
            <w:bottom w:w="0" w:type="dxa"/>
            <w:right w:w="0" w:type="dxa"/>
          </w:tblCellMar>
        </w:tblPrEx>
        <w:trPr>
          <w:trHeight w:val="638" w:hRule="atLeast"/>
        </w:trPr>
        <w:tc>
          <w:tcPr>
            <w:tcW w:w="13819" w:type="dxa"/>
            <w:gridSpan w:val="6"/>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43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908"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3335"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5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239"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公开01表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43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908"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2020年度</w:t>
            </w:r>
          </w:p>
        </w:tc>
        <w:tc>
          <w:tcPr>
            <w:tcW w:w="333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2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239"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Layout w:type="fixed"/>
          <w:tblCellMar>
            <w:top w:w="0" w:type="dxa"/>
            <w:left w:w="0" w:type="dxa"/>
            <w:bottom w:w="0" w:type="dxa"/>
            <w:right w:w="0" w:type="dxa"/>
          </w:tblCellMar>
        </w:tblPrEx>
        <w:trPr>
          <w:trHeight w:val="300" w:hRule="atLeast"/>
        </w:trPr>
        <w:tc>
          <w:tcPr>
            <w:tcW w:w="698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收入</w:t>
            </w:r>
          </w:p>
        </w:tc>
        <w:tc>
          <w:tcPr>
            <w:tcW w:w="6831"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支出</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9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9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一、一般公共服务支出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942900.00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二、外交支出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三、上级补助收入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三、国防支出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30000.00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四、事业收入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四、公共安全支出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五、经营收入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五、教育支出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六、附属单位上缴收入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六、科学技术支出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七、其他收入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七、文化旅游体育与传媒支出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八、社会保障和就业支出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九、卫生健康支出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37</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十、节能环保支出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38</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十一、城乡社区支出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十二、农林水支出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十三、交通运输支出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十四、资源勘探信息等支出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十五、商业服务业等支出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十六、金融支出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十七、援助其他地区支出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十八、自然资源海洋气象等支出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十九、住房保障支出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47</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二十、粮油物资储备支出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48</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二十一、灾害防治及应急管理支出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二十二、其他支出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本年收入合计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本年支出合计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用事业基金弥补收支差额</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结余分配</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年初结转和结余</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年末结转和结余</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972900.00</w:t>
            </w:r>
          </w:p>
        </w:tc>
      </w:tr>
      <w:tr>
        <w:tblPrEx>
          <w:tblLayout w:type="fixed"/>
          <w:tblCellMar>
            <w:top w:w="0" w:type="dxa"/>
            <w:left w:w="0" w:type="dxa"/>
            <w:bottom w:w="0" w:type="dxa"/>
            <w:right w:w="0" w:type="dxa"/>
          </w:tblCellMar>
        </w:tblPrEx>
        <w:trPr>
          <w:trHeight w:val="300" w:hRule="atLeast"/>
        </w:trPr>
        <w:tc>
          <w:tcPr>
            <w:tcW w:w="13819" w:type="dxa"/>
            <w:gridSpan w:val="6"/>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注：本表反映部门本年度的总收支和年末结转结余情况。</w:t>
            </w:r>
          </w:p>
        </w:tc>
      </w:tr>
    </w:tbl>
    <w:p/>
    <w:tbl>
      <w:tblPr>
        <w:tblStyle w:val="9"/>
        <w:tblW w:w="13819" w:type="dxa"/>
        <w:tblInd w:w="0" w:type="dxa"/>
        <w:tblLayout w:type="fixed"/>
        <w:tblCellMar>
          <w:top w:w="0" w:type="dxa"/>
          <w:left w:w="0" w:type="dxa"/>
          <w:bottom w:w="0" w:type="dxa"/>
          <w:right w:w="0" w:type="dxa"/>
        </w:tblCellMar>
      </w:tblPr>
      <w:tblGrid>
        <w:gridCol w:w="4639"/>
        <w:gridCol w:w="50"/>
        <w:gridCol w:w="50"/>
        <w:gridCol w:w="1797"/>
        <w:gridCol w:w="1423"/>
        <w:gridCol w:w="1586"/>
        <w:gridCol w:w="655"/>
        <w:gridCol w:w="655"/>
        <w:gridCol w:w="719"/>
        <w:gridCol w:w="852"/>
        <w:gridCol w:w="1393"/>
      </w:tblGrid>
      <w:tr>
        <w:tblPrEx>
          <w:tblLayout w:type="fixed"/>
          <w:tblCellMar>
            <w:top w:w="0" w:type="dxa"/>
            <w:left w:w="0" w:type="dxa"/>
            <w:bottom w:w="0" w:type="dxa"/>
            <w:right w:w="0" w:type="dxa"/>
          </w:tblCellMar>
        </w:tblPrEx>
        <w:trPr>
          <w:trHeight w:val="638" w:hRule="atLeast"/>
        </w:trPr>
        <w:tc>
          <w:tcPr>
            <w:tcW w:w="13819" w:type="dxa"/>
            <w:gridSpan w:val="11"/>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收入决算表</w:t>
            </w:r>
          </w:p>
        </w:tc>
      </w:tr>
      <w:tr>
        <w:tblPrEx>
          <w:tblLayout w:type="fixed"/>
          <w:tblCellMar>
            <w:top w:w="0" w:type="dxa"/>
            <w:left w:w="0" w:type="dxa"/>
            <w:bottom w:w="0" w:type="dxa"/>
            <w:right w:w="0" w:type="dxa"/>
          </w:tblCellMar>
        </w:tblPrEx>
        <w:trPr>
          <w:trHeight w:val="638" w:hRule="atLeast"/>
        </w:trPr>
        <w:tc>
          <w:tcPr>
            <w:tcW w:w="13819" w:type="dxa"/>
            <w:gridSpan w:val="11"/>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Layout w:type="fixed"/>
          <w:tblCellMar>
            <w:top w:w="0" w:type="dxa"/>
            <w:left w:w="0" w:type="dxa"/>
            <w:bottom w:w="0" w:type="dxa"/>
            <w:right w:w="0" w:type="dxa"/>
          </w:tblCellMar>
        </w:tblPrEx>
        <w:trPr>
          <w:trHeight w:val="300" w:hRule="atLeast"/>
        </w:trPr>
        <w:tc>
          <w:tcPr>
            <w:tcW w:w="463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9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423"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58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655"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655"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71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852"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393"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公开02表</w:t>
            </w:r>
          </w:p>
        </w:tc>
      </w:tr>
      <w:tr>
        <w:tblPrEx>
          <w:tblLayout w:type="fixed"/>
          <w:tblCellMar>
            <w:top w:w="0" w:type="dxa"/>
            <w:left w:w="0" w:type="dxa"/>
            <w:bottom w:w="0" w:type="dxa"/>
            <w:right w:w="0" w:type="dxa"/>
          </w:tblCellMar>
        </w:tblPrEx>
        <w:trPr>
          <w:trHeight w:val="300" w:hRule="atLeast"/>
        </w:trPr>
        <w:tc>
          <w:tcPr>
            <w:tcW w:w="4639"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9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42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586"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2020年度</w:t>
            </w:r>
          </w:p>
        </w:tc>
        <w:tc>
          <w:tcPr>
            <w:tcW w:w="65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65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71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85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393"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Layout w:type="fixed"/>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42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本年收入合计</w:t>
            </w:r>
          </w:p>
        </w:tc>
        <w:tc>
          <w:tcPr>
            <w:tcW w:w="158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财政拨款收入</w:t>
            </w:r>
          </w:p>
        </w:tc>
        <w:tc>
          <w:tcPr>
            <w:tcW w:w="6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上级补助收入</w:t>
            </w:r>
          </w:p>
        </w:tc>
        <w:tc>
          <w:tcPr>
            <w:tcW w:w="6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事业收入</w:t>
            </w:r>
          </w:p>
        </w:tc>
        <w:tc>
          <w:tcPr>
            <w:tcW w:w="71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经营收入</w:t>
            </w:r>
          </w:p>
        </w:tc>
        <w:tc>
          <w:tcPr>
            <w:tcW w:w="85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附属单位上缴收入</w:t>
            </w:r>
          </w:p>
        </w:tc>
        <w:tc>
          <w:tcPr>
            <w:tcW w:w="139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其他收入</w:t>
            </w:r>
          </w:p>
        </w:tc>
      </w:tr>
      <w:tr>
        <w:tblPrEx>
          <w:tblLayout w:type="fixed"/>
          <w:tblCellMar>
            <w:top w:w="0" w:type="dxa"/>
            <w:left w:w="0" w:type="dxa"/>
            <w:bottom w:w="0" w:type="dxa"/>
            <w:right w:w="0" w:type="dxa"/>
          </w:tblCellMar>
        </w:tblPrEx>
        <w:trPr>
          <w:trHeight w:val="319" w:hRule="atLeast"/>
        </w:trPr>
        <w:tc>
          <w:tcPr>
            <w:tcW w:w="4739"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功能分类科目编码</w:t>
            </w:r>
          </w:p>
        </w:tc>
        <w:tc>
          <w:tcPr>
            <w:tcW w:w="179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4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58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3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19" w:hRule="atLeast"/>
        </w:trPr>
        <w:tc>
          <w:tcPr>
            <w:tcW w:w="4739"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4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58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3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19" w:hRule="atLeast"/>
        </w:trPr>
        <w:tc>
          <w:tcPr>
            <w:tcW w:w="4739"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4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58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3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42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58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6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6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71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85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39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r>
      <w:tr>
        <w:tblPrEx>
          <w:tblLayout w:type="fixed"/>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4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972900.00</w:t>
            </w:r>
          </w:p>
        </w:tc>
        <w:tc>
          <w:tcPr>
            <w:tcW w:w="158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972900.00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7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39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201</w:t>
            </w:r>
          </w:p>
        </w:tc>
        <w:tc>
          <w:tcPr>
            <w:tcW w:w="179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一般公共服务支出</w:t>
            </w:r>
          </w:p>
        </w:tc>
        <w:tc>
          <w:tcPr>
            <w:tcW w:w="14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942900.00</w:t>
            </w:r>
          </w:p>
        </w:tc>
        <w:tc>
          <w:tcPr>
            <w:tcW w:w="158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942900.00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7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3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203</w:t>
            </w:r>
          </w:p>
        </w:tc>
        <w:tc>
          <w:tcPr>
            <w:tcW w:w="179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国防支出</w:t>
            </w:r>
          </w:p>
        </w:tc>
        <w:tc>
          <w:tcPr>
            <w:tcW w:w="14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30000.00</w:t>
            </w:r>
          </w:p>
        </w:tc>
        <w:tc>
          <w:tcPr>
            <w:tcW w:w="158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7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3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20306</w:t>
            </w:r>
          </w:p>
        </w:tc>
        <w:tc>
          <w:tcPr>
            <w:tcW w:w="179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国防动员</w:t>
            </w:r>
          </w:p>
        </w:tc>
        <w:tc>
          <w:tcPr>
            <w:tcW w:w="14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30000.00</w:t>
            </w:r>
          </w:p>
        </w:tc>
        <w:tc>
          <w:tcPr>
            <w:tcW w:w="158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7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3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2030601</w:t>
            </w:r>
          </w:p>
        </w:tc>
        <w:tc>
          <w:tcPr>
            <w:tcW w:w="179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widowControl/>
              <w:jc w:val="center"/>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兵役征集</w:t>
            </w:r>
          </w:p>
        </w:tc>
        <w:tc>
          <w:tcPr>
            <w:tcW w:w="14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30000.00</w:t>
            </w:r>
          </w:p>
        </w:tc>
        <w:tc>
          <w:tcPr>
            <w:tcW w:w="158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30000.00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7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139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13819" w:type="dxa"/>
            <w:gridSpan w:val="11"/>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注：本表反映部门本年度取得的各项收入情况。</w:t>
            </w:r>
          </w:p>
        </w:tc>
      </w:tr>
    </w:tbl>
    <w:p>
      <w:pPr>
        <w:jc w:val="center"/>
      </w:pPr>
    </w:p>
    <w:p/>
    <w:p>
      <w:pPr>
        <w:jc w:val="center"/>
      </w:pPr>
    </w:p>
    <w:tbl>
      <w:tblPr>
        <w:tblStyle w:val="9"/>
        <w:tblW w:w="13865" w:type="dxa"/>
        <w:tblInd w:w="0" w:type="dxa"/>
        <w:tblLayout w:type="fixed"/>
        <w:tblCellMar>
          <w:top w:w="0" w:type="dxa"/>
          <w:left w:w="0" w:type="dxa"/>
          <w:bottom w:w="0" w:type="dxa"/>
          <w:right w:w="0" w:type="dxa"/>
        </w:tblCellMar>
      </w:tblPr>
      <w:tblGrid>
        <w:gridCol w:w="4640"/>
        <w:gridCol w:w="50"/>
        <w:gridCol w:w="50"/>
        <w:gridCol w:w="1796"/>
        <w:gridCol w:w="1514"/>
        <w:gridCol w:w="1474"/>
        <w:gridCol w:w="714"/>
        <w:gridCol w:w="852"/>
        <w:gridCol w:w="910"/>
        <w:gridCol w:w="1865"/>
      </w:tblGrid>
      <w:tr>
        <w:tblPrEx>
          <w:tblLayout w:type="fixed"/>
          <w:tblCellMar>
            <w:top w:w="0" w:type="dxa"/>
            <w:left w:w="0" w:type="dxa"/>
            <w:bottom w:w="0" w:type="dxa"/>
            <w:right w:w="0" w:type="dxa"/>
          </w:tblCellMar>
        </w:tblPrEx>
        <w:trPr>
          <w:trHeight w:val="638" w:hRule="atLeast"/>
        </w:trPr>
        <w:tc>
          <w:tcPr>
            <w:tcW w:w="13865" w:type="dxa"/>
            <w:gridSpan w:val="10"/>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支出决算表</w:t>
            </w:r>
          </w:p>
        </w:tc>
      </w:tr>
      <w:tr>
        <w:tblPrEx>
          <w:tblLayout w:type="fixed"/>
          <w:tblCellMar>
            <w:top w:w="0" w:type="dxa"/>
            <w:left w:w="0" w:type="dxa"/>
            <w:bottom w:w="0" w:type="dxa"/>
            <w:right w:w="0" w:type="dxa"/>
          </w:tblCellMar>
        </w:tblPrEx>
        <w:trPr>
          <w:trHeight w:val="638" w:hRule="atLeast"/>
        </w:trPr>
        <w:tc>
          <w:tcPr>
            <w:tcW w:w="13865" w:type="dxa"/>
            <w:gridSpan w:val="10"/>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Layout w:type="fixed"/>
          <w:tblCellMar>
            <w:top w:w="0" w:type="dxa"/>
            <w:left w:w="0" w:type="dxa"/>
            <w:bottom w:w="0" w:type="dxa"/>
            <w:right w:w="0" w:type="dxa"/>
          </w:tblCellMar>
        </w:tblPrEx>
        <w:trPr>
          <w:trHeight w:val="300" w:hRule="atLeast"/>
        </w:trPr>
        <w:tc>
          <w:tcPr>
            <w:tcW w:w="464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9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51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47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71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852"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91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865"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公开03表</w:t>
            </w:r>
          </w:p>
        </w:tc>
      </w:tr>
      <w:tr>
        <w:tblPrEx>
          <w:tblLayout w:type="fixed"/>
          <w:tblCellMar>
            <w:top w:w="0" w:type="dxa"/>
            <w:left w:w="0" w:type="dxa"/>
            <w:bottom w:w="0" w:type="dxa"/>
            <w:right w:w="0" w:type="dxa"/>
          </w:tblCellMar>
        </w:tblPrEx>
        <w:trPr>
          <w:trHeight w:val="300" w:hRule="atLeast"/>
        </w:trPr>
        <w:tc>
          <w:tcPr>
            <w:tcW w:w="464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9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514"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2020年度</w:t>
            </w:r>
          </w:p>
        </w:tc>
        <w:tc>
          <w:tcPr>
            <w:tcW w:w="147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71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85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91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865"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Layout w:type="fixed"/>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51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本年支出合计</w:t>
            </w:r>
          </w:p>
        </w:tc>
        <w:tc>
          <w:tcPr>
            <w:tcW w:w="147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基本支出</w:t>
            </w:r>
          </w:p>
        </w:tc>
        <w:tc>
          <w:tcPr>
            <w:tcW w:w="71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项目支出</w:t>
            </w:r>
          </w:p>
        </w:tc>
        <w:tc>
          <w:tcPr>
            <w:tcW w:w="85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上缴上级支出</w:t>
            </w:r>
          </w:p>
        </w:tc>
        <w:tc>
          <w:tcPr>
            <w:tcW w:w="91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经营支出</w:t>
            </w:r>
          </w:p>
        </w:tc>
        <w:tc>
          <w:tcPr>
            <w:tcW w:w="186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对附属单位补助支出</w:t>
            </w:r>
          </w:p>
        </w:tc>
      </w:tr>
      <w:tr>
        <w:tblPrEx>
          <w:tblLayout w:type="fixed"/>
          <w:tblCellMar>
            <w:top w:w="0" w:type="dxa"/>
            <w:left w:w="0" w:type="dxa"/>
            <w:bottom w:w="0" w:type="dxa"/>
            <w:right w:w="0" w:type="dxa"/>
          </w:tblCellMar>
        </w:tblPrEx>
        <w:trPr>
          <w:trHeight w:val="319" w:hRule="atLeast"/>
        </w:trPr>
        <w:tc>
          <w:tcPr>
            <w:tcW w:w="4740"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功能分类科目编码</w:t>
            </w:r>
          </w:p>
        </w:tc>
        <w:tc>
          <w:tcPr>
            <w:tcW w:w="1796"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5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8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5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8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5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8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51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4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71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85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91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86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r>
      <w:tr>
        <w:tblPrEx>
          <w:tblLayout w:type="fixed"/>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5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972900.00</w:t>
            </w:r>
          </w:p>
        </w:tc>
        <w:tc>
          <w:tcPr>
            <w:tcW w:w="14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972900.00</w:t>
            </w:r>
          </w:p>
        </w:tc>
        <w:tc>
          <w:tcPr>
            <w:tcW w:w="7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201</w:t>
            </w:r>
          </w:p>
        </w:tc>
        <w:tc>
          <w:tcPr>
            <w:tcW w:w="17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一般公共服务支出</w:t>
            </w:r>
          </w:p>
        </w:tc>
        <w:tc>
          <w:tcPr>
            <w:tcW w:w="15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942900.00</w:t>
            </w:r>
          </w:p>
        </w:tc>
        <w:tc>
          <w:tcPr>
            <w:tcW w:w="147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942900.00</w:t>
            </w:r>
          </w:p>
        </w:tc>
        <w:tc>
          <w:tcPr>
            <w:tcW w:w="7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203</w:t>
            </w:r>
          </w:p>
        </w:tc>
        <w:tc>
          <w:tcPr>
            <w:tcW w:w="17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国防支出</w:t>
            </w:r>
          </w:p>
        </w:tc>
        <w:tc>
          <w:tcPr>
            <w:tcW w:w="15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30000.00</w:t>
            </w:r>
          </w:p>
        </w:tc>
        <w:tc>
          <w:tcPr>
            <w:tcW w:w="147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w:t>
            </w:r>
          </w:p>
        </w:tc>
        <w:tc>
          <w:tcPr>
            <w:tcW w:w="7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20306</w:t>
            </w:r>
          </w:p>
        </w:tc>
        <w:tc>
          <w:tcPr>
            <w:tcW w:w="17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国防动员</w:t>
            </w:r>
          </w:p>
        </w:tc>
        <w:tc>
          <w:tcPr>
            <w:tcW w:w="15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30000.00</w:t>
            </w:r>
          </w:p>
        </w:tc>
        <w:tc>
          <w:tcPr>
            <w:tcW w:w="147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30000</w:t>
            </w:r>
          </w:p>
        </w:tc>
        <w:tc>
          <w:tcPr>
            <w:tcW w:w="7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203061</w:t>
            </w:r>
          </w:p>
        </w:tc>
        <w:tc>
          <w:tcPr>
            <w:tcW w:w="179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widowControl/>
              <w:jc w:val="center"/>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兵役征集</w:t>
            </w:r>
          </w:p>
        </w:tc>
        <w:tc>
          <w:tcPr>
            <w:tcW w:w="15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30000.00</w:t>
            </w:r>
          </w:p>
        </w:tc>
        <w:tc>
          <w:tcPr>
            <w:tcW w:w="14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30000.00</w:t>
            </w:r>
          </w:p>
        </w:tc>
        <w:tc>
          <w:tcPr>
            <w:tcW w:w="7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13865" w:type="dxa"/>
            <w:gridSpan w:val="10"/>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注：本表反映部门本年度各项支出情况。</w:t>
            </w:r>
          </w:p>
        </w:tc>
      </w:tr>
    </w:tbl>
    <w:p/>
    <w:tbl>
      <w:tblPr>
        <w:tblStyle w:val="9"/>
        <w:tblW w:w="13854" w:type="dxa"/>
        <w:tblInd w:w="0" w:type="dxa"/>
        <w:tblLayout w:type="fixed"/>
        <w:tblCellMar>
          <w:top w:w="0" w:type="dxa"/>
          <w:left w:w="0" w:type="dxa"/>
          <w:bottom w:w="0" w:type="dxa"/>
          <w:right w:w="0" w:type="dxa"/>
        </w:tblCellMar>
      </w:tblPr>
      <w:tblGrid>
        <w:gridCol w:w="2719"/>
        <w:gridCol w:w="877"/>
        <w:gridCol w:w="1684"/>
        <w:gridCol w:w="2747"/>
        <w:gridCol w:w="957"/>
        <w:gridCol w:w="1454"/>
        <w:gridCol w:w="1708"/>
        <w:gridCol w:w="1708"/>
      </w:tblGrid>
      <w:tr>
        <w:tblPrEx>
          <w:tblLayout w:type="fixed"/>
          <w:tblCellMar>
            <w:top w:w="0" w:type="dxa"/>
            <w:left w:w="0" w:type="dxa"/>
            <w:bottom w:w="0" w:type="dxa"/>
            <w:right w:w="0" w:type="dxa"/>
          </w:tblCellMar>
        </w:tblPrEx>
        <w:trPr>
          <w:trHeight w:val="638" w:hRule="atLeast"/>
        </w:trPr>
        <w:tc>
          <w:tcPr>
            <w:tcW w:w="13854" w:type="dxa"/>
            <w:gridSpan w:val="8"/>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r>
              <w:rPr>
                <w:rFonts w:hint="eastAsia" w:ascii="黑体" w:hAnsi="宋体" w:eastAsia="黑体" w:cs="黑体"/>
                <w:color w:val="000000"/>
                <w:sz w:val="30"/>
                <w:szCs w:val="30"/>
              </w:rPr>
              <w:t>财政拨款收支出决算总表</w:t>
            </w:r>
          </w:p>
        </w:tc>
      </w:tr>
      <w:tr>
        <w:tblPrEx>
          <w:tblLayout w:type="fixed"/>
          <w:tblCellMar>
            <w:top w:w="0" w:type="dxa"/>
            <w:left w:w="0" w:type="dxa"/>
            <w:bottom w:w="0" w:type="dxa"/>
            <w:right w:w="0" w:type="dxa"/>
          </w:tblCellMar>
        </w:tblPrEx>
        <w:trPr>
          <w:trHeight w:val="300" w:hRule="atLeast"/>
        </w:trPr>
        <w:tc>
          <w:tcPr>
            <w:tcW w:w="271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87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68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74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95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45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公开04表</w:t>
            </w:r>
          </w:p>
        </w:tc>
      </w:tr>
      <w:tr>
        <w:tblPrEx>
          <w:tblLayout w:type="fixed"/>
          <w:tblCellMar>
            <w:top w:w="0" w:type="dxa"/>
            <w:left w:w="0" w:type="dxa"/>
            <w:bottom w:w="0" w:type="dxa"/>
            <w:right w:w="0" w:type="dxa"/>
          </w:tblCellMar>
        </w:tblPrEx>
        <w:trPr>
          <w:trHeight w:val="300" w:hRule="atLeast"/>
        </w:trPr>
        <w:tc>
          <w:tcPr>
            <w:tcW w:w="2719"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87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68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747"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2020年度</w:t>
            </w:r>
          </w:p>
        </w:tc>
        <w:tc>
          <w:tcPr>
            <w:tcW w:w="9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45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Layout w:type="fixed"/>
          <w:tblCellMar>
            <w:top w:w="0" w:type="dxa"/>
            <w:left w:w="0" w:type="dxa"/>
            <w:bottom w:w="0" w:type="dxa"/>
            <w:right w:w="0" w:type="dxa"/>
          </w:tblCellMar>
        </w:tblPrEx>
        <w:trPr>
          <w:trHeight w:val="300" w:hRule="atLeast"/>
        </w:trPr>
        <w:tc>
          <w:tcPr>
            <w:tcW w:w="528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收     入</w:t>
            </w:r>
          </w:p>
        </w:tc>
        <w:tc>
          <w:tcPr>
            <w:tcW w:w="8574"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支     出</w:t>
            </w:r>
          </w:p>
        </w:tc>
      </w:tr>
      <w:tr>
        <w:tblPrEx>
          <w:tblLayout w:type="fixed"/>
          <w:tblCellMar>
            <w:top w:w="0" w:type="dxa"/>
            <w:left w:w="0" w:type="dxa"/>
            <w:bottom w:w="0" w:type="dxa"/>
            <w:right w:w="0" w:type="dxa"/>
          </w:tblCellMar>
        </w:tblPrEx>
        <w:trPr>
          <w:trHeight w:val="319" w:hRule="atLeast"/>
        </w:trPr>
        <w:tc>
          <w:tcPr>
            <w:tcW w:w="2719"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87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68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c>
          <w:tcPr>
            <w:tcW w:w="274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95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454"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一般公共预算财政拨款</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政府性基金预算财政拨款</w:t>
            </w:r>
          </w:p>
        </w:tc>
      </w:tr>
      <w:tr>
        <w:tblPrEx>
          <w:tblLayout w:type="fixed"/>
          <w:tblCellMar>
            <w:top w:w="0" w:type="dxa"/>
            <w:left w:w="0" w:type="dxa"/>
            <w:bottom w:w="0" w:type="dxa"/>
            <w:right w:w="0" w:type="dxa"/>
          </w:tblCellMar>
        </w:tblPrEx>
        <w:trPr>
          <w:trHeight w:val="600" w:hRule="atLeast"/>
        </w:trPr>
        <w:tc>
          <w:tcPr>
            <w:tcW w:w="271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rPr>
                <w:rFonts w:ascii="宋体" w:hAnsi="宋体" w:eastAsia="宋体" w:cs="宋体"/>
                <w:color w:val="000000"/>
                <w:sz w:val="20"/>
                <w:szCs w:val="20"/>
              </w:rPr>
            </w:pPr>
          </w:p>
        </w:tc>
        <w:tc>
          <w:tcPr>
            <w:tcW w:w="8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6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74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rPr>
                <w:rFonts w:ascii="宋体" w:hAnsi="宋体" w:eastAsia="宋体" w:cs="宋体"/>
                <w:color w:val="000000"/>
                <w:sz w:val="20"/>
                <w:szCs w:val="20"/>
              </w:rPr>
            </w:pPr>
          </w:p>
        </w:tc>
        <w:tc>
          <w:tcPr>
            <w:tcW w:w="95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54"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6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一、一般公共服务支出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942900.00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942900.00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二、外交支出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三、国防支出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30000.00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30000.00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四、公共安全支出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五、教育支出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六、科学技术支出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七、文化旅游体育与传媒支出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八、社会保障和就业支出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九、卫生健康支出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十、节能环保支出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十一、城乡社区支出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十二、农林水支出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十三、交通运输支出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十四、资源勘探信息等支出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十五、商业服务业等支出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十六、金融支出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十七、援助其他地区支出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十八、自然资源海洋气象等支出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十九、住房保障支出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二十、粮油物资储备支出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二十一、灾害防治及应急管理支出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二十二、其他支出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本年收入合计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本年支出合计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年初财政拨款结转和结余</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年末财政拨款结转和结余</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972900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13854" w:type="dxa"/>
            <w:gridSpan w:val="8"/>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注：本表反映部门本年度一般公共预算财政拨款和政府性基金预算财政拨款的总收支和年末结转结余情况。</w:t>
            </w:r>
          </w:p>
        </w:tc>
      </w:tr>
    </w:tbl>
    <w:p/>
    <w:p/>
    <w:tbl>
      <w:tblPr>
        <w:tblStyle w:val="9"/>
        <w:tblW w:w="13934" w:type="dxa"/>
        <w:tblInd w:w="0" w:type="dxa"/>
        <w:tblLayout w:type="fixed"/>
        <w:tblCellMar>
          <w:top w:w="0" w:type="dxa"/>
          <w:left w:w="0" w:type="dxa"/>
          <w:bottom w:w="0" w:type="dxa"/>
          <w:right w:w="0" w:type="dxa"/>
        </w:tblCellMar>
      </w:tblPr>
      <w:tblGrid>
        <w:gridCol w:w="4640"/>
        <w:gridCol w:w="50"/>
        <w:gridCol w:w="50"/>
        <w:gridCol w:w="2446"/>
        <w:gridCol w:w="2429"/>
        <w:gridCol w:w="2189"/>
        <w:gridCol w:w="2130"/>
      </w:tblGrid>
      <w:tr>
        <w:tblPrEx>
          <w:tblLayout w:type="fixed"/>
          <w:tblCellMar>
            <w:top w:w="0" w:type="dxa"/>
            <w:left w:w="0" w:type="dxa"/>
            <w:bottom w:w="0" w:type="dxa"/>
            <w:right w:w="0" w:type="dxa"/>
          </w:tblCellMar>
        </w:tblPrEx>
        <w:trPr>
          <w:trHeight w:val="638" w:hRule="atLeast"/>
        </w:trPr>
        <w:tc>
          <w:tcPr>
            <w:tcW w:w="13934" w:type="dxa"/>
            <w:gridSpan w:val="7"/>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一般公共预算财政拨款支出决算表</w:t>
            </w:r>
          </w:p>
        </w:tc>
      </w:tr>
      <w:tr>
        <w:tblPrEx>
          <w:tblLayout w:type="fixed"/>
          <w:tblCellMar>
            <w:top w:w="0" w:type="dxa"/>
            <w:left w:w="0" w:type="dxa"/>
            <w:bottom w:w="0" w:type="dxa"/>
            <w:right w:w="0" w:type="dxa"/>
          </w:tblCellMar>
        </w:tblPrEx>
        <w:trPr>
          <w:trHeight w:val="638" w:hRule="atLeast"/>
        </w:trPr>
        <w:tc>
          <w:tcPr>
            <w:tcW w:w="13934" w:type="dxa"/>
            <w:gridSpan w:val="7"/>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Layout w:type="fixed"/>
          <w:tblCellMar>
            <w:top w:w="0" w:type="dxa"/>
            <w:left w:w="0" w:type="dxa"/>
            <w:bottom w:w="0" w:type="dxa"/>
            <w:right w:w="0" w:type="dxa"/>
          </w:tblCellMar>
        </w:tblPrEx>
        <w:trPr>
          <w:trHeight w:val="300" w:hRule="atLeast"/>
        </w:trPr>
        <w:tc>
          <w:tcPr>
            <w:tcW w:w="464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44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42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18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130"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公开05表</w:t>
            </w:r>
          </w:p>
        </w:tc>
      </w:tr>
      <w:tr>
        <w:tblPrEx>
          <w:tblLayout w:type="fixed"/>
          <w:tblCellMar>
            <w:top w:w="0" w:type="dxa"/>
            <w:left w:w="0" w:type="dxa"/>
            <w:bottom w:w="0" w:type="dxa"/>
            <w:right w:w="0" w:type="dxa"/>
          </w:tblCellMar>
        </w:tblPrEx>
        <w:trPr>
          <w:trHeight w:val="300" w:hRule="atLeast"/>
        </w:trPr>
        <w:tc>
          <w:tcPr>
            <w:tcW w:w="464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446"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2020年度</w:t>
            </w:r>
          </w:p>
        </w:tc>
        <w:tc>
          <w:tcPr>
            <w:tcW w:w="242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18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13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Layout w:type="fixed"/>
          <w:tblCellMar>
            <w:top w:w="0" w:type="dxa"/>
            <w:left w:w="0" w:type="dxa"/>
            <w:bottom w:w="0" w:type="dxa"/>
            <w:right w:w="0" w:type="dxa"/>
          </w:tblCellMar>
        </w:tblPrEx>
        <w:trPr>
          <w:trHeight w:val="300" w:hRule="atLeast"/>
        </w:trPr>
        <w:tc>
          <w:tcPr>
            <w:tcW w:w="718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6748"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本年支出</w:t>
            </w:r>
          </w:p>
        </w:tc>
      </w:tr>
      <w:tr>
        <w:tblPrEx>
          <w:tblLayout w:type="fixed"/>
          <w:tblCellMar>
            <w:top w:w="0" w:type="dxa"/>
            <w:left w:w="0" w:type="dxa"/>
            <w:bottom w:w="0" w:type="dxa"/>
            <w:right w:w="0" w:type="dxa"/>
          </w:tblCellMar>
        </w:tblPrEx>
        <w:trPr>
          <w:trHeight w:val="319" w:hRule="atLeast"/>
        </w:trPr>
        <w:tc>
          <w:tcPr>
            <w:tcW w:w="4740"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功能分类科目编码</w:t>
            </w:r>
          </w:p>
        </w:tc>
        <w:tc>
          <w:tcPr>
            <w:tcW w:w="2446"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242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小计</w:t>
            </w:r>
          </w:p>
        </w:tc>
        <w:tc>
          <w:tcPr>
            <w:tcW w:w="218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基本支出</w:t>
            </w:r>
          </w:p>
        </w:tc>
        <w:tc>
          <w:tcPr>
            <w:tcW w:w="21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项目支出</w:t>
            </w:r>
          </w:p>
        </w:tc>
      </w:tr>
      <w:tr>
        <w:tblPrEx>
          <w:tblLayout w:type="fixed"/>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44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242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44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242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718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r>
      <w:tr>
        <w:tblPrEx>
          <w:tblLayout w:type="fixed"/>
          <w:tblCellMar>
            <w:top w:w="0" w:type="dxa"/>
            <w:left w:w="0" w:type="dxa"/>
            <w:bottom w:w="0" w:type="dxa"/>
            <w:right w:w="0" w:type="dxa"/>
          </w:tblCellMar>
        </w:tblPrEx>
        <w:trPr>
          <w:trHeight w:val="300" w:hRule="atLeast"/>
        </w:trPr>
        <w:tc>
          <w:tcPr>
            <w:tcW w:w="718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242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972900.00</w:t>
            </w:r>
          </w:p>
        </w:tc>
        <w:tc>
          <w:tcPr>
            <w:tcW w:w="21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972900.00</w:t>
            </w:r>
          </w:p>
        </w:tc>
        <w:tc>
          <w:tcPr>
            <w:tcW w:w="21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201</w:t>
            </w:r>
          </w:p>
        </w:tc>
        <w:tc>
          <w:tcPr>
            <w:tcW w:w="24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一般公共服务支出</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942900.00</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942900.00</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203</w:t>
            </w:r>
          </w:p>
        </w:tc>
        <w:tc>
          <w:tcPr>
            <w:tcW w:w="24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国防支出</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30000.00</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30000.00</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20306</w:t>
            </w:r>
          </w:p>
        </w:tc>
        <w:tc>
          <w:tcPr>
            <w:tcW w:w="24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国防动员</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30000.00</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30000.00</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Layout w:type="fixed"/>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203061</w:t>
            </w:r>
          </w:p>
        </w:tc>
        <w:tc>
          <w:tcPr>
            <w:tcW w:w="244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兵役征集</w:t>
            </w:r>
          </w:p>
        </w:tc>
        <w:tc>
          <w:tcPr>
            <w:tcW w:w="242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30000.00</w:t>
            </w:r>
          </w:p>
        </w:tc>
        <w:tc>
          <w:tcPr>
            <w:tcW w:w="21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30000.00</w:t>
            </w:r>
          </w:p>
        </w:tc>
        <w:tc>
          <w:tcPr>
            <w:tcW w:w="21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Layout w:type="fixed"/>
          <w:tblCellMar>
            <w:top w:w="0" w:type="dxa"/>
            <w:left w:w="0" w:type="dxa"/>
            <w:bottom w:w="0" w:type="dxa"/>
            <w:right w:w="0" w:type="dxa"/>
          </w:tblCellMar>
        </w:tblPrEx>
        <w:trPr>
          <w:trHeight w:val="300" w:hRule="atLeast"/>
        </w:trPr>
        <w:tc>
          <w:tcPr>
            <w:tcW w:w="13934" w:type="dxa"/>
            <w:gridSpan w:val="7"/>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注：本表反映部门本年度一般公共预算财政拨款支出情况。</w:t>
            </w:r>
          </w:p>
        </w:tc>
      </w:tr>
    </w:tbl>
    <w:p/>
    <w:tbl>
      <w:tblPr>
        <w:tblStyle w:val="9"/>
        <w:tblW w:w="13988" w:type="dxa"/>
        <w:tblInd w:w="0" w:type="dxa"/>
        <w:tblLayout w:type="fixed"/>
        <w:tblCellMar>
          <w:top w:w="0" w:type="dxa"/>
          <w:left w:w="0" w:type="dxa"/>
          <w:bottom w:w="0" w:type="dxa"/>
          <w:right w:w="0" w:type="dxa"/>
        </w:tblCellMar>
      </w:tblPr>
      <w:tblGrid>
        <w:gridCol w:w="757"/>
        <w:gridCol w:w="2516"/>
        <w:gridCol w:w="1269"/>
        <w:gridCol w:w="1269"/>
        <w:gridCol w:w="2066"/>
        <w:gridCol w:w="1211"/>
        <w:gridCol w:w="750"/>
        <w:gridCol w:w="2550"/>
        <w:gridCol w:w="1600"/>
      </w:tblGrid>
      <w:tr>
        <w:tblPrEx>
          <w:tblLayout w:type="fixed"/>
          <w:tblCellMar>
            <w:top w:w="0" w:type="dxa"/>
            <w:left w:w="0" w:type="dxa"/>
            <w:bottom w:w="0" w:type="dxa"/>
            <w:right w:w="0" w:type="dxa"/>
          </w:tblCellMar>
        </w:tblPrEx>
        <w:trPr>
          <w:trHeight w:val="638" w:hRule="atLeast"/>
        </w:trPr>
        <w:tc>
          <w:tcPr>
            <w:tcW w:w="13988" w:type="dxa"/>
            <w:gridSpan w:val="9"/>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一般公共预算财政拨款基本支出决算表</w:t>
            </w:r>
          </w:p>
        </w:tc>
      </w:tr>
      <w:tr>
        <w:tblPrEx>
          <w:tblLayout w:type="fixed"/>
          <w:tblCellMar>
            <w:top w:w="0" w:type="dxa"/>
            <w:left w:w="0" w:type="dxa"/>
            <w:bottom w:w="0" w:type="dxa"/>
            <w:right w:w="0" w:type="dxa"/>
          </w:tblCellMar>
        </w:tblPrEx>
        <w:trPr>
          <w:trHeight w:val="638" w:hRule="atLeast"/>
        </w:trPr>
        <w:tc>
          <w:tcPr>
            <w:tcW w:w="13988" w:type="dxa"/>
            <w:gridSpan w:val="9"/>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Layout w:type="fixed"/>
          <w:tblCellMar>
            <w:top w:w="0" w:type="dxa"/>
            <w:left w:w="0" w:type="dxa"/>
            <w:bottom w:w="0" w:type="dxa"/>
            <w:right w:w="0" w:type="dxa"/>
          </w:tblCellMar>
        </w:tblPrEx>
        <w:trPr>
          <w:trHeight w:val="300" w:hRule="atLeast"/>
        </w:trPr>
        <w:tc>
          <w:tcPr>
            <w:tcW w:w="75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51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6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6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06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11"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7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5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600"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公开06表</w:t>
            </w:r>
          </w:p>
        </w:tc>
      </w:tr>
      <w:tr>
        <w:tblPrEx>
          <w:tblLayout w:type="fixed"/>
          <w:tblCellMar>
            <w:top w:w="0" w:type="dxa"/>
            <w:left w:w="0" w:type="dxa"/>
            <w:bottom w:w="0" w:type="dxa"/>
            <w:right w:w="0" w:type="dxa"/>
          </w:tblCellMar>
        </w:tblPrEx>
        <w:trPr>
          <w:trHeight w:val="300" w:hRule="atLeast"/>
        </w:trPr>
        <w:tc>
          <w:tcPr>
            <w:tcW w:w="4542"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r>
              <w:rPr>
                <w:rFonts w:hint="eastAsia" w:ascii="宋体" w:hAnsi="宋体" w:eastAsia="宋体" w:cs="宋体"/>
                <w:color w:val="000000"/>
                <w:kern w:val="0"/>
                <w:sz w:val="22"/>
                <w:szCs w:val="22"/>
              </w:rPr>
              <w:t>部门：黄石市黄石港区人民武装部</w:t>
            </w:r>
          </w:p>
        </w:tc>
        <w:tc>
          <w:tcPr>
            <w:tcW w:w="126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066"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2020年度</w:t>
            </w:r>
          </w:p>
        </w:tc>
        <w:tc>
          <w:tcPr>
            <w:tcW w:w="121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7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5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60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Layout w:type="fixed"/>
          <w:tblCellMar>
            <w:top w:w="0" w:type="dxa"/>
            <w:left w:w="0" w:type="dxa"/>
            <w:bottom w:w="0" w:type="dxa"/>
            <w:right w:w="0" w:type="dxa"/>
          </w:tblCellMar>
        </w:tblPrEx>
        <w:trPr>
          <w:trHeight w:val="300" w:hRule="atLeast"/>
        </w:trPr>
        <w:tc>
          <w:tcPr>
            <w:tcW w:w="454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人员经费</w:t>
            </w:r>
          </w:p>
        </w:tc>
        <w:tc>
          <w:tcPr>
            <w:tcW w:w="9446"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公用经费</w:t>
            </w:r>
          </w:p>
        </w:tc>
      </w:tr>
      <w:tr>
        <w:tblPrEx>
          <w:tblLayout w:type="fixed"/>
          <w:tblCellMar>
            <w:top w:w="0" w:type="dxa"/>
            <w:left w:w="0" w:type="dxa"/>
            <w:bottom w:w="0" w:type="dxa"/>
            <w:right w:w="0" w:type="dxa"/>
          </w:tblCellMar>
        </w:tblPrEx>
        <w:trPr>
          <w:trHeight w:val="319" w:hRule="atLeast"/>
        </w:trPr>
        <w:tc>
          <w:tcPr>
            <w:tcW w:w="757"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51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2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c>
          <w:tcPr>
            <w:tcW w:w="12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06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21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c>
          <w:tcPr>
            <w:tcW w:w="7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5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6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r>
      <w:tr>
        <w:tblPrEx>
          <w:tblLayout w:type="fixed"/>
          <w:tblCellMar>
            <w:top w:w="0" w:type="dxa"/>
            <w:left w:w="0" w:type="dxa"/>
            <w:bottom w:w="0" w:type="dxa"/>
            <w:right w:w="0" w:type="dxa"/>
          </w:tblCellMar>
        </w:tblPrEx>
        <w:trPr>
          <w:trHeight w:val="319" w:hRule="atLeast"/>
        </w:trPr>
        <w:tc>
          <w:tcPr>
            <w:tcW w:w="757"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51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2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2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06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21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5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6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工资福利支出</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200000.00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商品和服务支出</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772900.00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债务利息及费用支出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基本工资</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100000.00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办公费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41900.00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国内债务付息</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津贴补贴</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22500.00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印刷费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12800.00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国外债务付息</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奖金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77500.00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30203</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咨询费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资本性支出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30106</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伙食补助费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手续费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房屋建筑物购建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30107</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绩效工资</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水费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办公设备购置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30108</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机关事业单位基本养老保险缴费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电费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12200.00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31003</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专用设备购置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职业年金缴费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邮电费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20700.00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31005</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基础设施建设</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30110</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职工基本医疗保险缴费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取暖费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31006</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大型修缮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公务员医疗补助缴费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物业管理费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20600.00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信息网络及软件购置更新</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其他社会保障缴费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差旅费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23000.00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31008</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物资储备</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住房公积金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因公出国（境）费用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土地补偿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30114</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医疗费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30213</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维修（护）费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21400.00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31010</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安置补助</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30199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其他工资福利支出</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租赁费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地上附着物和青苗补偿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对个人和家庭的补助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会议费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拆迁补偿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离休费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培训费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31013</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公务用车购置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退休费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公务接待费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其他交通工具购置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退职（役）费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专用材料费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文物和陈列品购置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30304</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抚恤金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被装购置费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无形资产购置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30305</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生活补助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专用燃料费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其他资本性支出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30306</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救济费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劳务费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570300.00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30307</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医疗费补助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委托业务费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39906</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赠与</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30308</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助学金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工会经费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9100.00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国家赔偿费用支出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奖励金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福利费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39908</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对民间非营利组织和群众性自治组织补贴</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30310</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个人农业生产补贴</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公务用车运行维护费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30399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其他对个人和家庭的补助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其他交通费用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17300.00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30240</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税金及附加费用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30299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其他商品和服务支出</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23000.00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Layout w:type="fixed"/>
          <w:tblCellMar>
            <w:top w:w="0" w:type="dxa"/>
            <w:left w:w="0" w:type="dxa"/>
            <w:bottom w:w="0" w:type="dxa"/>
            <w:right w:w="0" w:type="dxa"/>
          </w:tblCellMar>
        </w:tblPrEx>
        <w:trPr>
          <w:trHeight w:val="300" w:hRule="atLeast"/>
        </w:trPr>
        <w:tc>
          <w:tcPr>
            <w:tcW w:w="3273"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人员经费合计</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200000.00</w:t>
            </w:r>
          </w:p>
        </w:tc>
        <w:tc>
          <w:tcPr>
            <w:tcW w:w="7846"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公用经费合计</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772900</w:t>
            </w:r>
          </w:p>
        </w:tc>
      </w:tr>
      <w:tr>
        <w:tblPrEx>
          <w:tblLayout w:type="fixed"/>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注：本表反映部门本年度一般公共预算财政拨款基本支出明细情况。</w:t>
            </w:r>
          </w:p>
        </w:tc>
      </w:tr>
    </w:tbl>
    <w:p/>
    <w:p/>
    <w:tbl>
      <w:tblPr>
        <w:tblStyle w:val="9"/>
        <w:tblpPr w:leftFromText="180" w:rightFromText="180" w:vertAnchor="text" w:horzAnchor="page" w:tblpXSpec="center" w:tblpY="-21"/>
        <w:tblOverlap w:val="never"/>
        <w:tblW w:w="13700" w:type="dxa"/>
        <w:jc w:val="center"/>
        <w:tblInd w:w="0" w:type="dxa"/>
        <w:tblLayout w:type="fixed"/>
        <w:tblCellMar>
          <w:top w:w="0" w:type="dxa"/>
          <w:left w:w="0" w:type="dxa"/>
          <w:bottom w:w="0" w:type="dxa"/>
          <w:right w:w="0" w:type="dxa"/>
        </w:tblCellMar>
      </w:tblPr>
      <w:tblGrid>
        <w:gridCol w:w="2628"/>
        <w:gridCol w:w="2067"/>
        <w:gridCol w:w="2301"/>
        <w:gridCol w:w="1145"/>
        <w:gridCol w:w="1191"/>
        <w:gridCol w:w="1224"/>
        <w:gridCol w:w="1281"/>
        <w:gridCol w:w="1863"/>
      </w:tblGrid>
      <w:tr>
        <w:tblPrEx>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widowControl/>
              <w:jc w:val="center"/>
              <w:textAlignment w:val="bottom"/>
              <w:rPr>
                <w:rFonts w:ascii="宋体" w:hAnsi="宋体" w:eastAsia="宋体" w:cs="宋体"/>
                <w:color w:val="000000"/>
                <w:sz w:val="30"/>
                <w:szCs w:val="30"/>
              </w:rPr>
            </w:pPr>
            <w:r>
              <w:rPr>
                <w:rFonts w:hint="eastAsia" w:ascii="宋体" w:hAnsi="宋体" w:eastAsia="宋体" w:cs="宋体"/>
                <w:color w:val="000000"/>
                <w:kern w:val="0"/>
                <w:sz w:val="30"/>
                <w:szCs w:val="30"/>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公开07表</w:t>
            </w:r>
          </w:p>
        </w:tc>
      </w:tr>
      <w:tr>
        <w:tblPrEx>
          <w:tblLayout w:type="fixed"/>
          <w:tblCellMar>
            <w:top w:w="0" w:type="dxa"/>
            <w:left w:w="0" w:type="dxa"/>
            <w:bottom w:w="0" w:type="dxa"/>
            <w:right w:w="0" w:type="dxa"/>
          </w:tblCellMar>
        </w:tblPrEx>
        <w:trPr>
          <w:trHeight w:val="274" w:hRule="atLeast"/>
          <w:jc w:val="center"/>
        </w:trPr>
        <w:tc>
          <w:tcPr>
            <w:tcW w:w="4695"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ascii="宋体" w:hAnsi="宋体" w:eastAsia="宋体" w:cs="宋体"/>
                <w:color w:val="000000"/>
                <w:sz w:val="18"/>
                <w:szCs w:val="18"/>
              </w:rPr>
            </w:pPr>
            <w:r>
              <w:rPr>
                <w:rFonts w:hint="eastAsia" w:ascii="宋体" w:hAnsi="宋体" w:eastAsia="宋体" w:cs="宋体"/>
                <w:color w:val="000000"/>
                <w:kern w:val="0"/>
                <w:sz w:val="22"/>
                <w:szCs w:val="22"/>
              </w:rPr>
              <w:t>部门：黄石市黄石港区人民武装部</w:t>
            </w:r>
          </w:p>
        </w:tc>
        <w:tc>
          <w:tcPr>
            <w:tcW w:w="3446"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ascii="Arial" w:hAnsi="Arial" w:cs="Arial"/>
                <w:color w:val="000000"/>
                <w:sz w:val="20"/>
                <w:szCs w:val="20"/>
              </w:rPr>
            </w:pPr>
            <w:r>
              <w:rPr>
                <w:rFonts w:hint="eastAsia" w:ascii="宋体" w:hAnsi="宋体" w:eastAsia="宋体" w:cs="宋体"/>
                <w:color w:val="000000"/>
                <w:kern w:val="0"/>
                <w:sz w:val="22"/>
                <w:szCs w:val="22"/>
              </w:rPr>
              <w:t>2020年度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Layout w:type="fixed"/>
          <w:tblCellMar>
            <w:top w:w="0" w:type="dxa"/>
            <w:left w:w="0" w:type="dxa"/>
            <w:bottom w:w="0" w:type="dxa"/>
            <w:right w:w="0" w:type="dxa"/>
          </w:tblCellMar>
        </w:tblPrEx>
        <w:trPr>
          <w:trHeight w:val="282" w:hRule="atLeast"/>
          <w:jc w:val="center"/>
        </w:trPr>
        <w:tc>
          <w:tcPr>
            <w:tcW w:w="469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项目</w:t>
            </w:r>
          </w:p>
        </w:tc>
        <w:tc>
          <w:tcPr>
            <w:tcW w:w="23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年末结转和结余</w:t>
            </w:r>
          </w:p>
        </w:tc>
      </w:tr>
      <w:tr>
        <w:tblPrEx>
          <w:tblLayout w:type="fixed"/>
          <w:tblCellMar>
            <w:top w:w="0" w:type="dxa"/>
            <w:left w:w="0" w:type="dxa"/>
            <w:bottom w:w="0" w:type="dxa"/>
            <w:right w:w="0" w:type="dxa"/>
          </w:tblCellMar>
        </w:tblPrEx>
        <w:trPr>
          <w:trHeight w:val="319"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功能分类科目编码</w:t>
            </w:r>
          </w:p>
        </w:tc>
        <w:tc>
          <w:tcPr>
            <w:tcW w:w="2067"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科目名称</w:t>
            </w: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r>
      <w:tr>
        <w:tblPrEx>
          <w:tblLayout w:type="fixed"/>
          <w:tblCellMar>
            <w:top w:w="0" w:type="dxa"/>
            <w:left w:w="0" w:type="dxa"/>
            <w:bottom w:w="0" w:type="dxa"/>
            <w:right w:w="0" w:type="dxa"/>
          </w:tblCellMar>
        </w:tblPrEx>
        <w:trPr>
          <w:trHeight w:val="319"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ascii="宋体" w:hAnsi="宋体" w:eastAsia="宋体" w:cs="宋体"/>
                <w:color w:val="000000"/>
                <w:sz w:val="22"/>
                <w:szCs w:val="22"/>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r>
      <w:tr>
        <w:tblPrEx>
          <w:tblLayout w:type="fixed"/>
          <w:tblCellMar>
            <w:top w:w="0" w:type="dxa"/>
            <w:left w:w="0" w:type="dxa"/>
            <w:bottom w:w="0" w:type="dxa"/>
            <w:right w:w="0" w:type="dxa"/>
          </w:tblCellMar>
        </w:tblPrEx>
        <w:trPr>
          <w:trHeight w:val="319"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ascii="宋体" w:hAnsi="宋体" w:eastAsia="宋体" w:cs="宋体"/>
                <w:color w:val="000000"/>
                <w:sz w:val="22"/>
                <w:szCs w:val="22"/>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r>
      <w:tr>
        <w:tblPrEx>
          <w:tblLayout w:type="fixed"/>
          <w:tblCellMar>
            <w:top w:w="0" w:type="dxa"/>
            <w:left w:w="0" w:type="dxa"/>
            <w:bottom w:w="0" w:type="dxa"/>
            <w:right w:w="0" w:type="dxa"/>
          </w:tblCellMar>
        </w:tblPrEx>
        <w:trPr>
          <w:trHeight w:val="311"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栏次</w:t>
            </w:r>
          </w:p>
        </w:tc>
        <w:tc>
          <w:tcPr>
            <w:tcW w:w="230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6</w:t>
            </w:r>
          </w:p>
        </w:tc>
      </w:tr>
      <w:tr>
        <w:tblPrEx>
          <w:tblLayout w:type="fixed"/>
          <w:tblCellMar>
            <w:top w:w="0" w:type="dxa"/>
            <w:left w:w="0" w:type="dxa"/>
            <w:bottom w:w="0" w:type="dxa"/>
            <w:right w:w="0" w:type="dxa"/>
          </w:tblCellMar>
        </w:tblPrEx>
        <w:trPr>
          <w:trHeight w:val="292"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合计</w:t>
            </w: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szCs w:val="22"/>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szCs w:val="22"/>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szCs w:val="22"/>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szCs w:val="22"/>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szCs w:val="22"/>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szCs w:val="22"/>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szCs w:val="22"/>
              </w:rPr>
            </w:pPr>
          </w:p>
        </w:tc>
        <w:tc>
          <w:tcPr>
            <w:tcW w:w="20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szCs w:val="22"/>
              </w:rPr>
            </w:pP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注：本表反映部门本年度政府性基金预算财政拨款收入、支出及结转和结余情况。</w:t>
            </w:r>
          </w:p>
        </w:tc>
      </w:tr>
    </w:tbl>
    <w:p/>
    <w:p/>
    <w:p/>
    <w:p/>
    <w:p/>
    <w:p>
      <w:pPr>
        <w:pStyle w:val="6"/>
        <w:widowControl/>
        <w:numPr>
          <w:ilvl w:val="0"/>
          <w:numId w:val="1"/>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2020年部门决算情况说明</w:t>
      </w:r>
    </w:p>
    <w:p>
      <w:pPr>
        <w:pStyle w:val="6"/>
        <w:widowControl/>
        <w:spacing w:before="76" w:beforeAutospacing="0" w:after="76" w:afterAutospacing="0" w:line="450" w:lineRule="atLeast"/>
        <w:ind w:left="420"/>
        <w:rPr>
          <w:rFonts w:ascii="微软雅黑" w:hAnsi="微软雅黑" w:eastAsia="微软雅黑" w:cs="微软雅黑"/>
          <w:b/>
          <w:bCs/>
          <w:color w:val="333333"/>
          <w:shd w:val="clear" w:color="auto" w:fill="FFFFFF"/>
        </w:rPr>
      </w:pPr>
      <w:r>
        <w:rPr>
          <w:rFonts w:hint="eastAsia" w:asciiTheme="minorEastAsia" w:hAnsiTheme="minorEastAsia" w:cstheme="minorEastAsia"/>
          <w:b/>
          <w:bCs/>
          <w:color w:val="333333"/>
          <w:sz w:val="28"/>
          <w:szCs w:val="28"/>
          <w:shd w:val="clear" w:color="auto" w:fill="FFFFFF"/>
        </w:rPr>
        <w:t>（一）预算执行情况分析</w:t>
      </w:r>
    </w:p>
    <w:p>
      <w:pPr>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单位本年度实际收到的</w:t>
      </w:r>
      <w:r>
        <w:rPr>
          <w:rFonts w:hint="eastAsia" w:ascii="仿宋_GB2312" w:hAnsi="仿宋" w:eastAsia="仿宋_GB2312" w:cs="仿宋"/>
          <w:bCs/>
          <w:sz w:val="32"/>
          <w:szCs w:val="32"/>
        </w:rPr>
        <w:t>一般</w:t>
      </w:r>
      <w:r>
        <w:rPr>
          <w:rFonts w:hint="eastAsia" w:ascii="仿宋_GB2312" w:hAnsi="仿宋" w:eastAsia="仿宋_GB2312" w:cs="仿宋"/>
          <w:sz w:val="32"/>
          <w:szCs w:val="32"/>
        </w:rPr>
        <w:t>公共预算财政拨款收入</w:t>
      </w:r>
      <w:r>
        <w:rPr>
          <w:rFonts w:hint="eastAsia" w:ascii="仿宋_GB2312" w:eastAsia="仿宋_GB2312"/>
          <w:sz w:val="32"/>
          <w:szCs w:val="32"/>
        </w:rPr>
        <w:t>97.29</w:t>
      </w:r>
      <w:r>
        <w:rPr>
          <w:rFonts w:hint="eastAsia" w:ascii="仿宋_GB2312" w:hAnsi="仿宋" w:eastAsia="仿宋_GB2312" w:cs="仿宋"/>
          <w:sz w:val="32"/>
          <w:szCs w:val="32"/>
        </w:rPr>
        <w:t>万元，比2019年</w:t>
      </w:r>
      <w:r>
        <w:rPr>
          <w:rFonts w:hint="eastAsia" w:ascii="仿宋_GB2312" w:eastAsia="仿宋_GB2312"/>
          <w:sz w:val="32"/>
          <w:szCs w:val="32"/>
        </w:rPr>
        <w:t>148.1</w:t>
      </w:r>
      <w:r>
        <w:rPr>
          <w:rFonts w:hint="eastAsia" w:ascii="仿宋_GB2312" w:hAnsi="仿宋" w:eastAsia="仿宋_GB2312" w:cs="仿宋"/>
          <w:sz w:val="32"/>
          <w:szCs w:val="32"/>
        </w:rPr>
        <w:t>万元下降50.81万元，降幅34%，</w:t>
      </w:r>
      <w:r>
        <w:rPr>
          <w:rFonts w:hint="eastAsia" w:ascii="仿宋_GB2312" w:hAnsi="仿宋" w:eastAsia="仿宋_GB2312"/>
          <w:sz w:val="32"/>
          <w:szCs w:val="32"/>
        </w:rPr>
        <w:t>全部为财政拨款。</w:t>
      </w:r>
    </w:p>
    <w:p>
      <w:pPr>
        <w:pStyle w:val="6"/>
        <w:widowControl/>
        <w:spacing w:beforeAutospacing="0" w:afterAutospacing="0"/>
        <w:ind w:firstLine="560"/>
        <w:rPr>
          <w:rFonts w:asciiTheme="minorEastAsia" w:hAnsiTheme="minorEastAsia" w:cstheme="minorEastAsia"/>
          <w:b/>
          <w:bCs/>
          <w:color w:val="333333"/>
          <w:sz w:val="28"/>
          <w:szCs w:val="28"/>
          <w:shd w:val="clear" w:color="auto" w:fill="FFFFFF"/>
        </w:rPr>
      </w:pPr>
      <w:r>
        <w:rPr>
          <w:rFonts w:hint="eastAsia" w:asciiTheme="minorEastAsia" w:hAnsiTheme="minorEastAsia" w:cstheme="minorEastAsia"/>
          <w:b/>
          <w:bCs/>
          <w:color w:val="333333"/>
          <w:sz w:val="28"/>
          <w:szCs w:val="28"/>
          <w:shd w:val="clear" w:color="auto" w:fill="FFFFFF"/>
        </w:rPr>
        <w:t>1、收入与预算对比分析</w:t>
      </w:r>
    </w:p>
    <w:p>
      <w:pPr>
        <w:snapToGrid w:val="0"/>
        <w:spacing w:line="520" w:lineRule="exact"/>
        <w:ind w:firstLine="640" w:firstLineChars="200"/>
        <w:rPr>
          <w:rFonts w:ascii="仿宋_GB2312" w:hAnsi="仿宋" w:eastAsia="仿宋_GB2312"/>
          <w:sz w:val="32"/>
          <w:szCs w:val="32"/>
        </w:rPr>
      </w:pPr>
      <w:r>
        <w:rPr>
          <w:rFonts w:ascii="仿宋_GB2312" w:hAnsi="仿宋" w:eastAsia="仿宋_GB2312"/>
          <w:sz w:val="32"/>
          <w:szCs w:val="32"/>
        </w:rPr>
        <w:t>20</w:t>
      </w:r>
      <w:r>
        <w:rPr>
          <w:rFonts w:hint="eastAsia" w:ascii="仿宋_GB2312" w:hAnsi="仿宋" w:eastAsia="仿宋_GB2312"/>
          <w:sz w:val="32"/>
          <w:szCs w:val="32"/>
        </w:rPr>
        <w:t>20</w:t>
      </w:r>
      <w:r>
        <w:rPr>
          <w:rFonts w:ascii="仿宋_GB2312" w:hAnsi="仿宋" w:eastAsia="仿宋_GB2312"/>
          <w:sz w:val="32"/>
          <w:szCs w:val="32"/>
        </w:rPr>
        <w:t>年我</w:t>
      </w:r>
      <w:r>
        <w:rPr>
          <w:rFonts w:hint="eastAsia" w:ascii="仿宋_GB2312" w:hAnsi="仿宋" w:eastAsia="仿宋_GB2312"/>
          <w:sz w:val="32"/>
          <w:szCs w:val="32"/>
        </w:rPr>
        <w:t>单位年初</w:t>
      </w:r>
      <w:r>
        <w:rPr>
          <w:rFonts w:ascii="仿宋_GB2312" w:hAnsi="仿宋" w:eastAsia="仿宋_GB2312"/>
          <w:sz w:val="32"/>
          <w:szCs w:val="32"/>
        </w:rPr>
        <w:t>预算数</w:t>
      </w:r>
      <w:r>
        <w:rPr>
          <w:rFonts w:hint="eastAsia" w:ascii="仿宋_GB2312" w:hAnsi="仿宋" w:eastAsia="仿宋_GB2312"/>
          <w:sz w:val="32"/>
          <w:szCs w:val="32"/>
        </w:rPr>
        <w:t>38.22</w:t>
      </w:r>
      <w:r>
        <w:rPr>
          <w:rFonts w:ascii="仿宋_GB2312" w:hAnsi="仿宋" w:eastAsia="仿宋_GB2312"/>
          <w:sz w:val="32"/>
          <w:szCs w:val="32"/>
        </w:rPr>
        <w:t>万元，实际</w:t>
      </w:r>
      <w:r>
        <w:rPr>
          <w:rFonts w:hint="eastAsia" w:ascii="仿宋_GB2312" w:hAnsi="仿宋" w:eastAsia="仿宋_GB2312"/>
          <w:sz w:val="32"/>
          <w:szCs w:val="32"/>
        </w:rPr>
        <w:t>总</w:t>
      </w:r>
      <w:r>
        <w:rPr>
          <w:rFonts w:ascii="仿宋_GB2312" w:hAnsi="仿宋" w:eastAsia="仿宋_GB2312"/>
          <w:sz w:val="32"/>
          <w:szCs w:val="32"/>
        </w:rPr>
        <w:t>支出</w:t>
      </w:r>
      <w:r>
        <w:rPr>
          <w:rFonts w:hint="eastAsia" w:ascii="仿宋_GB2312" w:hAnsi="仿宋" w:eastAsia="仿宋_GB2312"/>
          <w:sz w:val="32"/>
          <w:szCs w:val="32"/>
        </w:rPr>
        <w:t>97.29</w:t>
      </w:r>
      <w:r>
        <w:rPr>
          <w:rFonts w:ascii="仿宋_GB2312" w:hAnsi="仿宋" w:eastAsia="仿宋_GB2312"/>
          <w:sz w:val="32"/>
          <w:szCs w:val="32"/>
        </w:rPr>
        <w:t>万元，</w:t>
      </w:r>
      <w:r>
        <w:rPr>
          <w:rFonts w:hint="eastAsia" w:ascii="仿宋_GB2312" w:hAnsi="仿宋" w:eastAsia="仿宋_GB2312"/>
          <w:sz w:val="32"/>
          <w:szCs w:val="32"/>
        </w:rPr>
        <w:t>超出</w:t>
      </w:r>
      <w:r>
        <w:rPr>
          <w:rFonts w:ascii="仿宋_GB2312" w:hAnsi="仿宋" w:eastAsia="仿宋_GB2312"/>
          <w:sz w:val="32"/>
          <w:szCs w:val="32"/>
        </w:rPr>
        <w:t>预算比例</w:t>
      </w:r>
      <w:r>
        <w:rPr>
          <w:rFonts w:hint="eastAsia" w:ascii="仿宋_GB2312" w:hAnsi="仿宋" w:eastAsia="仿宋_GB2312"/>
          <w:sz w:val="32"/>
          <w:szCs w:val="32"/>
        </w:rPr>
        <w:t>155</w:t>
      </w:r>
      <w:r>
        <w:rPr>
          <w:rFonts w:ascii="仿宋_GB2312" w:hAnsi="仿宋" w:eastAsia="仿宋_GB2312"/>
          <w:sz w:val="32"/>
          <w:szCs w:val="32"/>
        </w:rPr>
        <w:t>%。其中：人员经费预算</w:t>
      </w:r>
      <w:r>
        <w:rPr>
          <w:rFonts w:hint="eastAsia" w:ascii="仿宋_GB2312" w:hAnsi="仿宋" w:eastAsia="仿宋_GB2312"/>
          <w:sz w:val="32"/>
          <w:szCs w:val="32"/>
        </w:rPr>
        <w:t>20</w:t>
      </w:r>
      <w:r>
        <w:rPr>
          <w:rFonts w:ascii="仿宋_GB2312" w:hAnsi="仿宋" w:eastAsia="仿宋_GB2312"/>
          <w:sz w:val="32"/>
          <w:szCs w:val="32"/>
        </w:rPr>
        <w:t>万元（含工资福利支出、对个人及家庭补助支出），</w:t>
      </w:r>
      <w:r>
        <w:rPr>
          <w:rFonts w:hint="eastAsia" w:ascii="仿宋_GB2312" w:hAnsi="仿宋" w:eastAsia="仿宋_GB2312"/>
          <w:sz w:val="32"/>
          <w:szCs w:val="32"/>
        </w:rPr>
        <w:t>2020年人员</w:t>
      </w:r>
      <w:r>
        <w:rPr>
          <w:rFonts w:ascii="仿宋_GB2312" w:hAnsi="仿宋" w:eastAsia="仿宋_GB2312"/>
          <w:sz w:val="32"/>
          <w:szCs w:val="32"/>
        </w:rPr>
        <w:t>经费实际支出</w:t>
      </w:r>
      <w:r>
        <w:rPr>
          <w:rFonts w:hint="eastAsia" w:ascii="仿宋_GB2312" w:hAnsi="仿宋" w:eastAsia="仿宋_GB2312"/>
          <w:sz w:val="32"/>
          <w:szCs w:val="32"/>
        </w:rPr>
        <w:t>20</w:t>
      </w:r>
      <w:r>
        <w:rPr>
          <w:rFonts w:ascii="仿宋_GB2312" w:hAnsi="仿宋" w:eastAsia="仿宋_GB2312"/>
          <w:sz w:val="32"/>
          <w:szCs w:val="32"/>
        </w:rPr>
        <w:t>万元，同比</w:t>
      </w:r>
      <w:r>
        <w:rPr>
          <w:rFonts w:hint="eastAsia" w:ascii="仿宋_GB2312" w:hAnsi="仿宋" w:eastAsia="仿宋_GB2312"/>
          <w:sz w:val="32"/>
          <w:szCs w:val="32"/>
        </w:rPr>
        <w:t>2019</w:t>
      </w:r>
      <w:r>
        <w:rPr>
          <w:rFonts w:ascii="仿宋_GB2312" w:hAnsi="仿宋" w:eastAsia="仿宋_GB2312"/>
          <w:sz w:val="32"/>
          <w:szCs w:val="32"/>
        </w:rPr>
        <w:t>年</w:t>
      </w:r>
      <w:r>
        <w:rPr>
          <w:rFonts w:hint="eastAsia" w:ascii="仿宋_GB2312" w:hAnsi="仿宋" w:eastAsia="仿宋_GB2312"/>
          <w:sz w:val="32"/>
          <w:szCs w:val="32"/>
        </w:rPr>
        <w:t>18.9万元涨幅5.8</w:t>
      </w:r>
      <w:r>
        <w:rPr>
          <w:rFonts w:ascii="仿宋_GB2312" w:hAnsi="仿宋" w:eastAsia="仿宋_GB2312"/>
          <w:sz w:val="32"/>
          <w:szCs w:val="32"/>
        </w:rPr>
        <w:t>%；</w:t>
      </w:r>
      <w:r>
        <w:rPr>
          <w:rFonts w:hint="eastAsia" w:ascii="仿宋_GB2312" w:hAnsi="仿宋" w:eastAsia="仿宋_GB2312"/>
          <w:sz w:val="32"/>
          <w:szCs w:val="32"/>
        </w:rPr>
        <w:t>临聘人员增多</w:t>
      </w:r>
      <w:r>
        <w:rPr>
          <w:rFonts w:ascii="仿宋_GB2312" w:hAnsi="仿宋" w:eastAsia="仿宋_GB2312"/>
          <w:sz w:val="32"/>
          <w:szCs w:val="32"/>
        </w:rPr>
        <w:t>。</w:t>
      </w:r>
      <w:r>
        <w:rPr>
          <w:rFonts w:hint="eastAsia" w:ascii="仿宋_GB2312" w:hAnsi="仿宋" w:eastAsia="仿宋_GB2312"/>
          <w:sz w:val="32"/>
          <w:szCs w:val="32"/>
        </w:rPr>
        <w:t>2020年</w:t>
      </w:r>
      <w:r>
        <w:rPr>
          <w:rFonts w:ascii="仿宋_GB2312" w:hAnsi="仿宋" w:eastAsia="仿宋_GB2312"/>
          <w:sz w:val="32"/>
          <w:szCs w:val="32"/>
        </w:rPr>
        <w:t>公用经费</w:t>
      </w:r>
      <w:r>
        <w:rPr>
          <w:rFonts w:hint="eastAsia" w:ascii="仿宋_GB2312" w:hAnsi="仿宋" w:eastAsia="仿宋_GB2312"/>
          <w:sz w:val="32"/>
          <w:szCs w:val="32"/>
        </w:rPr>
        <w:t>实际支出77.29</w:t>
      </w:r>
      <w:r>
        <w:rPr>
          <w:rFonts w:ascii="仿宋_GB2312" w:hAnsi="仿宋" w:eastAsia="仿宋_GB2312"/>
          <w:sz w:val="32"/>
          <w:szCs w:val="32"/>
        </w:rPr>
        <w:t>万元，同</w:t>
      </w:r>
      <w:r>
        <w:rPr>
          <w:rFonts w:hint="eastAsia" w:ascii="仿宋_GB2312" w:hAnsi="仿宋" w:eastAsia="仿宋_GB2312"/>
          <w:sz w:val="32"/>
          <w:szCs w:val="32"/>
        </w:rPr>
        <w:t>2019</w:t>
      </w:r>
      <w:r>
        <w:rPr>
          <w:rFonts w:ascii="仿宋_GB2312" w:hAnsi="仿宋" w:eastAsia="仿宋_GB2312"/>
          <w:sz w:val="32"/>
          <w:szCs w:val="32"/>
        </w:rPr>
        <w:t>年</w:t>
      </w:r>
      <w:r>
        <w:rPr>
          <w:rFonts w:hint="eastAsia" w:ascii="仿宋_GB2312" w:hAnsi="仿宋" w:eastAsia="仿宋_GB2312"/>
          <w:sz w:val="32"/>
          <w:szCs w:val="32"/>
        </w:rPr>
        <w:t>96.83万元降幅20</w:t>
      </w:r>
      <w:r>
        <w:rPr>
          <w:rFonts w:ascii="仿宋_GB2312" w:hAnsi="仿宋" w:eastAsia="仿宋_GB2312"/>
          <w:sz w:val="32"/>
          <w:szCs w:val="32"/>
        </w:rPr>
        <w:t>%</w:t>
      </w:r>
      <w:r>
        <w:rPr>
          <w:rFonts w:hint="eastAsia" w:ascii="仿宋_GB2312" w:hAnsi="仿宋" w:eastAsia="仿宋_GB2312"/>
          <w:sz w:val="32"/>
          <w:szCs w:val="32"/>
        </w:rPr>
        <w:t>;降幅原因为本年度人员减少。</w:t>
      </w:r>
    </w:p>
    <w:p>
      <w:pPr>
        <w:pStyle w:val="6"/>
        <w:widowControl/>
        <w:spacing w:beforeAutospacing="0" w:afterAutospacing="0"/>
        <w:ind w:firstLine="560"/>
        <w:rPr>
          <w:rFonts w:asciiTheme="minorEastAsia" w:hAnsiTheme="minorEastAsia" w:cstheme="minorEastAsia"/>
          <w:b/>
          <w:bCs/>
          <w:color w:val="333333"/>
          <w:sz w:val="28"/>
          <w:szCs w:val="28"/>
          <w:shd w:val="clear" w:color="auto" w:fill="FFFFFF"/>
        </w:rPr>
      </w:pPr>
      <w:r>
        <w:rPr>
          <w:rFonts w:hint="eastAsia" w:asciiTheme="minorEastAsia" w:hAnsiTheme="minorEastAsia" w:cstheme="minorEastAsia"/>
          <w:b/>
          <w:bCs/>
          <w:color w:val="333333"/>
          <w:sz w:val="28"/>
          <w:szCs w:val="28"/>
          <w:shd w:val="clear" w:color="auto" w:fill="FFFFFF"/>
        </w:rPr>
        <w:t>2、收入、支出结构分析</w:t>
      </w:r>
    </w:p>
    <w:p>
      <w:pPr>
        <w:snapToGrid w:val="0"/>
        <w:spacing w:line="520" w:lineRule="exact"/>
        <w:ind w:firstLine="320" w:firstLineChars="100"/>
        <w:rPr>
          <w:rFonts w:ascii="仿宋_GB2312" w:hAnsi="宋体" w:eastAsia="仿宋_GB2312" w:cs="宋体"/>
          <w:kern w:val="0"/>
          <w:sz w:val="32"/>
          <w:szCs w:val="32"/>
        </w:rPr>
      </w:pPr>
      <w:r>
        <w:rPr>
          <w:rFonts w:hint="eastAsia" w:ascii="仿宋_GB2312" w:hAnsi="仿宋" w:eastAsia="仿宋_GB2312"/>
          <w:sz w:val="32"/>
          <w:szCs w:val="32"/>
        </w:rPr>
        <w:t>2020年总收入97.29万元，财拨收入97.29万元，占总收入的100%，其他收入0万元，占总收0%。2020年总支出97.29万元，财政拨款支出97.29万元，占总支出的100%，其他支出0，占总支出的0%。</w:t>
      </w:r>
    </w:p>
    <w:p>
      <w:pPr>
        <w:pStyle w:val="6"/>
        <w:widowControl/>
        <w:spacing w:beforeAutospacing="0" w:afterAutospacing="0"/>
        <w:ind w:firstLine="560"/>
        <w:rPr>
          <w:rFonts w:asciiTheme="minorEastAsia" w:hAnsi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rPr>
        <w:t>（二）关于机关运行经费支出说明</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2020年机关运行经费支出97.29万元，其中：人员经费：20万元；日常办公经费77.29万元；日常办公经费包括：办公费4.19万元、印刷费1.28万元、水费0.06万元、电费1.22万元</w:t>
      </w:r>
      <w:r>
        <w:rPr>
          <w:rFonts w:ascii="仿宋_GB2312" w:hAnsi="仿宋" w:eastAsia="仿宋_GB2312" w:cs="仿宋"/>
          <w:kern w:val="2"/>
          <w:sz w:val="32"/>
          <w:szCs w:val="32"/>
        </w:rPr>
        <w:t xml:space="preserve"> </w:t>
      </w:r>
      <w:r>
        <w:rPr>
          <w:rFonts w:hint="eastAsia" w:ascii="仿宋_GB2312" w:hAnsi="仿宋" w:eastAsia="仿宋_GB2312" w:cs="仿宋"/>
          <w:kern w:val="2"/>
          <w:sz w:val="32"/>
          <w:szCs w:val="32"/>
        </w:rPr>
        <w:t>、邮电费2.07万元、物业管理费2.06万元、差旅费2.3万元、维修（护）费2.14万元、劳务费57.03万元、工会经费0.91万元、其他交通费用1.73万元、其他商品和服务支出2.3万元。</w:t>
      </w:r>
    </w:p>
    <w:p>
      <w:pPr>
        <w:pStyle w:val="6"/>
        <w:widowControl/>
        <w:spacing w:beforeAutospacing="0" w:afterAutospacing="0"/>
        <w:ind w:firstLine="560"/>
        <w:rPr>
          <w:rFonts w:asciiTheme="minorEastAsia" w:hAnsi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rPr>
        <w:t>（三）关于政府采购支出说明</w:t>
      </w:r>
    </w:p>
    <w:p>
      <w:pPr>
        <w:pStyle w:val="6"/>
        <w:widowControl/>
        <w:spacing w:beforeAutospacing="0" w:afterAutospacing="0"/>
        <w:ind w:firstLine="880" w:firstLineChars="275"/>
        <w:rPr>
          <w:rFonts w:asciiTheme="minorEastAsia" w:hAnsiTheme="minorEastAsia" w:cstheme="minorEastAsia"/>
          <w:sz w:val="28"/>
          <w:szCs w:val="28"/>
          <w:shd w:val="clear" w:color="auto" w:fill="FFFFFF"/>
        </w:rPr>
      </w:pPr>
      <w:r>
        <w:rPr>
          <w:rFonts w:hint="eastAsia" w:ascii="仿宋_GB2312" w:hAnsi="仿宋" w:eastAsia="仿宋_GB2312" w:cs="仿宋"/>
          <w:kern w:val="2"/>
          <w:sz w:val="32"/>
          <w:szCs w:val="32"/>
        </w:rPr>
        <w:t>本年无政府采购支出。</w:t>
      </w:r>
    </w:p>
    <w:p>
      <w:pPr>
        <w:pStyle w:val="6"/>
        <w:widowControl/>
        <w:spacing w:beforeAutospacing="0" w:afterAutospacing="0"/>
        <w:ind w:firstLine="560"/>
        <w:rPr>
          <w:rFonts w:asciiTheme="minorEastAsia" w:hAnsi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rPr>
        <w:t>（四）关于国有资产占用情况说明</w:t>
      </w:r>
    </w:p>
    <w:p>
      <w:pPr>
        <w:pStyle w:val="6"/>
        <w:widowControl/>
        <w:spacing w:beforeAutospacing="0" w:afterAutospacing="0"/>
        <w:ind w:firstLine="880" w:firstLineChars="275"/>
        <w:rPr>
          <w:rFonts w:ascii="仿宋_GB2312" w:hAnsi="仿宋" w:eastAsia="仿宋_GB2312" w:cs="仿宋"/>
          <w:kern w:val="2"/>
          <w:sz w:val="32"/>
          <w:szCs w:val="32"/>
        </w:rPr>
      </w:pPr>
      <w:r>
        <w:rPr>
          <w:rFonts w:hint="eastAsia" w:ascii="仿宋_GB2312" w:hAnsi="仿宋" w:eastAsia="仿宋_GB2312" w:cs="仿宋"/>
          <w:kern w:val="2"/>
          <w:sz w:val="32"/>
          <w:szCs w:val="32"/>
        </w:rPr>
        <w:t>本单位无公车和大型设备。</w:t>
      </w:r>
    </w:p>
    <w:p>
      <w:pPr>
        <w:widowControl/>
        <w:shd w:val="clear" w:color="auto" w:fill="FFFFFF"/>
        <w:ind w:firstLine="562" w:firstLineChars="200"/>
        <w:jc w:val="left"/>
        <w:rPr>
          <w:rFonts w:asciiTheme="minorEastAsia" w:hAnsiTheme="minorEastAsia" w:cstheme="minorEastAsia"/>
          <w:b/>
          <w:bCs/>
          <w:sz w:val="28"/>
          <w:szCs w:val="28"/>
        </w:rPr>
      </w:pPr>
      <w:r>
        <w:rPr>
          <w:rFonts w:hint="eastAsia" w:asciiTheme="minorEastAsia" w:hAnsiTheme="minorEastAsia" w:cstheme="minorEastAsia"/>
          <w:b/>
          <w:bCs/>
          <w:sz w:val="28"/>
          <w:szCs w:val="28"/>
        </w:rPr>
        <w:t>（五）重点绩效评价结果等预算绩效情况说明</w:t>
      </w:r>
    </w:p>
    <w:p>
      <w:pPr>
        <w:pStyle w:val="6"/>
        <w:widowControl/>
        <w:spacing w:before="76" w:beforeAutospacing="0" w:after="76" w:afterAutospacing="0" w:line="450" w:lineRule="atLeast"/>
        <w:ind w:left="441" w:leftChars="210" w:firstLine="480" w:firstLineChars="150"/>
        <w:rPr>
          <w:rFonts w:hint="eastAsia" w:ascii="仿宋_GB2312" w:hAnsi="仿宋" w:eastAsia="仿宋_GB2312" w:cs="仿宋"/>
          <w:kern w:val="2"/>
          <w:sz w:val="32"/>
          <w:szCs w:val="32"/>
        </w:rPr>
      </w:pPr>
      <w:r>
        <w:rPr>
          <w:rFonts w:hint="eastAsia" w:ascii="仿宋_GB2312" w:hAnsi="仿宋" w:eastAsia="仿宋_GB2312" w:cs="仿宋"/>
          <w:kern w:val="2"/>
          <w:sz w:val="32"/>
          <w:szCs w:val="32"/>
        </w:rPr>
        <w:t>2020年， 我单位本年度没有重点项目，因此未展开绩效评价。</w:t>
      </w:r>
    </w:p>
    <w:p>
      <w:pPr>
        <w:widowControl/>
        <w:shd w:val="clear" w:color="auto" w:fill="FFFFFF"/>
        <w:ind w:firstLine="562" w:firstLineChars="200"/>
        <w:jc w:val="left"/>
        <w:rPr>
          <w:rFonts w:hint="eastAsia" w:asciiTheme="minorEastAsia" w:hAnsiTheme="minorEastAsia" w:cstheme="minorEastAsia"/>
          <w:b/>
          <w:bCs/>
          <w:sz w:val="28"/>
          <w:szCs w:val="28"/>
        </w:rPr>
      </w:pPr>
      <w:r>
        <w:rPr>
          <w:rFonts w:hint="eastAsia" w:asciiTheme="minorEastAsia" w:hAnsiTheme="minorEastAsia" w:cstheme="minorEastAsia"/>
          <w:b/>
          <w:bCs/>
          <w:sz w:val="28"/>
          <w:szCs w:val="28"/>
          <w:lang w:val="en-US" w:eastAsia="zh-CN"/>
        </w:rPr>
        <w:t>（六）</w:t>
      </w:r>
      <w:r>
        <w:rPr>
          <w:rFonts w:hint="eastAsia" w:asciiTheme="minorEastAsia" w:hAnsiTheme="minorEastAsia" w:cstheme="minorEastAsia"/>
          <w:b/>
          <w:bCs/>
          <w:sz w:val="28"/>
          <w:szCs w:val="28"/>
        </w:rPr>
        <w:t>决算收支增减变化情况</w:t>
      </w:r>
    </w:p>
    <w:p>
      <w:pPr>
        <w:spacing w:line="44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1、收入增减变化情况</w:t>
      </w:r>
    </w:p>
    <w:p>
      <w:pPr>
        <w:widowControl/>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2019年全年总收入148.1万元,2020年全年总收入97.29万元，同比上年减少50.81万元，原因是人员经费减少。</w:t>
      </w:r>
    </w:p>
    <w:p>
      <w:pPr>
        <w:spacing w:line="44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2、支出增减变化情况</w:t>
      </w:r>
    </w:p>
    <w:p>
      <w:pPr>
        <w:widowControl/>
        <w:ind w:firstLine="640" w:firstLineChars="200"/>
        <w:rPr>
          <w:rFonts w:hint="eastAsia" w:ascii="仿宋_GB2312" w:hAnsi="仿宋" w:eastAsia="仿宋_GB2312" w:cs="仿宋"/>
          <w:kern w:val="2"/>
          <w:sz w:val="32"/>
          <w:szCs w:val="32"/>
        </w:rPr>
      </w:pPr>
      <w:r>
        <w:rPr>
          <w:rFonts w:hint="eastAsia" w:ascii="仿宋_GB2312" w:hAnsi="仿宋" w:eastAsia="仿宋_GB2312" w:cs="仿宋"/>
          <w:kern w:val="2"/>
          <w:sz w:val="32"/>
          <w:szCs w:val="32"/>
          <w:lang w:val="en-US" w:eastAsia="zh-CN" w:bidi="ar-SA"/>
        </w:rPr>
        <w:t>2019年全年总支出</w:t>
      </w:r>
      <w:r>
        <w:rPr>
          <w:rFonts w:hint="eastAsia" w:ascii="仿宋_GB2312" w:hAnsi="仿宋" w:eastAsia="仿宋_GB2312" w:cs="仿宋"/>
          <w:kern w:val="2"/>
          <w:sz w:val="32"/>
          <w:szCs w:val="32"/>
          <w:lang w:val="en-US" w:eastAsia="zh-CN" w:bidi="ar-SA"/>
        </w:rPr>
        <w:t>148.1万</w:t>
      </w:r>
      <w:r>
        <w:rPr>
          <w:rFonts w:hint="eastAsia" w:ascii="仿宋_GB2312" w:hAnsi="仿宋" w:eastAsia="仿宋_GB2312" w:cs="仿宋"/>
          <w:kern w:val="2"/>
          <w:sz w:val="32"/>
          <w:szCs w:val="32"/>
          <w:lang w:val="en-US" w:eastAsia="zh-CN" w:bidi="ar-SA"/>
        </w:rPr>
        <w:t>元,2020年全年总支出</w:t>
      </w:r>
      <w:r>
        <w:rPr>
          <w:rFonts w:hint="eastAsia" w:ascii="仿宋_GB2312" w:hAnsi="仿宋" w:eastAsia="仿宋_GB2312" w:cs="仿宋"/>
          <w:kern w:val="2"/>
          <w:sz w:val="32"/>
          <w:szCs w:val="32"/>
          <w:lang w:val="en-US" w:eastAsia="zh-CN" w:bidi="ar-SA"/>
        </w:rPr>
        <w:t>97.29万</w:t>
      </w:r>
      <w:r>
        <w:rPr>
          <w:rFonts w:hint="eastAsia" w:ascii="仿宋_GB2312" w:hAnsi="仿宋" w:eastAsia="仿宋_GB2312" w:cs="仿宋"/>
          <w:kern w:val="2"/>
          <w:sz w:val="32"/>
          <w:szCs w:val="32"/>
          <w:lang w:val="en-US" w:eastAsia="zh-CN" w:bidi="ar-SA"/>
        </w:rPr>
        <w:t>元，</w:t>
      </w:r>
      <w:r>
        <w:rPr>
          <w:rFonts w:hint="eastAsia" w:ascii="仿宋_GB2312" w:hAnsi="仿宋" w:eastAsia="仿宋_GB2312" w:cs="仿宋"/>
          <w:kern w:val="2"/>
          <w:sz w:val="32"/>
          <w:szCs w:val="32"/>
          <w:lang w:val="en-US" w:eastAsia="zh-CN" w:bidi="ar-SA"/>
        </w:rPr>
        <w:t>同比上年减少50.81万元，原因是人员经费减少。</w:t>
      </w:r>
      <w:bookmarkStart w:id="0" w:name="_GoBack"/>
      <w:bookmarkEnd w:id="0"/>
    </w:p>
    <w:p>
      <w:pPr>
        <w:pStyle w:val="6"/>
        <w:widowControl/>
        <w:spacing w:before="76" w:beforeAutospacing="0" w:after="76" w:afterAutospacing="0" w:line="450" w:lineRule="atLeast"/>
        <w:ind w:left="441" w:leftChars="210" w:firstLine="480" w:firstLineChars="150"/>
        <w:rPr>
          <w:rFonts w:hint="eastAsia" w:ascii="仿宋_GB2312" w:hAnsi="仿宋" w:eastAsia="仿宋_GB2312" w:cs="仿宋"/>
          <w:kern w:val="2"/>
          <w:sz w:val="32"/>
          <w:szCs w:val="32"/>
        </w:rPr>
      </w:pPr>
    </w:p>
    <w:p>
      <w:pPr>
        <w:pStyle w:val="6"/>
        <w:widowControl/>
        <w:spacing w:beforeAutospacing="0" w:afterAutospacing="0"/>
        <w:ind w:firstLine="560"/>
        <w:rPr>
          <w:rFonts w:ascii="微软雅黑" w:hAnsi="微软雅黑" w:eastAsia="微软雅黑" w:cs="微软雅黑"/>
          <w:b/>
          <w:bCs/>
          <w:shd w:val="clear" w:color="auto" w:fill="FFFFFF"/>
        </w:rPr>
      </w:pPr>
      <w:r>
        <w:rPr>
          <w:rFonts w:hint="eastAsia" w:ascii="微软雅黑" w:hAnsi="微软雅黑" w:eastAsia="微软雅黑" w:cs="微软雅黑"/>
          <w:b/>
          <w:bCs/>
          <w:shd w:val="clear" w:color="auto" w:fill="FFFFFF"/>
        </w:rPr>
        <w:t>第四部分 名词解释</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一、财政补助收入：指县级财政当年拨付的资金。</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二、其他收入：指除“财政拨款收入”、“上级补助收入”、“事业收入”、“经营收入”等以外的收入。主要是存款利息收入等。</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三、年初结转和结余：指以前年度尚未完成、结转到本年按有关规定继续使用的资金。</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四、一般公共服务（类）行政运行（项）：指县行政单位及参照公务员管理事业单位用于保障机构正常运行、开展日常工作的基本支出。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六、一般公共服务（类）机关服务（项）：指县黄石港区人大服务中心为机关提供办公楼日常维修、维护等后勤保障服务的支出。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七、一般公共服务（类）其他一般公共服务支出（款）其他一般公共服务支出（项）：指黄石港区人大用于其他一般公共服务方面的支出。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八、教育（类）普通教育（款）高等教育（项）：指黄石港区人大厅支持地方高校的重点发展和特色办学，组织专家对省属院校申报的建设规划和项目预算进行评审等相关工作的支出。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九、社会保障和就业(类)行政事业单位离退休（款）归口管理的行政单位离退休（项）：指黄石港区人大用于离退休人员的支出、退休人员支出，以及提供管理服务工作的离退休干部处的支出。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十、社会保障和就业(类)行政事业单位离退休（款）其他行政事业单位离退休支出（项）：指黄石港区人大用于离退休方面的其他支出。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十一、医疗卫生与计划生育（类）医疗保障（款）行政单位医疗（项）：指黄石港区人大用于机关干部职工及离退休人员医疗方面的支出。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十二、住房保障（类）住房改革支出（款）购房补贴（项）：指按照相关住房分配货币化改革的政策规定和标准，对无房和住房未达标职工发放的住房分配货币化补贴资金。</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十三、年末结转和结余：指本年度或以前年度预算安排、因客观条件发生变化无法按原计划实施，需要延迟到以后年度按有关规定继续使用的资金。</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十四、基本支出：指为保障机构正常运转、完成日常工作任务而发生的人员支出（包括基本工资、津贴补贴等）和公用支出（包括办公费、水电费、邮电费、交通费、差旅费等）。</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十五、项目支出：指在基本支出之外为完成特定行政任务和事业发展目标所发生的支出。</w:t>
      </w:r>
    </w:p>
    <w:p>
      <w:pPr>
        <w:pStyle w:val="6"/>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十六、“三公”经费：是指用财政拨款安排的因公出国（境）费、公务用车购置及运行维护费、公务接待费。</w:t>
      </w:r>
    </w:p>
    <w:p>
      <w:pPr>
        <w:pStyle w:val="6"/>
        <w:widowControl/>
        <w:spacing w:beforeAutospacing="0" w:afterAutospacing="0"/>
        <w:ind w:firstLine="560"/>
        <w:rPr>
          <w:rFonts w:asciiTheme="minorEastAsia" w:hAnsiTheme="minorEastAsia" w:cstheme="minorEastAsia"/>
          <w:sz w:val="28"/>
          <w:szCs w:val="28"/>
          <w:shd w:val="clear" w:color="auto" w:fill="FFFFFF"/>
        </w:rPr>
      </w:pPr>
    </w:p>
    <w:sectPr>
      <w:pgSz w:w="16840" w:h="11907" w:orient="landscape"/>
      <w:pgMar w:top="567" w:right="1077" w:bottom="454" w:left="1077"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A91B32"/>
    <w:rsid w:val="000079F7"/>
    <w:rsid w:val="00027ECC"/>
    <w:rsid w:val="00047CF0"/>
    <w:rsid w:val="00091D11"/>
    <w:rsid w:val="000945AD"/>
    <w:rsid w:val="000B470F"/>
    <w:rsid w:val="000B6B93"/>
    <w:rsid w:val="00103276"/>
    <w:rsid w:val="0019380C"/>
    <w:rsid w:val="001B2ED0"/>
    <w:rsid w:val="001D4C01"/>
    <w:rsid w:val="001F3706"/>
    <w:rsid w:val="001F477E"/>
    <w:rsid w:val="001F695A"/>
    <w:rsid w:val="00214A53"/>
    <w:rsid w:val="00216672"/>
    <w:rsid w:val="00223BC1"/>
    <w:rsid w:val="00224ADB"/>
    <w:rsid w:val="00226006"/>
    <w:rsid w:val="00257190"/>
    <w:rsid w:val="00281CD0"/>
    <w:rsid w:val="002A31C8"/>
    <w:rsid w:val="002A7DBC"/>
    <w:rsid w:val="002B389E"/>
    <w:rsid w:val="002C65BF"/>
    <w:rsid w:val="002E074D"/>
    <w:rsid w:val="002F5845"/>
    <w:rsid w:val="002F5C74"/>
    <w:rsid w:val="00330C8B"/>
    <w:rsid w:val="003547BC"/>
    <w:rsid w:val="00366B10"/>
    <w:rsid w:val="003C0E50"/>
    <w:rsid w:val="003E21CC"/>
    <w:rsid w:val="00436BF4"/>
    <w:rsid w:val="0047337D"/>
    <w:rsid w:val="00475D25"/>
    <w:rsid w:val="00484BB3"/>
    <w:rsid w:val="004E6EBC"/>
    <w:rsid w:val="0051673E"/>
    <w:rsid w:val="00544D55"/>
    <w:rsid w:val="0055475C"/>
    <w:rsid w:val="0055747B"/>
    <w:rsid w:val="00567340"/>
    <w:rsid w:val="00575088"/>
    <w:rsid w:val="005759AE"/>
    <w:rsid w:val="005D2CFF"/>
    <w:rsid w:val="00665F83"/>
    <w:rsid w:val="006A32D8"/>
    <w:rsid w:val="006B4CED"/>
    <w:rsid w:val="00700335"/>
    <w:rsid w:val="007028BC"/>
    <w:rsid w:val="0070438B"/>
    <w:rsid w:val="007353D2"/>
    <w:rsid w:val="0074370D"/>
    <w:rsid w:val="00766964"/>
    <w:rsid w:val="007A7C9B"/>
    <w:rsid w:val="007B0E9E"/>
    <w:rsid w:val="007F2D99"/>
    <w:rsid w:val="00800F30"/>
    <w:rsid w:val="00812E7F"/>
    <w:rsid w:val="00824019"/>
    <w:rsid w:val="008419D5"/>
    <w:rsid w:val="00860D95"/>
    <w:rsid w:val="00870CF1"/>
    <w:rsid w:val="00872C16"/>
    <w:rsid w:val="00874E39"/>
    <w:rsid w:val="00894FF1"/>
    <w:rsid w:val="008B3D2E"/>
    <w:rsid w:val="008F6963"/>
    <w:rsid w:val="00907E9A"/>
    <w:rsid w:val="00922E56"/>
    <w:rsid w:val="00925D26"/>
    <w:rsid w:val="00927B0E"/>
    <w:rsid w:val="00943867"/>
    <w:rsid w:val="009C7303"/>
    <w:rsid w:val="009E7B2D"/>
    <w:rsid w:val="009F42A4"/>
    <w:rsid w:val="00A62BAE"/>
    <w:rsid w:val="00A77BD9"/>
    <w:rsid w:val="00AB2802"/>
    <w:rsid w:val="00AC7EE2"/>
    <w:rsid w:val="00B01A03"/>
    <w:rsid w:val="00B023CC"/>
    <w:rsid w:val="00B126A4"/>
    <w:rsid w:val="00B12CE0"/>
    <w:rsid w:val="00B5177A"/>
    <w:rsid w:val="00B63674"/>
    <w:rsid w:val="00B71B2F"/>
    <w:rsid w:val="00B91C8F"/>
    <w:rsid w:val="00B9553D"/>
    <w:rsid w:val="00BA3B00"/>
    <w:rsid w:val="00C0556A"/>
    <w:rsid w:val="00C23356"/>
    <w:rsid w:val="00C2418D"/>
    <w:rsid w:val="00C24B72"/>
    <w:rsid w:val="00C3716A"/>
    <w:rsid w:val="00C56D1E"/>
    <w:rsid w:val="00C57574"/>
    <w:rsid w:val="00C84162"/>
    <w:rsid w:val="00CA5D6A"/>
    <w:rsid w:val="00CB56B7"/>
    <w:rsid w:val="00CE4A0A"/>
    <w:rsid w:val="00CF560A"/>
    <w:rsid w:val="00D131B1"/>
    <w:rsid w:val="00D2032C"/>
    <w:rsid w:val="00D269A8"/>
    <w:rsid w:val="00D53076"/>
    <w:rsid w:val="00D5456F"/>
    <w:rsid w:val="00D67550"/>
    <w:rsid w:val="00D93B38"/>
    <w:rsid w:val="00DA4592"/>
    <w:rsid w:val="00DC264B"/>
    <w:rsid w:val="00DC7F7E"/>
    <w:rsid w:val="00DF0D6A"/>
    <w:rsid w:val="00E51F68"/>
    <w:rsid w:val="00E76917"/>
    <w:rsid w:val="00E92DDF"/>
    <w:rsid w:val="00E9552D"/>
    <w:rsid w:val="00EA3AD1"/>
    <w:rsid w:val="00ED0B11"/>
    <w:rsid w:val="00EE0E8D"/>
    <w:rsid w:val="00EE33C1"/>
    <w:rsid w:val="00F2470C"/>
    <w:rsid w:val="00F41FAA"/>
    <w:rsid w:val="00F51E4F"/>
    <w:rsid w:val="00F54330"/>
    <w:rsid w:val="00F63B2F"/>
    <w:rsid w:val="00F964E4"/>
    <w:rsid w:val="00FD73B0"/>
    <w:rsid w:val="00FF2957"/>
    <w:rsid w:val="030945D0"/>
    <w:rsid w:val="060F4996"/>
    <w:rsid w:val="07F03F2C"/>
    <w:rsid w:val="0CAA7D3D"/>
    <w:rsid w:val="11366B3D"/>
    <w:rsid w:val="130E654F"/>
    <w:rsid w:val="14E1680E"/>
    <w:rsid w:val="15DF4A7E"/>
    <w:rsid w:val="1CE10904"/>
    <w:rsid w:val="1EDC3FC1"/>
    <w:rsid w:val="1EE30D97"/>
    <w:rsid w:val="20425963"/>
    <w:rsid w:val="207C481B"/>
    <w:rsid w:val="247B5F78"/>
    <w:rsid w:val="247C0D53"/>
    <w:rsid w:val="26886795"/>
    <w:rsid w:val="26CE09B0"/>
    <w:rsid w:val="28385A6F"/>
    <w:rsid w:val="2C2C00D2"/>
    <w:rsid w:val="2D6164DF"/>
    <w:rsid w:val="2ED40676"/>
    <w:rsid w:val="2FE23231"/>
    <w:rsid w:val="30920D9D"/>
    <w:rsid w:val="32346B9B"/>
    <w:rsid w:val="33D46AA2"/>
    <w:rsid w:val="35687F4F"/>
    <w:rsid w:val="35A91B32"/>
    <w:rsid w:val="35D63E01"/>
    <w:rsid w:val="36BF766F"/>
    <w:rsid w:val="37333E90"/>
    <w:rsid w:val="380D3FAF"/>
    <w:rsid w:val="3B0358BE"/>
    <w:rsid w:val="3B2B2C8C"/>
    <w:rsid w:val="4003176D"/>
    <w:rsid w:val="44070B38"/>
    <w:rsid w:val="44704989"/>
    <w:rsid w:val="481216A4"/>
    <w:rsid w:val="4D7C648F"/>
    <w:rsid w:val="4F764058"/>
    <w:rsid w:val="50243123"/>
    <w:rsid w:val="50587313"/>
    <w:rsid w:val="53154F9A"/>
    <w:rsid w:val="553E0BF9"/>
    <w:rsid w:val="55A925D9"/>
    <w:rsid w:val="571A201F"/>
    <w:rsid w:val="58F0058B"/>
    <w:rsid w:val="5CF6057B"/>
    <w:rsid w:val="5E0D4A87"/>
    <w:rsid w:val="646B1D3D"/>
    <w:rsid w:val="649C7F93"/>
    <w:rsid w:val="6985085F"/>
    <w:rsid w:val="70884955"/>
    <w:rsid w:val="7419160B"/>
    <w:rsid w:val="757E759E"/>
    <w:rsid w:val="76F76D0B"/>
    <w:rsid w:val="77AC74E5"/>
    <w:rsid w:val="7E6D383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7">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qFormat/>
    <w:uiPriority w:val="0"/>
    <w:rPr>
      <w:sz w:val="18"/>
      <w:szCs w:val="18"/>
    </w:rPr>
  </w:style>
  <w:style w:type="paragraph" w:styleId="4">
    <w:name w:val="footer"/>
    <w:basedOn w:val="1"/>
    <w:link w:val="14"/>
    <w:qFormat/>
    <w:uiPriority w:val="0"/>
    <w:pPr>
      <w:tabs>
        <w:tab w:val="center" w:pos="4153"/>
        <w:tab w:val="right" w:pos="8306"/>
      </w:tabs>
      <w:snapToGrid w:val="0"/>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8">
    <w:name w:val="Strong"/>
    <w:basedOn w:val="7"/>
    <w:qFormat/>
    <w:uiPriority w:val="0"/>
    <w:rPr>
      <w:b/>
    </w:rPr>
  </w:style>
  <w:style w:type="character" w:customStyle="1" w:styleId="10">
    <w:name w:val="ca-2"/>
    <w:basedOn w:val="7"/>
    <w:qFormat/>
    <w:uiPriority w:val="0"/>
  </w:style>
  <w:style w:type="character" w:customStyle="1" w:styleId="11">
    <w:name w:val="ca-3"/>
    <w:basedOn w:val="7"/>
    <w:qFormat/>
    <w:uiPriority w:val="0"/>
  </w:style>
  <w:style w:type="paragraph" w:customStyle="1" w:styleId="12">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3">
    <w:name w:val="页眉 Char"/>
    <w:basedOn w:val="7"/>
    <w:link w:val="5"/>
    <w:qFormat/>
    <w:uiPriority w:val="0"/>
    <w:rPr>
      <w:rFonts w:asciiTheme="minorHAnsi" w:hAnsiTheme="minorHAnsi" w:eastAsiaTheme="minorEastAsia" w:cstheme="minorBidi"/>
      <w:kern w:val="2"/>
      <w:sz w:val="18"/>
      <w:szCs w:val="18"/>
    </w:rPr>
  </w:style>
  <w:style w:type="character" w:customStyle="1" w:styleId="14">
    <w:name w:val="页脚 Char"/>
    <w:basedOn w:val="7"/>
    <w:link w:val="4"/>
    <w:qFormat/>
    <w:uiPriority w:val="0"/>
    <w:rPr>
      <w:rFonts w:asciiTheme="minorHAnsi" w:hAnsiTheme="minorHAnsi" w:eastAsiaTheme="minorEastAsia" w:cstheme="minorBidi"/>
      <w:kern w:val="2"/>
      <w:sz w:val="18"/>
      <w:szCs w:val="18"/>
    </w:rPr>
  </w:style>
  <w:style w:type="character" w:customStyle="1" w:styleId="15">
    <w:name w:val="批注框文本 Char"/>
    <w:basedOn w:val="7"/>
    <w:link w:val="3"/>
    <w:qFormat/>
    <w:uiPriority w:val="0"/>
    <w:rPr>
      <w:rFonts w:asciiTheme="minorHAnsi" w:hAnsiTheme="minorHAnsi" w:eastAsiaTheme="minorEastAsia" w:cstheme="minorBidi"/>
      <w:kern w:val="2"/>
      <w:sz w:val="18"/>
      <w:szCs w:val="18"/>
    </w:rPr>
  </w:style>
  <w:style w:type="paragraph" w:customStyle="1" w:styleId="16">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17">
    <w:name w:val="pa-1"/>
    <w:basedOn w:val="1"/>
    <w:link w:val="18"/>
    <w:qFormat/>
    <w:uiPriority w:val="0"/>
    <w:pPr>
      <w:widowControl/>
      <w:spacing w:before="100" w:beforeAutospacing="1" w:after="100" w:afterAutospacing="1"/>
      <w:jc w:val="left"/>
    </w:pPr>
    <w:rPr>
      <w:rFonts w:ascii="宋体" w:hAnsi="宋体" w:eastAsia="宋体" w:cs="宋体"/>
      <w:kern w:val="0"/>
      <w:sz w:val="24"/>
    </w:rPr>
  </w:style>
  <w:style w:type="character" w:customStyle="1" w:styleId="18">
    <w:name w:val="pa-1 Char"/>
    <w:link w:val="17"/>
    <w:qFormat/>
    <w:uiPriority w:val="0"/>
    <w:rPr>
      <w:rFonts w:ascii="宋体" w:hAnsi="宋体" w:cs="宋体"/>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8A69B00-D606-4B32-8082-0E59E6E7974D}">
  <ds:schemaRefs/>
</ds:datastoreItem>
</file>

<file path=docProps/app.xml><?xml version="1.0" encoding="utf-8"?>
<Properties xmlns="http://schemas.openxmlformats.org/officeDocument/2006/extended-properties" xmlns:vt="http://schemas.openxmlformats.org/officeDocument/2006/docPropsVTypes">
  <Template>Normal</Template>
  <Pages>13</Pages>
  <Words>1183</Words>
  <Characters>6747</Characters>
  <Lines>56</Lines>
  <Paragraphs>15</Paragraphs>
  <TotalTime>0</TotalTime>
  <ScaleCrop>false</ScaleCrop>
  <LinksUpToDate>false</LinksUpToDate>
  <CharactersWithSpaces>7915</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2019-09-04T04:30:00Z</dcterms:created>
  <dc:creator>米</dc:creator>
  <cp:lastModifiedBy>Administrator</cp:lastModifiedBy>
  <cp:lastPrinted>2021-09-02T02:42:00Z</cp:lastPrinted>
  <dcterms:modified xsi:type="dcterms:W3CDTF">2021-09-15T02:42:33Z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7EAF9FA5BD5444F69A090BADB5EF37A4</vt:lpwstr>
  </property>
</Properties>
</file>