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bdr w:val="none" w:color="auto" w:sz="0" w:space="0"/>
          <w:shd w:val="clear" w:fill="FFFFFF"/>
          <w:lang w:eastAsia="zh-CN"/>
        </w:rPr>
        <w:t>食药监局</w:t>
      </w:r>
      <w:r>
        <w:rPr>
          <w:rFonts w:hint="eastAsia" w:ascii="微软雅黑" w:hAnsi="微软雅黑" w:eastAsia="微软雅黑" w:cs="微软雅黑"/>
          <w:b/>
          <w:i w:val="0"/>
          <w:caps w:val="0"/>
          <w:color w:val="BC1010"/>
          <w:spacing w:val="0"/>
          <w:sz w:val="40"/>
          <w:szCs w:val="40"/>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黄石港区食药监局</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目  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第一部分:部门基本情况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一、部门主要职责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二、部门决算单位构成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第二部分: 部门2017年部门决算表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一、收入支出决算总表（表1）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二、收入决算表（表2）</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三、支出决算表（表3）</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四、财政拨款收入支出决算总表（表4）</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五、一般公共预算财政拨款支出决算表（表5）</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六、一般公共预算财政拨款基本支出决算表（表6）</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七、一般公共预算财政拨款“三公”经费支出决算表（表7）</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八、政府性基金预算财政拨款收入支出决算表（8）</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第三部分：部门2017年部门决算情况说明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第四部分：名词解释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第一部分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部门概况</w:t>
      </w:r>
    </w:p>
    <w:p>
      <w:pPr>
        <w:ind w:firstLine="480"/>
        <w:rPr>
          <w:rFonts w:hint="eastAsia" w:ascii="仿宋" w:hAnsi="仿宋" w:eastAsia="仿宋" w:cs="仿宋"/>
          <w:sz w:val="32"/>
          <w:szCs w:val="32"/>
        </w:rPr>
      </w:pPr>
      <w:r>
        <w:rPr>
          <w:rFonts w:hint="eastAsia" w:ascii="仿宋_GB2312" w:hAnsi="仿宋_GB2312" w:eastAsia="仿宋_GB2312" w:cs="仿宋_GB2312"/>
          <w:color w:val="000000"/>
          <w:spacing w:val="2"/>
          <w:sz w:val="28"/>
          <w:szCs w:val="28"/>
        </w:rPr>
        <w:t>（一）主要职责：</w:t>
      </w:r>
      <w:r>
        <w:rPr>
          <w:rStyle w:val="10"/>
          <w:rFonts w:hint="eastAsia" w:ascii="仿宋" w:hAnsi="仿宋" w:eastAsia="仿宋" w:cs="仿宋"/>
          <w:sz w:val="32"/>
          <w:szCs w:val="32"/>
        </w:rPr>
        <w:t>黄石港区食药监局座落于黄石市磁湖路</w:t>
      </w:r>
      <w:r>
        <w:rPr>
          <w:rStyle w:val="12"/>
          <w:rFonts w:hint="eastAsia" w:ascii="仿宋" w:hAnsi="仿宋" w:eastAsia="仿宋" w:cs="仿宋"/>
          <w:sz w:val="32"/>
          <w:szCs w:val="32"/>
        </w:rPr>
        <w:t>180</w:t>
      </w:r>
      <w:r>
        <w:rPr>
          <w:rStyle w:val="10"/>
          <w:rFonts w:hint="eastAsia" w:ascii="仿宋" w:hAnsi="仿宋" w:eastAsia="仿宋" w:cs="仿宋"/>
          <w:sz w:val="32"/>
          <w:szCs w:val="32"/>
        </w:rPr>
        <w:t>号黄石港区政府大楼内，肃属于黄石市黄石港区。主要职能为：（1）</w:t>
      </w:r>
      <w:r>
        <w:rPr>
          <w:rFonts w:hint="eastAsia" w:ascii="仿宋" w:hAnsi="仿宋" w:eastAsia="仿宋" w:cs="仿宋"/>
          <w:sz w:val="32"/>
          <w:szCs w:val="32"/>
        </w:rPr>
        <w:t>负责消费环节食品卫生许可和食品安全监督管理。(2)制定消费环节食品安全管理规范并监督实施，开展消费环节食品安全状况调查和监测工作，发布与消费环节食品安全监管有关的信息。(3）负责化妆品卫生许可、卫生监督管理和有关化妆品的审批工作。（4）负责药品、医疗器械行政监督和技术监督，负责制定药品和医疗器械研制、生产、流通、使用方面的质量管理规范并监督实施。（5）负责药品、医疗器械注册和监督管理。(6)监督管理药品、医疗器械质量安全，监督管理放射性药品、麻醉药品、毒性药品及精神药品，发布药品、医疗器械质量安全信息。(7)组织查处消费环节食品安全和药品、医疗器械、化妆品等的研制、生产、流通、使用方面的违法行为。</w:t>
      </w:r>
    </w:p>
    <w:p>
      <w:pPr>
        <w:spacing w:line="440" w:lineRule="exact"/>
        <w:ind w:firstLine="640" w:firstLineChars="200"/>
        <w:rPr>
          <w:rFonts w:hint="eastAsia" w:ascii="仿宋" w:hAnsi="仿宋" w:eastAsia="仿宋" w:cs="仿宋"/>
          <w:sz w:val="32"/>
          <w:szCs w:val="32"/>
        </w:rPr>
      </w:pPr>
      <w:r>
        <w:rPr>
          <w:rFonts w:hint="eastAsia" w:ascii="仿宋" w:hAnsi="仿宋" w:eastAsia="仿宋" w:cs="仿宋"/>
          <w:bCs/>
          <w:color w:val="333333"/>
          <w:sz w:val="32"/>
          <w:szCs w:val="32"/>
        </w:rPr>
        <w:t>2、</w:t>
      </w:r>
      <w:r>
        <w:rPr>
          <w:rFonts w:hint="eastAsia" w:ascii="仿宋" w:hAnsi="仿宋" w:eastAsia="仿宋" w:cs="仿宋"/>
          <w:bCs/>
          <w:sz w:val="32"/>
          <w:szCs w:val="32"/>
        </w:rPr>
        <w:t>机构设置：</w:t>
      </w:r>
      <w:r>
        <w:rPr>
          <w:rFonts w:hint="eastAsia" w:ascii="仿宋" w:hAnsi="仿宋" w:eastAsia="仿宋" w:cs="仿宋"/>
          <w:sz w:val="32"/>
          <w:szCs w:val="32"/>
        </w:rPr>
        <w:t>黄石市黄石港区食品药品监督管理局，为区政府工作部门，本部门年末实有人数17人，行政编8人；事业编9人。</w:t>
      </w:r>
    </w:p>
    <w:p>
      <w:pPr>
        <w:ind w:firstLine="600" w:firstLineChars="200"/>
        <w:rPr>
          <w:rFonts w:hint="eastAsia" w:ascii="宋体" w:hAnsi="宋体" w:cs="宋体"/>
          <w:color w:val="333333"/>
          <w:kern w:val="0"/>
          <w:sz w:val="30"/>
          <w:szCs w:val="30"/>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bdr w:val="none" w:color="auto" w:sz="0" w:space="0"/>
          <w:shd w:val="clear" w:fill="FFFFFF"/>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第二部分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color w:val="333333"/>
          <w:sz w:val="24"/>
          <w:szCs w:val="24"/>
        </w:rPr>
        <w:sectPr>
          <w:pgSz w:w="16838" w:h="11906" w:orient="landscape"/>
          <w:pgMar w:top="1800" w:right="1440" w:bottom="1800" w:left="1440" w:header="851" w:footer="992" w:gutter="0"/>
          <w:cols w:space="425" w:num="1"/>
          <w:docGrid w:type="lines" w:linePitch="312" w:charSpace="0"/>
        </w:sectPr>
      </w:pPr>
      <w:r>
        <w:drawing>
          <wp:inline distT="0" distB="0" distL="114300" distR="114300">
            <wp:extent cx="6071235" cy="5269230"/>
            <wp:effectExtent l="0" t="0" r="5715" b="7620"/>
            <wp:docPr id="333" name="图片 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3" name="图片 333"/>
                    <pic:cNvPicPr>
                      <a:picLocks noChangeAspect="1"/>
                    </pic:cNvPicPr>
                  </pic:nvPicPr>
                  <pic:blipFill>
                    <a:blip r:embed="rId4"/>
                    <a:stretch>
                      <a:fillRect/>
                    </a:stretch>
                  </pic:blipFill>
                  <pic:spPr>
                    <a:xfrm>
                      <a:off x="0" y="0"/>
                      <a:ext cx="6071235" cy="5269230"/>
                    </a:xfrm>
                    <a:prstGeom prst="rect">
                      <a:avLst/>
                    </a:prstGeom>
                    <a:noFill/>
                    <a:ln w="9525">
                      <a:noFill/>
                    </a:ln>
                  </pic:spPr>
                </pic:pic>
              </a:graphicData>
            </a:graphic>
          </wp:inline>
        </w:drawing>
      </w:r>
      <w:r>
        <w:drawing>
          <wp:inline distT="0" distB="0" distL="114300" distR="114300">
            <wp:extent cx="8863330" cy="2085340"/>
            <wp:effectExtent l="0" t="0" r="13970" b="10160"/>
            <wp:docPr id="334" name="图片 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 name="图片 334"/>
                    <pic:cNvPicPr>
                      <a:picLocks noChangeAspect="1"/>
                    </pic:cNvPicPr>
                  </pic:nvPicPr>
                  <pic:blipFill>
                    <a:blip r:embed="rId5"/>
                    <a:stretch>
                      <a:fillRect/>
                    </a:stretch>
                  </pic:blipFill>
                  <pic:spPr>
                    <a:xfrm>
                      <a:off x="0" y="0"/>
                      <a:ext cx="8863330" cy="2085340"/>
                    </a:xfrm>
                    <a:prstGeom prst="rect">
                      <a:avLst/>
                    </a:prstGeom>
                    <a:noFill/>
                    <a:ln w="9525">
                      <a:noFill/>
                    </a:ln>
                  </pic:spPr>
                </pic:pic>
              </a:graphicData>
            </a:graphic>
          </wp:inline>
        </w:drawing>
      </w:r>
      <w:r>
        <w:drawing>
          <wp:inline distT="0" distB="0" distL="114300" distR="114300">
            <wp:extent cx="8855710" cy="2316480"/>
            <wp:effectExtent l="0" t="0" r="2540" b="7620"/>
            <wp:docPr id="335" name="图片 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5" name="图片 335"/>
                    <pic:cNvPicPr>
                      <a:picLocks noChangeAspect="1"/>
                    </pic:cNvPicPr>
                  </pic:nvPicPr>
                  <pic:blipFill>
                    <a:blip r:embed="rId6"/>
                    <a:stretch>
                      <a:fillRect/>
                    </a:stretch>
                  </pic:blipFill>
                  <pic:spPr>
                    <a:xfrm>
                      <a:off x="0" y="0"/>
                      <a:ext cx="8855710" cy="2316480"/>
                    </a:xfrm>
                    <a:prstGeom prst="rect">
                      <a:avLst/>
                    </a:prstGeom>
                    <a:noFill/>
                    <a:ln w="9525">
                      <a:noFill/>
                    </a:ln>
                  </pic:spPr>
                </pic:pic>
              </a:graphicData>
            </a:graphic>
          </wp:inline>
        </w:drawing>
      </w:r>
      <w:r>
        <w:drawing>
          <wp:inline distT="0" distB="0" distL="114300" distR="114300">
            <wp:extent cx="6496050" cy="5200650"/>
            <wp:effectExtent l="0" t="0" r="0" b="0"/>
            <wp:docPr id="336" name="图片 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 name="图片 336"/>
                    <pic:cNvPicPr>
                      <a:picLocks noChangeAspect="1"/>
                    </pic:cNvPicPr>
                  </pic:nvPicPr>
                  <pic:blipFill>
                    <a:blip r:embed="rId7"/>
                    <a:stretch>
                      <a:fillRect/>
                    </a:stretch>
                  </pic:blipFill>
                  <pic:spPr>
                    <a:xfrm>
                      <a:off x="0" y="0"/>
                      <a:ext cx="6496050" cy="5200650"/>
                    </a:xfrm>
                    <a:prstGeom prst="rect">
                      <a:avLst/>
                    </a:prstGeom>
                    <a:noFill/>
                    <a:ln w="9525">
                      <a:noFill/>
                    </a:ln>
                  </pic:spPr>
                </pic:pic>
              </a:graphicData>
            </a:graphic>
          </wp:inline>
        </w:drawing>
      </w:r>
      <w:r>
        <w:drawing>
          <wp:inline distT="0" distB="0" distL="114300" distR="114300">
            <wp:extent cx="5915025" cy="2781300"/>
            <wp:effectExtent l="0" t="0" r="9525" b="0"/>
            <wp:docPr id="337" name="图片 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7" name="图片 337"/>
                    <pic:cNvPicPr>
                      <a:picLocks noChangeAspect="1"/>
                    </pic:cNvPicPr>
                  </pic:nvPicPr>
                  <pic:blipFill>
                    <a:blip r:embed="rId8"/>
                    <a:stretch>
                      <a:fillRect/>
                    </a:stretch>
                  </pic:blipFill>
                  <pic:spPr>
                    <a:xfrm>
                      <a:off x="0" y="0"/>
                      <a:ext cx="5915025" cy="2781300"/>
                    </a:xfrm>
                    <a:prstGeom prst="rect">
                      <a:avLst/>
                    </a:prstGeom>
                    <a:noFill/>
                    <a:ln w="9525">
                      <a:noFill/>
                    </a:ln>
                  </pic:spPr>
                </pic:pic>
              </a:graphicData>
            </a:graphic>
          </wp:inline>
        </w:drawing>
      </w:r>
      <w:r>
        <w:drawing>
          <wp:inline distT="0" distB="0" distL="114300" distR="114300">
            <wp:extent cx="8858885" cy="5099685"/>
            <wp:effectExtent l="0" t="0" r="18415" b="5715"/>
            <wp:docPr id="338" name="图片 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 name="图片 338"/>
                    <pic:cNvPicPr>
                      <a:picLocks noChangeAspect="1"/>
                    </pic:cNvPicPr>
                  </pic:nvPicPr>
                  <pic:blipFill>
                    <a:blip r:embed="rId9"/>
                    <a:stretch>
                      <a:fillRect/>
                    </a:stretch>
                  </pic:blipFill>
                  <pic:spPr>
                    <a:xfrm>
                      <a:off x="0" y="0"/>
                      <a:ext cx="8858885" cy="5099685"/>
                    </a:xfrm>
                    <a:prstGeom prst="rect">
                      <a:avLst/>
                    </a:prstGeom>
                    <a:noFill/>
                    <a:ln w="9525">
                      <a:noFill/>
                    </a:ln>
                  </pic:spPr>
                </pic:pic>
              </a:graphicData>
            </a:graphic>
          </wp:inline>
        </w:drawing>
      </w:r>
      <w:r>
        <w:drawing>
          <wp:inline distT="0" distB="0" distL="114300" distR="114300">
            <wp:extent cx="8858885" cy="1823085"/>
            <wp:effectExtent l="0" t="0" r="18415" b="5715"/>
            <wp:docPr id="339" name="图片 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 name="图片 339"/>
                    <pic:cNvPicPr>
                      <a:picLocks noChangeAspect="1"/>
                    </pic:cNvPicPr>
                  </pic:nvPicPr>
                  <pic:blipFill>
                    <a:blip r:embed="rId10"/>
                    <a:stretch>
                      <a:fillRect/>
                    </a:stretch>
                  </pic:blipFill>
                  <pic:spPr>
                    <a:xfrm>
                      <a:off x="0" y="0"/>
                      <a:ext cx="8858885" cy="1823085"/>
                    </a:xfrm>
                    <a:prstGeom prst="rect">
                      <a:avLst/>
                    </a:prstGeom>
                    <a:noFill/>
                    <a:ln w="9525">
                      <a:noFill/>
                    </a:ln>
                  </pic:spPr>
                </pic:pic>
              </a:graphicData>
            </a:graphic>
          </wp:inline>
        </w:drawing>
      </w:r>
      <w:r>
        <w:drawing>
          <wp:inline distT="0" distB="0" distL="114300" distR="114300">
            <wp:extent cx="8857615" cy="2239010"/>
            <wp:effectExtent l="0" t="0" r="635" b="8890"/>
            <wp:docPr id="340" name="图片 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 name="图片 340"/>
                    <pic:cNvPicPr>
                      <a:picLocks noChangeAspect="1"/>
                    </pic:cNvPicPr>
                  </pic:nvPicPr>
                  <pic:blipFill>
                    <a:blip r:embed="rId11"/>
                    <a:stretch>
                      <a:fillRect/>
                    </a:stretch>
                  </pic:blipFill>
                  <pic:spPr>
                    <a:xfrm>
                      <a:off x="0" y="0"/>
                      <a:ext cx="8857615" cy="2239010"/>
                    </a:xfrm>
                    <a:prstGeom prst="rect">
                      <a:avLst/>
                    </a:prstGeom>
                    <a:noFill/>
                    <a:ln w="9525">
                      <a:noFill/>
                    </a:ln>
                  </pic:spPr>
                </pic:pic>
              </a:graphicData>
            </a:graphic>
          </wp:inline>
        </w:drawing>
      </w:r>
      <w:bookmarkStart w:id="0" w:name="_GoBack"/>
      <w:bookmarkEnd w:id="0"/>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第三部分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2017年部门决算情况说明</w:t>
      </w:r>
    </w:p>
    <w:p>
      <w:pPr>
        <w:spacing w:line="440" w:lineRule="exact"/>
        <w:ind w:firstLine="643" w:firstLineChars="200"/>
        <w:rPr>
          <w:rFonts w:hint="eastAsia" w:ascii="仿宋" w:hAnsi="仿宋" w:eastAsia="仿宋" w:cs="仿宋"/>
          <w:kern w:val="0"/>
          <w:sz w:val="32"/>
          <w:szCs w:val="32"/>
        </w:rPr>
      </w:pPr>
      <w:r>
        <w:rPr>
          <w:rFonts w:hint="eastAsia" w:ascii="仿宋" w:hAnsi="仿宋" w:eastAsia="仿宋" w:cs="仿宋"/>
          <w:b/>
          <w:bCs/>
          <w:sz w:val="32"/>
          <w:szCs w:val="32"/>
        </w:rPr>
        <w:t>1、</w:t>
      </w:r>
      <w:r>
        <w:rPr>
          <w:rFonts w:hint="eastAsia" w:ascii="仿宋" w:hAnsi="仿宋" w:eastAsia="仿宋" w:cs="仿宋"/>
          <w:sz w:val="32"/>
          <w:szCs w:val="32"/>
        </w:rPr>
        <w:t>2017年度实际收到的</w:t>
      </w:r>
      <w:r>
        <w:rPr>
          <w:rFonts w:hint="eastAsia" w:ascii="仿宋" w:hAnsi="仿宋" w:eastAsia="仿宋" w:cs="仿宋"/>
          <w:bCs/>
          <w:sz w:val="32"/>
          <w:szCs w:val="32"/>
        </w:rPr>
        <w:t>一般</w:t>
      </w:r>
      <w:r>
        <w:rPr>
          <w:rFonts w:hint="eastAsia" w:ascii="仿宋" w:hAnsi="仿宋" w:eastAsia="仿宋" w:cs="仿宋"/>
          <w:sz w:val="32"/>
          <w:szCs w:val="32"/>
        </w:rPr>
        <w:t>公共预算财政拨款收入 410.54万元；与2016年度实际收到的</w:t>
      </w:r>
      <w:r>
        <w:rPr>
          <w:rFonts w:hint="eastAsia" w:ascii="仿宋" w:hAnsi="仿宋" w:eastAsia="仿宋" w:cs="仿宋"/>
          <w:bCs/>
          <w:sz w:val="32"/>
          <w:szCs w:val="32"/>
        </w:rPr>
        <w:t>一般</w:t>
      </w:r>
      <w:r>
        <w:rPr>
          <w:rFonts w:hint="eastAsia" w:ascii="仿宋" w:hAnsi="仿宋" w:eastAsia="仿宋" w:cs="仿宋"/>
          <w:sz w:val="32"/>
          <w:szCs w:val="32"/>
        </w:rPr>
        <w:t>公共预算财政拨款收入278.71万元，同比增加131.83万元。</w:t>
      </w:r>
      <w:r>
        <w:rPr>
          <w:rFonts w:hint="eastAsia" w:ascii="仿宋" w:hAnsi="仿宋" w:eastAsia="仿宋" w:cs="仿宋"/>
          <w:kern w:val="0"/>
          <w:sz w:val="32"/>
          <w:szCs w:val="32"/>
        </w:rPr>
        <w:t>2017年</w:t>
      </w:r>
      <w:r>
        <w:rPr>
          <w:rFonts w:hint="eastAsia" w:ascii="仿宋" w:hAnsi="仿宋" w:eastAsia="仿宋" w:cs="仿宋"/>
          <w:bCs/>
          <w:sz w:val="32"/>
          <w:szCs w:val="32"/>
        </w:rPr>
        <w:t>一般公共预算财政拨款支出</w:t>
      </w:r>
      <w:r>
        <w:rPr>
          <w:rFonts w:hint="eastAsia" w:ascii="仿宋" w:hAnsi="仿宋" w:eastAsia="仿宋" w:cs="仿宋"/>
          <w:kern w:val="0"/>
          <w:sz w:val="32"/>
          <w:szCs w:val="32"/>
        </w:rPr>
        <w:t>总额为</w:t>
      </w:r>
      <w:r>
        <w:rPr>
          <w:rFonts w:hint="eastAsia" w:ascii="仿宋" w:hAnsi="仿宋" w:eastAsia="仿宋" w:cs="仿宋"/>
          <w:sz w:val="32"/>
          <w:szCs w:val="32"/>
        </w:rPr>
        <w:t>410.54</w:t>
      </w:r>
      <w:r>
        <w:rPr>
          <w:rFonts w:hint="eastAsia" w:ascii="仿宋" w:hAnsi="仿宋" w:eastAsia="仿宋" w:cs="仿宋"/>
          <w:kern w:val="0"/>
          <w:sz w:val="32"/>
          <w:szCs w:val="32"/>
        </w:rPr>
        <w:t>万元；2016年</w:t>
      </w:r>
      <w:r>
        <w:rPr>
          <w:rFonts w:hint="eastAsia" w:ascii="仿宋" w:hAnsi="仿宋" w:eastAsia="仿宋" w:cs="仿宋"/>
          <w:bCs/>
          <w:sz w:val="32"/>
          <w:szCs w:val="32"/>
        </w:rPr>
        <w:t>一般公共预算财政拨款支出</w:t>
      </w:r>
      <w:r>
        <w:rPr>
          <w:rFonts w:hint="eastAsia" w:ascii="仿宋" w:hAnsi="仿宋" w:eastAsia="仿宋" w:cs="仿宋"/>
          <w:kern w:val="0"/>
          <w:sz w:val="32"/>
          <w:szCs w:val="32"/>
        </w:rPr>
        <w:t>总额为</w:t>
      </w:r>
      <w:r>
        <w:rPr>
          <w:rFonts w:hint="eastAsia" w:ascii="仿宋" w:hAnsi="仿宋" w:eastAsia="仿宋" w:cs="仿宋"/>
          <w:sz w:val="32"/>
          <w:szCs w:val="32"/>
        </w:rPr>
        <w:t>284.55</w:t>
      </w:r>
      <w:r>
        <w:rPr>
          <w:rFonts w:hint="eastAsia" w:ascii="仿宋" w:hAnsi="仿宋" w:eastAsia="仿宋" w:cs="仿宋"/>
          <w:kern w:val="0"/>
          <w:sz w:val="32"/>
          <w:szCs w:val="32"/>
        </w:rPr>
        <w:t>万元，同比增加125.99万元。主要为创卫专项（104.24万元）等专项支出。</w:t>
      </w:r>
    </w:p>
    <w:p>
      <w:pPr>
        <w:numPr>
          <w:ilvl w:val="0"/>
          <w:numId w:val="1"/>
        </w:numPr>
        <w:spacing w:line="44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本年度机关运行经费支出 107.3万元，2016年支出 112.87  万元；对比减少5.57万元。减少原因主要为办公费等费用减少。</w:t>
      </w:r>
    </w:p>
    <w:p>
      <w:pPr>
        <w:numPr>
          <w:ilvl w:val="0"/>
          <w:numId w:val="1"/>
        </w:numPr>
        <w:spacing w:line="44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三公经费支出情况：三公经费本年度无支出。</w:t>
      </w:r>
    </w:p>
    <w:p>
      <w:pPr>
        <w:numPr>
          <w:ilvl w:val="0"/>
          <w:numId w:val="1"/>
        </w:numPr>
        <w:spacing w:line="44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本年无政府采购支出。</w:t>
      </w:r>
    </w:p>
    <w:p>
      <w:pPr>
        <w:numPr>
          <w:ilvl w:val="0"/>
          <w:numId w:val="1"/>
        </w:numPr>
        <w:spacing w:line="44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本单位无公车和大型设备。</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仿宋_GB2312" w:eastAsia="仿宋_GB2312"/>
          <w:sz w:val="27"/>
          <w:szCs w:val="27"/>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第四部分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名词解释</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一、财政补助收入：指县级财政当年拨付的资金。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二、其他收入：指除“财政拨款收入”、“上级补助收入”、“事业收入”、“经营收入”等以外的收入。主要是存款利息收入等。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三、年初结转和结余：指以前年度尚未完成、结转到本年按有关规定继续使用的资金。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四、一般公共服务（类）行政运行（项）：指县行政单位及参照公务员管理事业单位用于保障机构正常运行、开展日常工作的基本支出。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六、一般公共服务（类）机关服务（项）：指县</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黄石港区食药监局</w:t>
      </w:r>
      <w:r>
        <w:rPr>
          <w:rFonts w:hint="eastAsia" w:ascii="微软雅黑" w:hAnsi="微软雅黑" w:eastAsia="微软雅黑" w:cs="微软雅黑"/>
          <w:b w:val="0"/>
          <w:i w:val="0"/>
          <w:caps w:val="0"/>
          <w:color w:val="333333"/>
          <w:spacing w:val="0"/>
          <w:sz w:val="24"/>
          <w:szCs w:val="24"/>
          <w:bdr w:val="none" w:color="auto" w:sz="0" w:space="0"/>
          <w:shd w:val="clear" w:fill="FFFFFF"/>
        </w:rPr>
        <w:t>服务中心为机关提供办公楼日常维修、维护等后勤保障服务的支出。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七、一般公共服务（类）其他一般公共服务支出（款）其他一般公共服务支出（项）：指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黄石港区食药监局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用于其他一般公共服务方面的支出。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八、教育（类）普通教育（款）高等教育（项）：指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黄石港区食药监局</w:t>
      </w:r>
      <w:r>
        <w:rPr>
          <w:rFonts w:hint="eastAsia" w:ascii="微软雅黑" w:hAnsi="微软雅黑" w:eastAsia="微软雅黑" w:cs="微软雅黑"/>
          <w:b w:val="0"/>
          <w:i w:val="0"/>
          <w:caps w:val="0"/>
          <w:color w:val="333333"/>
          <w:spacing w:val="0"/>
          <w:sz w:val="24"/>
          <w:szCs w:val="24"/>
          <w:bdr w:val="none" w:color="auto" w:sz="0" w:space="0"/>
          <w:shd w:val="clear" w:fill="FFFFFF"/>
        </w:rPr>
        <w:t>厅支持地方高校的重点发展和特色办学，组织专家对省属院校申报的建设规划和项目预算进行评审等相关工作的支出。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九、社会保障和就业(类)行政事业单位离退休（款）归口管理的行政单位离退休（项）：指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黄石港区食药监局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用于离退休人员的支出、退休人员支出，以及提供管理服务工作的离退休干部处的支出。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十、社会保障和就业(类)行政事业单位离退休（款）其他行政事业单位离退休支出（项）：指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黄石港区食药监局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用于离退休方面的其他支出。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十一、医疗卫生与计划生育（类）医疗保障（款）行政单位医疗（项）：指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黄石港区食药监局</w:t>
      </w:r>
      <w:r>
        <w:rPr>
          <w:rFonts w:hint="eastAsia" w:ascii="微软雅黑" w:hAnsi="微软雅黑" w:eastAsia="微软雅黑" w:cs="微软雅黑"/>
          <w:b w:val="0"/>
          <w:i w:val="0"/>
          <w:caps w:val="0"/>
          <w:color w:val="333333"/>
          <w:spacing w:val="0"/>
          <w:sz w:val="24"/>
          <w:szCs w:val="24"/>
          <w:bdr w:val="none" w:color="auto" w:sz="0" w:space="0"/>
          <w:shd w:val="clear" w:fill="FFFFFF"/>
        </w:rPr>
        <w:t>用于机关干部职工及离退休人员医疗方面的支出。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十二、住房保障（类）住房改革支出（款）购房补贴（项）：指按照相关住房分配货币化改革的政策规定和标准，对无房和住房未达标职工发放的住房分配货币化补贴资金。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十三、年末结转和结余：指本年度或以前年度预算安排、因客观条件发生变化无法按原计划实施，需要延迟到以后年度按有关规定继续使用的资金。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十四、基本支出：指为保障机构正常运转、完成日常工作任务而发生的人员支出（包括基本工资、津贴补贴等）和公用支出（包括办公费、水电费、邮电费、交通费、差旅费等）。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十五、项目支出：指在基本支出之外为完成特定行政任务和事业发展目标所发生的支出。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十六、“三公”经费：是指用财政拨款安排的因公出国（境）费、公务用车购置及运行维护费、公务接待费。</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方正仿宋_GBK">
    <w:altName w:val="宋体"/>
    <w:panose1 w:val="00000000000000000000"/>
    <w:charset w:val="86"/>
    <w:family w:val="roman"/>
    <w:pitch w:val="default"/>
    <w:sig w:usb0="00000000" w:usb1="00000000" w:usb2="00000010" w:usb3="00000000" w:csb0="00040000" w:csb1="00000000"/>
  </w:font>
  <w:font w:name="华文楷体">
    <w:panose1 w:val="02010600040101010101"/>
    <w:charset w:val="86"/>
    <w:family w:val="auto"/>
    <w:pitch w:val="default"/>
    <w:sig w:usb0="00000287" w:usb1="080F0000" w:usb2="00000000" w:usb3="00000000" w:csb0="0004009F" w:csb1="DFD70000"/>
  </w:font>
  <w:font w:name="仿宋">
    <w:panose1 w:val="02010609060101010101"/>
    <w:charset w:val="7A"/>
    <w:family w:val="auto"/>
    <w:pitch w:val="default"/>
    <w:sig w:usb0="800002BF" w:usb1="38CF7CFA" w:usb2="00000016" w:usb3="00000000" w:csb0="00040001" w:csb1="00000000"/>
  </w:font>
  <w:font w:name="华文细黑">
    <w:panose1 w:val="02010600040101010101"/>
    <w:charset w:val="86"/>
    <w:family w:val="auto"/>
    <w:pitch w:val="default"/>
    <w:sig w:usb0="00000287" w:usb1="080F0000" w:usb2="00000000" w:usb3="00000000" w:csb0="0004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35E8BE"/>
    <w:multiLevelType w:val="singleLevel"/>
    <w:tmpl w:val="2035E8BE"/>
    <w:lvl w:ilvl="0" w:tentative="0">
      <w:start w:val="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956809"/>
    <w:rsid w:val="01BA2E7D"/>
    <w:rsid w:val="0664587B"/>
    <w:rsid w:val="09FF39B4"/>
    <w:rsid w:val="0B821CB6"/>
    <w:rsid w:val="0F243B6C"/>
    <w:rsid w:val="0F580F62"/>
    <w:rsid w:val="10157CA5"/>
    <w:rsid w:val="11411182"/>
    <w:rsid w:val="13FA6E94"/>
    <w:rsid w:val="1D3216D7"/>
    <w:rsid w:val="219E41B4"/>
    <w:rsid w:val="255E033E"/>
    <w:rsid w:val="27272230"/>
    <w:rsid w:val="27390172"/>
    <w:rsid w:val="2CCE2491"/>
    <w:rsid w:val="2F081AB6"/>
    <w:rsid w:val="35840005"/>
    <w:rsid w:val="401A2F36"/>
    <w:rsid w:val="408F5EDF"/>
    <w:rsid w:val="43693B26"/>
    <w:rsid w:val="44064590"/>
    <w:rsid w:val="457D21A1"/>
    <w:rsid w:val="49D83A19"/>
    <w:rsid w:val="4A187DA8"/>
    <w:rsid w:val="4CC36F4D"/>
    <w:rsid w:val="4FCC39E6"/>
    <w:rsid w:val="507C1CF5"/>
    <w:rsid w:val="53FA08DA"/>
    <w:rsid w:val="57193076"/>
    <w:rsid w:val="5EF27DB1"/>
    <w:rsid w:val="602B7412"/>
    <w:rsid w:val="61773BFF"/>
    <w:rsid w:val="621B3808"/>
    <w:rsid w:val="67E4782B"/>
    <w:rsid w:val="6A5F0092"/>
    <w:rsid w:val="6FC62DF1"/>
    <w:rsid w:val="746766E2"/>
    <w:rsid w:val="74EA7B66"/>
    <w:rsid w:val="78186405"/>
    <w:rsid w:val="784C1E5B"/>
    <w:rsid w:val="796F54E7"/>
    <w:rsid w:val="7D417A4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3">
    <w:name w:val="Body Text Indent"/>
    <w:basedOn w:val="1"/>
    <w:uiPriority w:val="0"/>
    <w:pPr>
      <w:spacing w:line="500" w:lineRule="exact"/>
      <w:ind w:firstLine="640" w:firstLineChars="200"/>
    </w:pPr>
    <w:rPr>
      <w:rFonts w:ascii="宋体"/>
      <w:sz w:val="32"/>
    </w:rPr>
  </w:style>
  <w:style w:type="paragraph" w:styleId="4">
    <w:name w:val="Plain Text"/>
    <w:basedOn w:val="1"/>
    <w:uiPriority w:val="0"/>
    <w:rPr>
      <w:rFonts w:ascii="宋体" w:hAnsi="Courier New" w:cs="Courier New"/>
      <w:szCs w:val="21"/>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9">
    <w:name w:val="正文缩进 + 首行缩进:  2 字符"/>
    <w:basedOn w:val="1"/>
    <w:uiPriority w:val="0"/>
    <w:pPr>
      <w:spacing w:line="560" w:lineRule="exact"/>
      <w:ind w:firstLine="640"/>
    </w:pPr>
    <w:rPr>
      <w:rFonts w:ascii="仿宋" w:hAnsi="仿宋" w:cs="宋体"/>
      <w:sz w:val="32"/>
      <w:szCs w:val="32"/>
    </w:rPr>
  </w:style>
  <w:style w:type="character" w:customStyle="1" w:styleId="10">
    <w:name w:val="ca-2"/>
    <w:basedOn w:val="6"/>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2">
    <w:name w:val="ca-3"/>
    <w:basedOn w:val="6"/>
    <w:uiPriority w:val="0"/>
  </w:style>
  <w:style w:type="character" w:customStyle="1" w:styleId="13">
    <w:name w:val="apple-converted-space"/>
    <w:basedOn w:val="6"/>
    <w:uiPriority w:val="99"/>
  </w:style>
  <w:style w:type="paragraph" w:customStyle="1" w:styleId="14">
    <w:name w:val="pa-1"/>
    <w:basedOn w:val="1"/>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侒靜啲喧嘩</cp:lastModifiedBy>
  <dcterms:modified xsi:type="dcterms:W3CDTF">2019-02-27T12:37:48Z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