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shd w:val="clear" w:fill="FFFFFF"/>
          <w:lang w:eastAsia="zh-CN"/>
        </w:rPr>
        <w:t>食药监局</w:t>
      </w:r>
      <w:r>
        <w:rPr>
          <w:rFonts w:hint="eastAsia" w:ascii="微软雅黑" w:hAnsi="微软雅黑" w:eastAsia="微软雅黑" w:cs="微软雅黑"/>
          <w:b/>
          <w:i w:val="0"/>
          <w:caps w:val="0"/>
          <w:color w:val="BC1010"/>
          <w:spacing w:val="0"/>
          <w:sz w:val="40"/>
          <w:szCs w:val="40"/>
          <w:shd w:val="clear" w:fill="FFFFFF"/>
        </w:rPr>
        <w:t>201</w:t>
      </w:r>
      <w:r>
        <w:rPr>
          <w:rFonts w:hint="eastAsia" w:ascii="微软雅黑" w:hAnsi="微软雅黑" w:eastAsia="微软雅黑" w:cs="微软雅黑"/>
          <w:b/>
          <w:i w:val="0"/>
          <w:caps w:val="0"/>
          <w:color w:val="BC1010"/>
          <w:spacing w:val="0"/>
          <w:sz w:val="40"/>
          <w:szCs w:val="40"/>
          <w:shd w:val="clear" w:fill="FFFFFF"/>
          <w:lang w:val="en-US" w:eastAsia="zh-CN"/>
        </w:rPr>
        <w:t>8</w:t>
      </w:r>
      <w:r>
        <w:rPr>
          <w:rFonts w:hint="eastAsia" w:ascii="微软雅黑" w:hAnsi="微软雅黑" w:eastAsia="微软雅黑" w:cs="微软雅黑"/>
          <w:b/>
          <w:i w:val="0"/>
          <w:caps w:val="0"/>
          <w:color w:val="BC1010"/>
          <w:spacing w:val="0"/>
          <w:sz w:val="40"/>
          <w:szCs w:val="40"/>
          <w:shd w:val="clear" w:fill="FFFFFF"/>
        </w:rPr>
        <w:t>年决算公开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10"/>
          <w:rFonts w:hint="eastAsia" w:ascii="微软雅黑" w:hAnsi="微软雅黑" w:eastAsia="微软雅黑" w:cs="微软雅黑"/>
          <w:i w:val="0"/>
          <w:caps w:val="0"/>
          <w:color w:val="333333"/>
          <w:spacing w:val="0"/>
          <w:sz w:val="24"/>
          <w:szCs w:val="24"/>
          <w:shd w:val="clear" w:fill="FFFFFF"/>
          <w:lang w:eastAsia="zh-CN"/>
        </w:rPr>
        <w:t>黄石港区食药监局</w:t>
      </w:r>
      <w:r>
        <w:rPr>
          <w:rStyle w:val="10"/>
          <w:rFonts w:hint="eastAsia" w:ascii="微软雅黑" w:hAnsi="微软雅黑" w:eastAsia="微软雅黑" w:cs="微软雅黑"/>
          <w:i w:val="0"/>
          <w:caps w:val="0"/>
          <w:color w:val="333333"/>
          <w:spacing w:val="0"/>
          <w:sz w:val="24"/>
          <w:szCs w:val="24"/>
          <w:shd w:val="clear" w:fill="FFFFFF"/>
        </w:rPr>
        <w:t>201</w:t>
      </w:r>
      <w:r>
        <w:rPr>
          <w:rStyle w:val="10"/>
          <w:rFonts w:hint="eastAsia" w:ascii="微软雅黑" w:hAnsi="微软雅黑" w:eastAsia="微软雅黑" w:cs="微软雅黑"/>
          <w:i w:val="0"/>
          <w:caps w:val="0"/>
          <w:color w:val="333333"/>
          <w:spacing w:val="0"/>
          <w:sz w:val="24"/>
          <w:szCs w:val="24"/>
          <w:shd w:val="clear" w:fill="FFFFFF"/>
          <w:lang w:val="en-US" w:eastAsia="zh-CN"/>
        </w:rPr>
        <w:t>8</w:t>
      </w:r>
      <w:r>
        <w:rPr>
          <w:rStyle w:val="10"/>
          <w:rFonts w:hint="eastAsia" w:ascii="微软雅黑" w:hAnsi="微软雅黑" w:eastAsia="微软雅黑" w:cs="微软雅黑"/>
          <w:i w:val="0"/>
          <w:caps w:val="0"/>
          <w:color w:val="333333"/>
          <w:spacing w:val="0"/>
          <w:sz w:val="24"/>
          <w:szCs w:val="24"/>
          <w:shd w:val="clear" w:fill="FFFFFF"/>
        </w:rPr>
        <w:t>年决算公开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第一部分:部门基本情况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一、部门主要职责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二、部门决算单位构成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第二部分: 部门201</w:t>
      </w:r>
      <w:r>
        <w:rPr>
          <w:rFonts w:hint="eastAsia" w:ascii="微软雅黑" w:hAnsi="微软雅黑" w:eastAsia="微软雅黑" w:cs="微软雅黑"/>
          <w:b w:val="0"/>
          <w:i w:val="0"/>
          <w:caps w:val="0"/>
          <w:color w:val="333333"/>
          <w:spacing w:val="0"/>
          <w:sz w:val="24"/>
          <w:szCs w:val="24"/>
          <w:shd w:val="clear" w:fill="FFFFFF"/>
          <w:lang w:val="en-US" w:eastAsia="zh-CN"/>
        </w:rPr>
        <w:t>8</w:t>
      </w:r>
      <w:r>
        <w:rPr>
          <w:rFonts w:hint="eastAsia" w:ascii="微软雅黑" w:hAnsi="微软雅黑" w:eastAsia="微软雅黑" w:cs="微软雅黑"/>
          <w:b w:val="0"/>
          <w:i w:val="0"/>
          <w:caps w:val="0"/>
          <w:color w:val="333333"/>
          <w:spacing w:val="0"/>
          <w:sz w:val="24"/>
          <w:szCs w:val="24"/>
          <w:shd w:val="clear" w:fill="FFFFFF"/>
        </w:rPr>
        <w:t>年部门决算表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一、收入支出决算总表（表1）</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二、收入决算表（表2）</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三、支出决算表（表3）</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四、财政拨款收入支出决算总表（表4）</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五、一般公共预算财政拨款支出决算表（表5）</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六、一般公共预算财政拨款基本支出决算表（表6）</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七、一般公共预算财政拨款“三公”经费支出决算表（表7）</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八、政府性基金预算财政拨款收入支出决算表（8）</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第三部分：部门201</w:t>
      </w:r>
      <w:r>
        <w:rPr>
          <w:rFonts w:hint="eastAsia" w:ascii="微软雅黑" w:hAnsi="微软雅黑" w:eastAsia="微软雅黑" w:cs="微软雅黑"/>
          <w:b w:val="0"/>
          <w:i w:val="0"/>
          <w:caps w:val="0"/>
          <w:color w:val="333333"/>
          <w:spacing w:val="0"/>
          <w:sz w:val="24"/>
          <w:szCs w:val="24"/>
          <w:shd w:val="clear" w:fill="FFFFFF"/>
          <w:lang w:val="en-US" w:eastAsia="zh-CN"/>
        </w:rPr>
        <w:t>8</w:t>
      </w:r>
      <w:r>
        <w:rPr>
          <w:rFonts w:hint="eastAsia" w:ascii="微软雅黑" w:hAnsi="微软雅黑" w:eastAsia="微软雅黑" w:cs="微软雅黑"/>
          <w:b w:val="0"/>
          <w:i w:val="0"/>
          <w:caps w:val="0"/>
          <w:color w:val="333333"/>
          <w:spacing w:val="0"/>
          <w:sz w:val="24"/>
          <w:szCs w:val="24"/>
          <w:shd w:val="clear" w:fill="FFFFFF"/>
        </w:rPr>
        <w:t>年部门决算情况说明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一、</w:t>
      </w:r>
      <w:r>
        <w:rPr>
          <w:rFonts w:hint="eastAsia" w:ascii="微软雅黑" w:hAnsi="微软雅黑" w:eastAsia="微软雅黑" w:cs="微软雅黑"/>
          <w:b w:val="0"/>
          <w:i w:val="0"/>
          <w:caps w:val="0"/>
          <w:color w:val="333333"/>
          <w:spacing w:val="0"/>
          <w:sz w:val="24"/>
          <w:szCs w:val="24"/>
          <w:shd w:val="clear" w:fill="FFFFFF"/>
        </w:rPr>
        <w:t>预算执行情况分析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二、</w:t>
      </w:r>
      <w:r>
        <w:rPr>
          <w:rFonts w:hint="eastAsia" w:ascii="微软雅黑" w:hAnsi="微软雅黑" w:eastAsia="微软雅黑" w:cs="微软雅黑"/>
          <w:b w:val="0"/>
          <w:i w:val="0"/>
          <w:caps w:val="0"/>
          <w:color w:val="333333"/>
          <w:spacing w:val="0"/>
          <w:sz w:val="24"/>
          <w:szCs w:val="24"/>
          <w:shd w:val="clear" w:fill="FFFFFF"/>
        </w:rPr>
        <w:t>关于“三公”经费支出说明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三、</w:t>
      </w:r>
      <w:r>
        <w:rPr>
          <w:rFonts w:hint="eastAsia" w:ascii="微软雅黑" w:hAnsi="微软雅黑" w:eastAsia="微软雅黑" w:cs="微软雅黑"/>
          <w:b w:val="0"/>
          <w:i w:val="0"/>
          <w:caps w:val="0"/>
          <w:color w:val="333333"/>
          <w:spacing w:val="0"/>
          <w:sz w:val="24"/>
          <w:szCs w:val="24"/>
          <w:shd w:val="clear" w:fill="FFFFFF"/>
        </w:rPr>
        <w:t>关于机关运行经费支出说明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四</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关于政府采购支出说明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五</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关于国有资产占用情况说明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第四部分：名词解释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rStyle w:val="10"/>
          <w:rFonts w:hint="eastAsia" w:ascii="微软雅黑" w:hAnsi="微软雅黑" w:eastAsia="微软雅黑" w:cs="微软雅黑"/>
          <w:i w:val="0"/>
          <w:caps w:val="0"/>
          <w:color w:val="333333"/>
          <w:spacing w:val="0"/>
          <w:sz w:val="24"/>
          <w:szCs w:val="24"/>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10"/>
          <w:rFonts w:hint="eastAsia" w:ascii="微软雅黑" w:hAnsi="微软雅黑" w:eastAsia="微软雅黑" w:cs="微软雅黑"/>
          <w:i w:val="0"/>
          <w:caps w:val="0"/>
          <w:color w:val="333333"/>
          <w:spacing w:val="0"/>
          <w:sz w:val="24"/>
          <w:szCs w:val="24"/>
          <w:shd w:val="clear" w:fill="FFFFFF"/>
        </w:rPr>
        <w:t>201</w:t>
      </w:r>
      <w:r>
        <w:rPr>
          <w:rStyle w:val="10"/>
          <w:rFonts w:hint="eastAsia" w:ascii="微软雅黑" w:hAnsi="微软雅黑" w:eastAsia="微软雅黑" w:cs="微软雅黑"/>
          <w:i w:val="0"/>
          <w:caps w:val="0"/>
          <w:color w:val="333333"/>
          <w:spacing w:val="0"/>
          <w:sz w:val="24"/>
          <w:szCs w:val="24"/>
          <w:shd w:val="clear" w:fill="FFFFFF"/>
          <w:lang w:val="en-US" w:eastAsia="zh-CN"/>
        </w:rPr>
        <w:t>8</w:t>
      </w:r>
      <w:r>
        <w:rPr>
          <w:rStyle w:val="10"/>
          <w:rFonts w:hint="eastAsia" w:ascii="微软雅黑" w:hAnsi="微软雅黑" w:eastAsia="微软雅黑" w:cs="微软雅黑"/>
          <w:i w:val="0"/>
          <w:caps w:val="0"/>
          <w:color w:val="333333"/>
          <w:spacing w:val="0"/>
          <w:sz w:val="24"/>
          <w:szCs w:val="24"/>
          <w:shd w:val="clear" w:fill="FFFFFF"/>
        </w:rPr>
        <w:t>年部门决算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10"/>
          <w:rFonts w:hint="eastAsia" w:ascii="微软雅黑" w:hAnsi="微软雅黑" w:eastAsia="微软雅黑" w:cs="微软雅黑"/>
          <w:i w:val="0"/>
          <w:caps w:val="0"/>
          <w:color w:val="333333"/>
          <w:spacing w:val="0"/>
          <w:sz w:val="24"/>
          <w:szCs w:val="24"/>
          <w:shd w:val="clear" w:fill="FFFFFF"/>
          <w:lang w:eastAsia="zh-CN"/>
        </w:rPr>
        <w:t>第一部分</w:t>
      </w:r>
      <w:r>
        <w:rPr>
          <w:rStyle w:val="10"/>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10"/>
          <w:rFonts w:hint="eastAsia" w:ascii="微软雅黑" w:hAnsi="微软雅黑" w:eastAsia="微软雅黑" w:cs="微软雅黑"/>
          <w:i w:val="0"/>
          <w:caps w:val="0"/>
          <w:color w:val="333333"/>
          <w:spacing w:val="0"/>
          <w:sz w:val="24"/>
          <w:szCs w:val="24"/>
          <w:shd w:val="clear" w:fill="FFFFFF"/>
        </w:rPr>
        <w:t>部门概况</w:t>
      </w:r>
    </w:p>
    <w:p>
      <w:pPr>
        <w:widowControl/>
        <w:shd w:val="clear" w:color="auto" w:fill="FFFFFF"/>
        <w:ind w:firstLine="480"/>
        <w:jc w:val="left"/>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lang w:eastAsia="zh-CN"/>
        </w:rPr>
        <w:t>（一）</w:t>
      </w:r>
      <w:r>
        <w:rPr>
          <w:rFonts w:hint="eastAsia" w:asciiTheme="minorEastAsia" w:hAnsiTheme="minorEastAsia" w:eastAsiaTheme="minorEastAsia" w:cstheme="minorEastAsia"/>
          <w:color w:val="333333"/>
          <w:kern w:val="0"/>
          <w:sz w:val="28"/>
          <w:szCs w:val="28"/>
        </w:rPr>
        <w:t>主要职能</w:t>
      </w:r>
    </w:p>
    <w:p>
      <w:pPr>
        <w:widowControl/>
        <w:shd w:val="clear" w:color="auto" w:fill="FFFFFF"/>
        <w:ind w:firstLine="480"/>
        <w:jc w:val="left"/>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负责消费环节食品卫生许可和食品安全监督管理</w:t>
      </w:r>
      <w:r>
        <w:rPr>
          <w:rFonts w:hint="eastAsia" w:asciiTheme="minorEastAsia" w:hAnsiTheme="minorEastAsia" w:eastAsiaTheme="minorEastAsia" w:cstheme="minorEastAsia"/>
          <w:color w:val="333333"/>
          <w:kern w:val="0"/>
          <w:sz w:val="28"/>
          <w:szCs w:val="28"/>
          <w:lang w:eastAsia="zh-CN"/>
        </w:rPr>
        <w:t>；</w:t>
      </w:r>
      <w:r>
        <w:rPr>
          <w:rFonts w:hint="eastAsia" w:asciiTheme="minorEastAsia" w:hAnsiTheme="minorEastAsia" w:eastAsiaTheme="minorEastAsia" w:cstheme="minorEastAsia"/>
          <w:color w:val="333333"/>
          <w:kern w:val="0"/>
          <w:sz w:val="28"/>
          <w:szCs w:val="28"/>
        </w:rPr>
        <w:t>制定消费环节食品安全管理规范并监督实施，开展消费环节食品安全状况调查和监测工作，发布与消费环节食品安全监管有关的信息</w:t>
      </w:r>
      <w:r>
        <w:rPr>
          <w:rFonts w:hint="eastAsia" w:asciiTheme="minorEastAsia" w:hAnsiTheme="minorEastAsia" w:eastAsiaTheme="minorEastAsia" w:cstheme="minorEastAsia"/>
          <w:color w:val="333333"/>
          <w:kern w:val="0"/>
          <w:sz w:val="28"/>
          <w:szCs w:val="28"/>
          <w:lang w:eastAsia="zh-CN"/>
        </w:rPr>
        <w:t>；</w:t>
      </w:r>
      <w:r>
        <w:rPr>
          <w:rFonts w:hint="eastAsia" w:asciiTheme="minorEastAsia" w:hAnsiTheme="minorEastAsia" w:eastAsiaTheme="minorEastAsia" w:cstheme="minorEastAsia"/>
          <w:color w:val="333333"/>
          <w:kern w:val="0"/>
          <w:sz w:val="28"/>
          <w:szCs w:val="28"/>
        </w:rPr>
        <w:t>负责化妆品卫生许可、卫生监督管理和有关化妆品的审批工作</w:t>
      </w:r>
      <w:r>
        <w:rPr>
          <w:rFonts w:hint="eastAsia" w:asciiTheme="minorEastAsia" w:hAnsiTheme="minorEastAsia" w:eastAsiaTheme="minorEastAsia" w:cstheme="minorEastAsia"/>
          <w:color w:val="333333"/>
          <w:kern w:val="0"/>
          <w:sz w:val="28"/>
          <w:szCs w:val="28"/>
          <w:lang w:eastAsia="zh-CN"/>
        </w:rPr>
        <w:t>；</w:t>
      </w:r>
      <w:r>
        <w:rPr>
          <w:rFonts w:hint="eastAsia" w:asciiTheme="minorEastAsia" w:hAnsiTheme="minorEastAsia" w:eastAsiaTheme="minorEastAsia" w:cstheme="minorEastAsia"/>
          <w:color w:val="333333"/>
          <w:kern w:val="0"/>
          <w:sz w:val="28"/>
          <w:szCs w:val="28"/>
        </w:rPr>
        <w:t>负责药品、医疗器械行政监督和技术监督，负责制定药品和医疗器械研制、生产、流通、使用方面的质量管理规范并监督实施</w:t>
      </w:r>
      <w:r>
        <w:rPr>
          <w:rFonts w:hint="eastAsia" w:asciiTheme="minorEastAsia" w:hAnsiTheme="minorEastAsia" w:eastAsiaTheme="minorEastAsia" w:cstheme="minorEastAsia"/>
          <w:color w:val="333333"/>
          <w:kern w:val="0"/>
          <w:sz w:val="28"/>
          <w:szCs w:val="28"/>
          <w:lang w:eastAsia="zh-CN"/>
        </w:rPr>
        <w:t>；</w:t>
      </w:r>
      <w:r>
        <w:rPr>
          <w:rFonts w:hint="eastAsia" w:asciiTheme="minorEastAsia" w:hAnsiTheme="minorEastAsia" w:eastAsiaTheme="minorEastAsia" w:cstheme="minorEastAsia"/>
          <w:color w:val="333333"/>
          <w:kern w:val="0"/>
          <w:sz w:val="28"/>
          <w:szCs w:val="28"/>
        </w:rPr>
        <w:t>负责药品、医疗器械注册和监督管理</w:t>
      </w:r>
      <w:r>
        <w:rPr>
          <w:rFonts w:hint="eastAsia" w:asciiTheme="minorEastAsia" w:hAnsiTheme="minorEastAsia" w:eastAsiaTheme="minorEastAsia" w:cstheme="minorEastAsia"/>
          <w:color w:val="333333"/>
          <w:kern w:val="0"/>
          <w:sz w:val="28"/>
          <w:szCs w:val="28"/>
          <w:lang w:eastAsia="zh-CN"/>
        </w:rPr>
        <w:t>；</w:t>
      </w:r>
      <w:r>
        <w:rPr>
          <w:rFonts w:hint="eastAsia" w:asciiTheme="minorEastAsia" w:hAnsiTheme="minorEastAsia" w:eastAsiaTheme="minorEastAsia" w:cstheme="minorEastAsia"/>
          <w:color w:val="333333"/>
          <w:kern w:val="0"/>
          <w:sz w:val="28"/>
          <w:szCs w:val="28"/>
        </w:rPr>
        <w:t>监督管理药品、医疗器械质量安全，监督管理放射性药品、麻醉药品、毒性药品及精神药品，发布药品、医疗器械质量安全信息</w:t>
      </w:r>
      <w:r>
        <w:rPr>
          <w:rFonts w:hint="eastAsia" w:asciiTheme="minorEastAsia" w:hAnsiTheme="minorEastAsia" w:eastAsiaTheme="minorEastAsia" w:cstheme="minorEastAsia"/>
          <w:color w:val="333333"/>
          <w:kern w:val="0"/>
          <w:sz w:val="28"/>
          <w:szCs w:val="28"/>
          <w:lang w:eastAsia="zh-CN"/>
        </w:rPr>
        <w:t>；</w:t>
      </w:r>
      <w:r>
        <w:rPr>
          <w:rFonts w:hint="eastAsia" w:asciiTheme="minorEastAsia" w:hAnsiTheme="minorEastAsia" w:eastAsiaTheme="minorEastAsia" w:cstheme="minorEastAsia"/>
          <w:color w:val="333333"/>
          <w:kern w:val="0"/>
          <w:sz w:val="28"/>
          <w:szCs w:val="28"/>
        </w:rPr>
        <w:t>组织查处消费环节食品安全和药品、医疗器械、化妆品等的研制、生产、流通、使用方面的违法行为。</w:t>
      </w:r>
    </w:p>
    <w:p>
      <w:pPr>
        <w:widowControl/>
        <w:shd w:val="clear" w:color="auto" w:fill="FFFFFF"/>
        <w:ind w:firstLine="480"/>
        <w:jc w:val="left"/>
        <w:rPr>
          <w:rFonts w:hint="eastAsia" w:asciiTheme="minorEastAsia" w:hAnsiTheme="minorEastAsia" w:eastAsiaTheme="minorEastAsia" w:cstheme="minorEastAsia"/>
          <w:color w:val="333333"/>
          <w:kern w:val="0"/>
          <w:sz w:val="28"/>
          <w:szCs w:val="28"/>
          <w:lang w:eastAsia="zh-CN"/>
        </w:rPr>
      </w:pPr>
      <w:r>
        <w:rPr>
          <w:rFonts w:hint="eastAsia" w:asciiTheme="minorEastAsia" w:hAnsiTheme="minorEastAsia" w:eastAsiaTheme="minorEastAsia" w:cstheme="minorEastAsia"/>
          <w:color w:val="333333"/>
          <w:kern w:val="0"/>
          <w:sz w:val="28"/>
          <w:szCs w:val="28"/>
          <w:lang w:val="en-US" w:eastAsia="zh-CN"/>
        </w:rPr>
        <w:t>（二）</w:t>
      </w:r>
      <w:r>
        <w:rPr>
          <w:rFonts w:hint="eastAsia" w:asciiTheme="minorEastAsia" w:hAnsiTheme="minorEastAsia" w:eastAsiaTheme="minorEastAsia" w:cstheme="minorEastAsia"/>
          <w:color w:val="333333"/>
          <w:kern w:val="0"/>
          <w:sz w:val="28"/>
          <w:szCs w:val="28"/>
        </w:rPr>
        <w:t>机构情况</w:t>
      </w:r>
    </w:p>
    <w:p>
      <w:pPr>
        <w:widowControl/>
        <w:shd w:val="clear" w:color="auto" w:fill="FFFFFF"/>
        <w:ind w:firstLine="480"/>
        <w:jc w:val="left"/>
        <w:rPr>
          <w:rFonts w:hint="eastAsia" w:asciiTheme="minorEastAsia" w:hAnsiTheme="minorEastAsia" w:eastAsiaTheme="minorEastAsia" w:cstheme="minorEastAsia"/>
          <w:color w:val="333333"/>
          <w:kern w:val="0"/>
          <w:sz w:val="28"/>
          <w:szCs w:val="28"/>
        </w:rPr>
      </w:pPr>
      <w:r>
        <w:rPr>
          <w:rFonts w:hint="eastAsia" w:asciiTheme="minorEastAsia" w:hAnsiTheme="minorEastAsia" w:eastAsiaTheme="minorEastAsia" w:cstheme="minorEastAsia"/>
          <w:color w:val="333333"/>
          <w:kern w:val="0"/>
          <w:sz w:val="28"/>
          <w:szCs w:val="28"/>
        </w:rPr>
        <w:t>黄石市黄石港区食品药品监督管理局，为区政府工作部门。</w:t>
      </w:r>
    </w:p>
    <w:p>
      <w:pPr>
        <w:widowControl/>
        <w:shd w:val="clear" w:color="auto" w:fill="FFFFFF"/>
        <w:ind w:firstLine="480"/>
        <w:jc w:val="left"/>
        <w:rPr>
          <w:rFonts w:hint="eastAsia" w:asciiTheme="minorEastAsia" w:hAnsiTheme="minorEastAsia" w:eastAsiaTheme="minorEastAsia" w:cstheme="minorEastAsia"/>
          <w:color w:val="333333"/>
          <w:kern w:val="0"/>
          <w:sz w:val="28"/>
          <w:szCs w:val="28"/>
          <w:lang w:eastAsia="zh-CN"/>
        </w:rPr>
      </w:pPr>
      <w:r>
        <w:rPr>
          <w:rFonts w:hint="eastAsia" w:asciiTheme="minorEastAsia" w:hAnsiTheme="minorEastAsia" w:eastAsiaTheme="minorEastAsia" w:cstheme="minorEastAsia"/>
          <w:color w:val="333333"/>
          <w:kern w:val="0"/>
          <w:sz w:val="28"/>
          <w:szCs w:val="28"/>
          <w:lang w:eastAsia="zh-CN"/>
        </w:rPr>
        <w:t>（三）</w:t>
      </w:r>
      <w:r>
        <w:rPr>
          <w:rFonts w:hint="eastAsia" w:asciiTheme="minorEastAsia" w:hAnsiTheme="minorEastAsia" w:eastAsiaTheme="minorEastAsia" w:cstheme="minorEastAsia"/>
          <w:color w:val="333333"/>
          <w:kern w:val="0"/>
          <w:sz w:val="28"/>
          <w:szCs w:val="28"/>
        </w:rPr>
        <w:t>人员情况</w:t>
      </w:r>
    </w:p>
    <w:p>
      <w:pPr>
        <w:widowControl/>
        <w:shd w:val="clear" w:color="auto" w:fill="FFFFFF"/>
        <w:ind w:firstLine="480"/>
        <w:jc w:val="left"/>
        <w:rPr>
          <w:rFonts w:hint="eastAsia" w:ascii="宋体" w:hAnsi="宋体" w:cs="宋体"/>
          <w:color w:val="333333"/>
          <w:kern w:val="0"/>
          <w:sz w:val="30"/>
          <w:szCs w:val="30"/>
        </w:rPr>
      </w:pPr>
      <w:r>
        <w:rPr>
          <w:rFonts w:hint="eastAsia" w:asciiTheme="minorEastAsia" w:hAnsiTheme="minorEastAsia" w:eastAsiaTheme="minorEastAsia" w:cstheme="minorEastAsia"/>
          <w:color w:val="333333"/>
          <w:kern w:val="0"/>
          <w:sz w:val="28"/>
          <w:szCs w:val="28"/>
        </w:rPr>
        <w:t>本</w:t>
      </w:r>
      <w:r>
        <w:rPr>
          <w:rFonts w:hint="eastAsia" w:asciiTheme="minorEastAsia" w:hAnsiTheme="minorEastAsia" w:eastAsiaTheme="minorEastAsia" w:cstheme="minorEastAsia"/>
          <w:color w:val="333333"/>
          <w:kern w:val="0"/>
          <w:sz w:val="28"/>
          <w:szCs w:val="28"/>
          <w:lang w:val="en-US" w:eastAsia="zh-CN"/>
        </w:rPr>
        <w:t>单位</w:t>
      </w:r>
      <w:r>
        <w:rPr>
          <w:rFonts w:hint="eastAsia" w:asciiTheme="minorEastAsia" w:hAnsiTheme="minorEastAsia" w:eastAsiaTheme="minorEastAsia" w:cstheme="minorEastAsia"/>
          <w:color w:val="333333"/>
          <w:kern w:val="0"/>
          <w:sz w:val="28"/>
          <w:szCs w:val="28"/>
        </w:rPr>
        <w:t>年末实有人数16人，行政编6人；事业编10人</w:t>
      </w:r>
      <w:r>
        <w:rPr>
          <w:rFonts w:hint="eastAsia" w:asciiTheme="minorEastAsia" w:hAnsiTheme="minorEastAsia" w:eastAsiaTheme="minorEastAsia" w:cstheme="minorEastAsia"/>
          <w:color w:val="333333"/>
          <w:kern w:val="0"/>
          <w:sz w:val="28"/>
          <w:szCs w:val="28"/>
          <w:lang w:eastAsia="zh-CN"/>
        </w:rPr>
        <w:t>。</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420" w:leftChars="0" w:right="0" w:rightChars="0"/>
        <w:rPr>
          <w:color w:val="333333"/>
          <w:sz w:val="24"/>
          <w:szCs w:val="24"/>
        </w:rPr>
      </w:pPr>
      <w:r>
        <w:rPr>
          <w:rStyle w:val="10"/>
          <w:rFonts w:hint="eastAsia" w:ascii="微软雅黑" w:hAnsi="微软雅黑" w:eastAsia="微软雅黑" w:cs="微软雅黑"/>
          <w:i w:val="0"/>
          <w:caps w:val="0"/>
          <w:color w:val="333333"/>
          <w:spacing w:val="0"/>
          <w:sz w:val="24"/>
          <w:szCs w:val="24"/>
          <w:shd w:val="clear" w:fill="FFFFFF"/>
          <w:lang w:eastAsia="zh-CN"/>
        </w:rPr>
        <w:t>第二部分</w:t>
      </w:r>
      <w:r>
        <w:rPr>
          <w:rStyle w:val="10"/>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10"/>
          <w:rFonts w:hint="eastAsia" w:ascii="微软雅黑" w:hAnsi="微软雅黑" w:eastAsia="微软雅黑" w:cs="微软雅黑"/>
          <w:i w:val="0"/>
          <w:caps w:val="0"/>
          <w:color w:val="333333"/>
          <w:spacing w:val="0"/>
          <w:sz w:val="24"/>
          <w:szCs w:val="24"/>
          <w:shd w:val="clear" w:fill="FFFFFF"/>
          <w:lang w:eastAsia="zh-CN"/>
        </w:rPr>
        <w:t>部门</w:t>
      </w:r>
      <w:r>
        <w:rPr>
          <w:rStyle w:val="10"/>
          <w:rFonts w:hint="eastAsia" w:ascii="微软雅黑" w:hAnsi="微软雅黑" w:eastAsia="微软雅黑" w:cs="微软雅黑"/>
          <w:i w:val="0"/>
          <w:caps w:val="0"/>
          <w:color w:val="333333"/>
          <w:spacing w:val="0"/>
          <w:sz w:val="24"/>
          <w:szCs w:val="24"/>
          <w:shd w:val="clear" w:fill="FFFFFF"/>
        </w:rPr>
        <w:t>201</w:t>
      </w:r>
      <w:r>
        <w:rPr>
          <w:rStyle w:val="10"/>
          <w:rFonts w:hint="eastAsia" w:ascii="微软雅黑" w:hAnsi="微软雅黑" w:eastAsia="微软雅黑" w:cs="微软雅黑"/>
          <w:i w:val="0"/>
          <w:caps w:val="0"/>
          <w:color w:val="333333"/>
          <w:spacing w:val="0"/>
          <w:sz w:val="24"/>
          <w:szCs w:val="24"/>
          <w:shd w:val="clear" w:fill="FFFFFF"/>
          <w:lang w:val="en-US" w:eastAsia="zh-CN"/>
        </w:rPr>
        <w:t>8</w:t>
      </w:r>
      <w:r>
        <w:rPr>
          <w:rStyle w:val="10"/>
          <w:rFonts w:hint="eastAsia" w:ascii="微软雅黑" w:hAnsi="微软雅黑" w:eastAsia="微软雅黑" w:cs="微软雅黑"/>
          <w:i w:val="0"/>
          <w:caps w:val="0"/>
          <w:color w:val="333333"/>
          <w:spacing w:val="0"/>
          <w:sz w:val="24"/>
          <w:szCs w:val="24"/>
          <w:shd w:val="clear" w:fill="FFFFFF"/>
        </w:rPr>
        <w:t>年部门决算表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r>
        <w:drawing>
          <wp:inline distT="0" distB="0" distL="114300" distR="114300">
            <wp:extent cx="8841105" cy="4349750"/>
            <wp:effectExtent l="0" t="0" r="1714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841105" cy="4349750"/>
                    </a:xfrm>
                    <a:prstGeom prst="rect">
                      <a:avLst/>
                    </a:prstGeom>
                    <a:noFill/>
                    <a:ln>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r>
        <w:drawing>
          <wp:inline distT="0" distB="0" distL="114300" distR="114300">
            <wp:extent cx="8852535" cy="2719070"/>
            <wp:effectExtent l="0" t="0" r="5715"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8852535" cy="2719070"/>
                    </a:xfrm>
                    <a:prstGeom prst="rect">
                      <a:avLst/>
                    </a:prstGeom>
                    <a:noFill/>
                    <a:ln>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r>
        <w:drawing>
          <wp:inline distT="0" distB="0" distL="114300" distR="114300">
            <wp:extent cx="8856345" cy="2014220"/>
            <wp:effectExtent l="0" t="0" r="1905"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8856345" cy="2014220"/>
                    </a:xfrm>
                    <a:prstGeom prst="rect">
                      <a:avLst/>
                    </a:prstGeom>
                    <a:noFill/>
                    <a:ln>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r>
        <w:drawing>
          <wp:inline distT="0" distB="0" distL="114300" distR="114300">
            <wp:extent cx="8753475" cy="5600700"/>
            <wp:effectExtent l="0" t="0" r="9525"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8753475" cy="5600700"/>
                    </a:xfrm>
                    <a:prstGeom prst="rect">
                      <a:avLst/>
                    </a:prstGeom>
                    <a:noFill/>
                    <a:ln>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r>
        <w:drawing>
          <wp:inline distT="0" distB="0" distL="114300" distR="114300">
            <wp:extent cx="8859520" cy="3975735"/>
            <wp:effectExtent l="0" t="0" r="17780" b="571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8859520" cy="3975735"/>
                    </a:xfrm>
                    <a:prstGeom prst="rect">
                      <a:avLst/>
                    </a:prstGeom>
                    <a:noFill/>
                    <a:ln>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pP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pPr>
      <w:r>
        <w:drawing>
          <wp:inline distT="0" distB="0" distL="114300" distR="114300">
            <wp:extent cx="8859520" cy="5379085"/>
            <wp:effectExtent l="0" t="0" r="17780" b="1206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8859520" cy="5379085"/>
                    </a:xfrm>
                    <a:prstGeom prst="rect">
                      <a:avLst/>
                    </a:prstGeom>
                    <a:noFill/>
                    <a:ln>
                      <a:noFill/>
                    </a:ln>
                  </pic:spPr>
                </pic:pic>
              </a:graphicData>
            </a:graphic>
          </wp:inline>
        </w:drawing>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pPr>
      <w:r>
        <w:drawing>
          <wp:inline distT="0" distB="0" distL="114300" distR="114300">
            <wp:extent cx="8863330" cy="1840230"/>
            <wp:effectExtent l="0" t="0" r="13970" b="762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8863330" cy="1840230"/>
                    </a:xfrm>
                    <a:prstGeom prst="rect">
                      <a:avLst/>
                    </a:prstGeom>
                    <a:noFill/>
                    <a:ln>
                      <a:noFill/>
                    </a:ln>
                  </pic:spPr>
                </pic:pic>
              </a:graphicData>
            </a:graphic>
          </wp:inline>
        </w:drawing>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ightChars="0"/>
        <w:rPr>
          <w:rFonts w:hint="eastAsia"/>
        </w:rPr>
      </w:pPr>
      <w:r>
        <w:drawing>
          <wp:inline distT="0" distB="0" distL="114300" distR="114300">
            <wp:extent cx="8855710" cy="2831465"/>
            <wp:effectExtent l="0" t="0" r="2540" b="698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a:stretch>
                      <a:fillRect/>
                    </a:stretch>
                  </pic:blipFill>
                  <pic:spPr>
                    <a:xfrm>
                      <a:off x="0" y="0"/>
                      <a:ext cx="8855710" cy="2831465"/>
                    </a:xfrm>
                    <a:prstGeom prst="rect">
                      <a:avLst/>
                    </a:prstGeom>
                    <a:noFill/>
                    <a:ln>
                      <a:noFill/>
                    </a:ln>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bCs/>
          <w:i w:val="0"/>
          <w:caps w:val="0"/>
          <w:color w:val="333333"/>
          <w:spacing w:val="0"/>
          <w:sz w:val="24"/>
          <w:szCs w:val="24"/>
          <w:shd w:val="clear" w:fill="FFFFFF"/>
        </w:rPr>
      </w:pPr>
      <w:r>
        <w:rPr>
          <w:rFonts w:hint="eastAsia" w:ascii="微软雅黑" w:hAnsi="微软雅黑" w:eastAsia="微软雅黑" w:cs="微软雅黑"/>
          <w:b/>
          <w:bCs/>
          <w:i w:val="0"/>
          <w:caps w:val="0"/>
          <w:color w:val="333333"/>
          <w:spacing w:val="0"/>
          <w:sz w:val="24"/>
          <w:szCs w:val="24"/>
          <w:shd w:val="clear" w:fill="FFFFFF"/>
        </w:rPr>
        <w:t>第三部分：部门201</w:t>
      </w:r>
      <w:r>
        <w:rPr>
          <w:rFonts w:hint="eastAsia" w:ascii="微软雅黑" w:hAnsi="微软雅黑" w:eastAsia="微软雅黑" w:cs="微软雅黑"/>
          <w:b/>
          <w:bCs/>
          <w:i w:val="0"/>
          <w:caps w:val="0"/>
          <w:color w:val="333333"/>
          <w:spacing w:val="0"/>
          <w:sz w:val="24"/>
          <w:szCs w:val="24"/>
          <w:shd w:val="clear" w:fill="FFFFFF"/>
          <w:lang w:val="en-US" w:eastAsia="zh-CN"/>
        </w:rPr>
        <w:t>8</w:t>
      </w:r>
      <w:r>
        <w:rPr>
          <w:rFonts w:hint="eastAsia" w:ascii="微软雅黑" w:hAnsi="微软雅黑" w:eastAsia="微软雅黑" w:cs="微软雅黑"/>
          <w:b/>
          <w:bCs/>
          <w:i w:val="0"/>
          <w:caps w:val="0"/>
          <w:color w:val="333333"/>
          <w:spacing w:val="0"/>
          <w:sz w:val="24"/>
          <w:szCs w:val="24"/>
          <w:shd w:val="clear" w:fill="FFFFFF"/>
        </w:rPr>
        <w:t>年部门决算情况说明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562" w:firstLineChars="200"/>
        <w:textAlignment w:val="auto"/>
        <w:rPr>
          <w:rFonts w:hint="eastAsia" w:ascii="宋体" w:hAnsi="宋体" w:cs="宋体"/>
          <w:b/>
          <w:bCs/>
          <w:color w:val="333333"/>
          <w:kern w:val="0"/>
          <w:sz w:val="28"/>
          <w:szCs w:val="28"/>
        </w:rPr>
      </w:pPr>
      <w:r>
        <w:rPr>
          <w:rFonts w:hint="eastAsia" w:ascii="宋体" w:hAnsi="宋体" w:cs="宋体"/>
          <w:b/>
          <w:bCs/>
          <w:color w:val="333333"/>
          <w:kern w:val="0"/>
          <w:sz w:val="28"/>
          <w:szCs w:val="28"/>
          <w:lang w:eastAsia="zh-CN"/>
        </w:rPr>
        <w:t>（一）</w:t>
      </w:r>
      <w:r>
        <w:rPr>
          <w:rFonts w:hint="eastAsia" w:ascii="宋体" w:hAnsi="宋体" w:cs="宋体"/>
          <w:b/>
          <w:bCs/>
          <w:color w:val="333333"/>
          <w:kern w:val="0"/>
          <w:sz w:val="28"/>
          <w:szCs w:val="28"/>
        </w:rPr>
        <w:t>收入与支出预算执行情况分析</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2018年度财政收入预算数218.85万元，其中人员经费146.13万元，公用经费72.72万元；2018年度财政支出预算数218.85万元，其中人员经费146.13万元，公用经费72.72万元。2017年度财政收入预算数167.74万元，其中人员经费121.58万元，公用经费46.16万元；2017年度财政支出预算数167.74万元，其中人员经费121.58万元，公用经费46.161万元。2018收入预算数比上年增加51.11万元，2018支出预算数比上年增加51.11万元。</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1、收入与预算对比分析</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default"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2018年全年总收入532.07万元。其中财政决算收入358.8万元，其他收入173.27万元。2018年全年决算总支出529.23万元，其中财政决算支出358.8万元，其他资金支出170.43万元。2018年度财政收入预算数218.85万元，财拔决算比预算多313.22万元，增幅143.12%，原因为业务增加。本年结余2.84万元为预付账款发票未到。</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2、收入结构分析</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default"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2018年全年总收入532.07万元。其中财政决算收入358.8万元，其他收入173.27万元。2018年全年决算总支出529.23万元，其中财政决算支出358.8万元，其他资金支出170.43万元。支出按以下分类说明：</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default" w:ascii="宋体" w:hAnsi="宋体" w:cs="宋体" w:eastAsiaTheme="minorEastAsia"/>
          <w:color w:val="333333"/>
          <w:kern w:val="0"/>
          <w:sz w:val="28"/>
          <w:szCs w:val="28"/>
          <w:lang w:val="en-US" w:eastAsia="zh-CN"/>
        </w:rPr>
      </w:pPr>
      <w:r>
        <w:rPr>
          <w:rFonts w:hint="default" w:ascii="宋体" w:hAnsi="宋体" w:cs="宋体" w:eastAsiaTheme="minorEastAsia"/>
          <w:color w:val="333333"/>
          <w:kern w:val="0"/>
          <w:sz w:val="28"/>
          <w:szCs w:val="28"/>
          <w:lang w:val="en-US" w:eastAsia="zh-CN"/>
        </w:rPr>
        <w:t>①</w:t>
      </w:r>
      <w:r>
        <w:rPr>
          <w:rFonts w:hint="eastAsia" w:ascii="宋体" w:hAnsi="宋体" w:cs="宋体" w:eastAsiaTheme="minorEastAsia"/>
          <w:color w:val="333333"/>
          <w:kern w:val="0"/>
          <w:sz w:val="28"/>
          <w:szCs w:val="28"/>
          <w:lang w:val="en-US" w:eastAsia="zh-CN"/>
        </w:rPr>
        <w:t>支出功能分类：529.23万元，政府办公室及相关机构事务。</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宋体" w:hAnsi="宋体" w:cs="宋体" w:eastAsiaTheme="minorEastAsia"/>
          <w:color w:val="333333"/>
          <w:kern w:val="0"/>
          <w:sz w:val="28"/>
          <w:szCs w:val="28"/>
          <w:lang w:val="en-US" w:eastAsia="zh-CN"/>
        </w:rPr>
      </w:pPr>
      <w:r>
        <w:rPr>
          <w:rFonts w:hint="default" w:ascii="宋体" w:hAnsi="宋体" w:cs="宋体" w:eastAsiaTheme="minorEastAsia"/>
          <w:color w:val="333333"/>
          <w:kern w:val="0"/>
          <w:sz w:val="28"/>
          <w:szCs w:val="28"/>
          <w:lang w:val="en-US" w:eastAsia="zh-CN"/>
        </w:rPr>
        <w:t>②</w:t>
      </w:r>
      <w:r>
        <w:rPr>
          <w:rFonts w:hint="eastAsia" w:ascii="宋体" w:hAnsi="宋体" w:cs="宋体" w:eastAsiaTheme="minorEastAsia"/>
          <w:color w:val="333333"/>
          <w:kern w:val="0"/>
          <w:sz w:val="28"/>
          <w:szCs w:val="28"/>
          <w:lang w:val="en-US" w:eastAsia="zh-CN"/>
        </w:rPr>
        <w:t>支出性质分类：529.23万元，其中人员经费47.68万元；公用经费12.82万元。</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default" w:ascii="宋体" w:hAnsi="宋体" w:cs="宋体" w:eastAsiaTheme="minorEastAsia"/>
          <w:color w:val="333333"/>
          <w:kern w:val="0"/>
          <w:sz w:val="28"/>
          <w:szCs w:val="28"/>
          <w:lang w:val="en-US" w:eastAsia="zh-CN"/>
        </w:rPr>
      </w:pPr>
      <w:r>
        <w:rPr>
          <w:rFonts w:hint="default" w:ascii="宋体" w:hAnsi="宋体" w:cs="宋体" w:eastAsiaTheme="minorEastAsia"/>
          <w:color w:val="333333"/>
          <w:kern w:val="0"/>
          <w:sz w:val="28"/>
          <w:szCs w:val="28"/>
          <w:lang w:val="en-US" w:eastAsia="zh-CN"/>
        </w:rPr>
        <w:t>③</w:t>
      </w:r>
      <w:r>
        <w:rPr>
          <w:rFonts w:hint="eastAsia" w:ascii="宋体" w:hAnsi="宋体" w:cs="宋体" w:eastAsiaTheme="minorEastAsia"/>
          <w:color w:val="333333"/>
          <w:kern w:val="0"/>
          <w:sz w:val="28"/>
          <w:szCs w:val="28"/>
          <w:lang w:val="en-US" w:eastAsia="zh-CN"/>
        </w:rPr>
        <w:t>支出经济分类：529.23万元。其中工资福利269.28万元；商品服务支出225.84万元；对个人和家庭的补助支出 0万元；资本性支出34.11万元。</w:t>
      </w:r>
    </w:p>
    <w:p>
      <w:pPr>
        <w:widowControl/>
        <w:shd w:val="clear" w:color="auto" w:fill="FFFFFF"/>
        <w:ind w:firstLine="480"/>
        <w:jc w:val="left"/>
        <w:rPr>
          <w:rFonts w:hint="eastAsia" w:ascii="宋体" w:hAnsi="宋体" w:cs="宋体"/>
          <w:b/>
          <w:bCs/>
          <w:sz w:val="28"/>
          <w:szCs w:val="28"/>
        </w:rPr>
      </w:pPr>
      <w:r>
        <w:rPr>
          <w:rFonts w:hint="eastAsia" w:ascii="宋体" w:hAnsi="宋体" w:cs="宋体"/>
          <w:b/>
          <w:bCs/>
          <w:sz w:val="28"/>
          <w:szCs w:val="28"/>
          <w:lang w:eastAsia="zh-CN"/>
        </w:rPr>
        <w:t>（二）</w:t>
      </w:r>
      <w:r>
        <w:rPr>
          <w:rFonts w:hint="eastAsia" w:ascii="宋体" w:hAnsi="宋体" w:cs="宋体"/>
          <w:b/>
          <w:bCs/>
          <w:sz w:val="28"/>
          <w:szCs w:val="28"/>
        </w:rPr>
        <w:t>关于“三公”经费支出说明</w:t>
      </w:r>
    </w:p>
    <w:p>
      <w:pPr>
        <w:widowControl/>
        <w:shd w:val="clear" w:color="auto" w:fill="FFFFFF"/>
        <w:ind w:firstLine="480"/>
        <w:jc w:val="left"/>
        <w:rPr>
          <w:rFonts w:hint="default"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本年度</w:t>
      </w:r>
      <w:r>
        <w:rPr>
          <w:rFonts w:hint="eastAsia" w:ascii="宋体" w:hAnsi="宋体" w:cs="宋体"/>
          <w:color w:val="333333"/>
          <w:kern w:val="0"/>
          <w:sz w:val="28"/>
          <w:szCs w:val="28"/>
          <w:lang w:val="en-US" w:eastAsia="zh-CN"/>
        </w:rPr>
        <w:t>共发生“三公”经费36.76万元，其中：</w:t>
      </w:r>
      <w:r>
        <w:rPr>
          <w:rFonts w:hint="eastAsia" w:ascii="宋体" w:hAnsi="宋体" w:cs="宋体" w:eastAsiaTheme="minorEastAsia"/>
          <w:color w:val="333333"/>
          <w:kern w:val="0"/>
          <w:sz w:val="28"/>
          <w:szCs w:val="28"/>
          <w:lang w:val="en-US" w:eastAsia="zh-CN"/>
        </w:rPr>
        <w:t>公务接待费用发生</w:t>
      </w:r>
      <w:r>
        <w:rPr>
          <w:rFonts w:hint="eastAsia" w:ascii="宋体" w:hAnsi="宋体" w:cs="宋体"/>
          <w:color w:val="333333"/>
          <w:kern w:val="0"/>
          <w:sz w:val="28"/>
          <w:szCs w:val="28"/>
          <w:lang w:val="en-US" w:eastAsia="zh-CN"/>
        </w:rPr>
        <w:t>72</w:t>
      </w:r>
      <w:r>
        <w:rPr>
          <w:rFonts w:hint="eastAsia" w:ascii="宋体" w:hAnsi="宋体" w:cs="宋体" w:eastAsiaTheme="minorEastAsia"/>
          <w:color w:val="333333"/>
          <w:kern w:val="0"/>
          <w:sz w:val="28"/>
          <w:szCs w:val="28"/>
          <w:lang w:val="en-US" w:eastAsia="zh-CN"/>
        </w:rPr>
        <w:t>元</w:t>
      </w:r>
      <w:r>
        <w:rPr>
          <w:rFonts w:hint="eastAsia" w:ascii="宋体" w:hAnsi="宋体" w:cs="宋体"/>
          <w:color w:val="333333"/>
          <w:kern w:val="0"/>
          <w:sz w:val="28"/>
          <w:szCs w:val="28"/>
          <w:lang w:val="en-US" w:eastAsia="zh-CN"/>
        </w:rPr>
        <w:t>；</w:t>
      </w:r>
      <w:r>
        <w:rPr>
          <w:rFonts w:hint="eastAsia" w:ascii="宋体" w:hAnsi="宋体" w:cs="宋体" w:eastAsiaTheme="minorEastAsia"/>
          <w:color w:val="333333"/>
          <w:kern w:val="0"/>
          <w:sz w:val="28"/>
          <w:szCs w:val="28"/>
          <w:lang w:val="en-US" w:eastAsia="zh-CN"/>
        </w:rPr>
        <w:t>车辆</w:t>
      </w:r>
      <w:r>
        <w:rPr>
          <w:rFonts w:hint="eastAsia" w:ascii="宋体" w:hAnsi="宋体" w:cs="宋体"/>
          <w:color w:val="333333"/>
          <w:kern w:val="0"/>
          <w:sz w:val="28"/>
          <w:szCs w:val="28"/>
          <w:lang w:val="en-US" w:eastAsia="zh-CN"/>
        </w:rPr>
        <w:t>购置费</w:t>
      </w:r>
      <w:r>
        <w:rPr>
          <w:rFonts w:hint="eastAsia" w:ascii="宋体" w:hAnsi="宋体" w:cs="宋体" w:eastAsiaTheme="minorEastAsia"/>
          <w:color w:val="333333"/>
          <w:kern w:val="0"/>
          <w:sz w:val="28"/>
          <w:szCs w:val="28"/>
          <w:lang w:val="en-US" w:eastAsia="zh-CN"/>
        </w:rPr>
        <w:t>支出</w:t>
      </w:r>
      <w:r>
        <w:rPr>
          <w:rFonts w:hint="eastAsia" w:ascii="宋体" w:hAnsi="宋体" w:cs="宋体"/>
          <w:color w:val="333333"/>
          <w:kern w:val="0"/>
          <w:sz w:val="28"/>
          <w:szCs w:val="28"/>
          <w:lang w:val="en-US" w:eastAsia="zh-CN"/>
        </w:rPr>
        <w:t>333210</w:t>
      </w:r>
      <w:r>
        <w:rPr>
          <w:rFonts w:hint="eastAsia" w:ascii="宋体" w:hAnsi="宋体" w:cs="宋体" w:eastAsiaTheme="minorEastAsia"/>
          <w:color w:val="333333"/>
          <w:kern w:val="0"/>
          <w:sz w:val="28"/>
          <w:szCs w:val="28"/>
          <w:lang w:val="en-US" w:eastAsia="zh-CN"/>
        </w:rPr>
        <w:t>元</w:t>
      </w:r>
      <w:r>
        <w:rPr>
          <w:rFonts w:hint="eastAsia" w:ascii="宋体" w:hAnsi="宋体" w:cs="宋体"/>
          <w:color w:val="333333"/>
          <w:kern w:val="0"/>
          <w:sz w:val="28"/>
          <w:szCs w:val="28"/>
          <w:lang w:val="en-US" w:eastAsia="zh-CN"/>
        </w:rPr>
        <w:t>；车辆运行维护费34380元；</w:t>
      </w:r>
      <w:r>
        <w:rPr>
          <w:rFonts w:hint="eastAsia" w:ascii="宋体" w:hAnsi="宋体" w:cs="宋体" w:eastAsiaTheme="minorEastAsia"/>
          <w:color w:val="333333"/>
          <w:kern w:val="0"/>
          <w:sz w:val="28"/>
          <w:szCs w:val="28"/>
          <w:lang w:val="en-US" w:eastAsia="zh-CN"/>
        </w:rPr>
        <w:t>无出国费用支出。</w:t>
      </w:r>
      <w:r>
        <w:rPr>
          <w:rFonts w:hint="eastAsia" w:ascii="宋体" w:hAnsi="宋体" w:cs="宋体"/>
          <w:color w:val="333333"/>
          <w:kern w:val="0"/>
          <w:sz w:val="28"/>
          <w:szCs w:val="28"/>
          <w:lang w:val="en-US" w:eastAsia="zh-CN"/>
        </w:rPr>
        <w:t>主要是</w:t>
      </w:r>
      <w:r>
        <w:rPr>
          <w:rFonts w:hint="eastAsia" w:ascii="宋体" w:hAnsi="宋体" w:cs="宋体" w:eastAsiaTheme="minorEastAsia"/>
          <w:color w:val="333333"/>
          <w:kern w:val="0"/>
          <w:sz w:val="28"/>
          <w:szCs w:val="28"/>
          <w:lang w:val="en-US" w:eastAsia="zh-CN"/>
        </w:rPr>
        <w:t>2018年6月新购置东风检测车一台，用于执法执行，价值33.32万元</w:t>
      </w:r>
      <w:r>
        <w:rPr>
          <w:rFonts w:hint="eastAsia" w:ascii="宋体" w:hAnsi="宋体" w:cs="宋体"/>
          <w:color w:val="333333"/>
          <w:kern w:val="0"/>
          <w:sz w:val="28"/>
          <w:szCs w:val="28"/>
          <w:lang w:val="en-US" w:eastAsia="zh-CN"/>
        </w:rPr>
        <w:t>，并发生相关运行维护费。</w:t>
      </w:r>
    </w:p>
    <w:p>
      <w:pPr>
        <w:widowControl/>
        <w:shd w:val="clear" w:color="auto" w:fill="FFFFFF"/>
        <w:ind w:firstLine="562" w:firstLineChars="200"/>
        <w:jc w:val="left"/>
        <w:rPr>
          <w:rFonts w:hint="eastAsia" w:asciiTheme="minorEastAsia" w:hAnsiTheme="minorEastAsia" w:eastAsiaTheme="minorEastAsia" w:cstheme="minorEastAsia"/>
          <w:b/>
          <w:bCs/>
          <w:color w:val="333333"/>
          <w:kern w:val="0"/>
          <w:sz w:val="28"/>
          <w:szCs w:val="28"/>
        </w:rPr>
      </w:pPr>
      <w:bookmarkStart w:id="0" w:name="_GoBack"/>
      <w:bookmarkEnd w:id="0"/>
      <w:r>
        <w:rPr>
          <w:rFonts w:hint="eastAsia" w:asciiTheme="minorEastAsia" w:hAnsiTheme="minorEastAsia" w:cstheme="minorEastAsia"/>
          <w:b/>
          <w:bCs/>
          <w:color w:val="333333"/>
          <w:kern w:val="0"/>
          <w:sz w:val="28"/>
          <w:szCs w:val="28"/>
          <w:lang w:eastAsia="zh-CN"/>
        </w:rPr>
        <w:t>（三）</w:t>
      </w:r>
      <w:r>
        <w:rPr>
          <w:rFonts w:hint="eastAsia" w:asciiTheme="minorEastAsia" w:hAnsiTheme="minorEastAsia" w:eastAsiaTheme="minorEastAsia" w:cstheme="minorEastAsia"/>
          <w:b/>
          <w:bCs/>
          <w:color w:val="333333"/>
          <w:kern w:val="0"/>
          <w:sz w:val="28"/>
          <w:szCs w:val="28"/>
        </w:rPr>
        <w:t>关于机关运行经费支出说明</w:t>
      </w:r>
    </w:p>
    <w:p>
      <w:pPr>
        <w:keepNext w:val="0"/>
        <w:keepLines w:val="0"/>
        <w:pageBreakBefore w:val="0"/>
        <w:widowControl/>
        <w:shd w:val="clear" w:color="auto" w:fill="FFFFFF"/>
        <w:kinsoku/>
        <w:wordWrap/>
        <w:overflowPunct/>
        <w:topLinePunct w:val="0"/>
        <w:autoSpaceDE/>
        <w:autoSpaceDN/>
        <w:bidi w:val="0"/>
        <w:adjustRightInd/>
        <w:snapToGrid/>
        <w:ind w:firstLine="560" w:firstLineChars="200"/>
        <w:jc w:val="left"/>
        <w:textAlignment w:val="auto"/>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2018年度机关运行经费支出358.8万元，其中：人员经费269.28万元；日常公用经费89.52万元；日常公用经费包括：办公费21.31万元、印刷费0.35万元、邮电费0.5万元、差旅费2.06万元、维修（护）费0.02万元、培训费1.79万元、公务招待0.01万元、劳务费16.12万元、工会经费3.89万元、福利费0.2万元、其他交通费0.04万元、其他5.69万元、办公设备购置0.73万元、专用设备购置0.06万元、公务车购置33.32万元。2018年度机关运行经费支出358.8万元比年初预算数218.85万元增加139.95万元，增长63.95%。主要原因是：人员经费上涨，人员经费实际支出269.28万元；预算数135.17万元；涨幅原因为本年度补发、补交以前年度工资及社保费用。公用经费支出与预算基本持平。</w:t>
      </w:r>
    </w:p>
    <w:p>
      <w:pPr>
        <w:widowControl/>
        <w:shd w:val="clear" w:color="auto" w:fill="FFFFFF"/>
        <w:ind w:firstLine="480"/>
        <w:jc w:val="left"/>
        <w:rPr>
          <w:rFonts w:hint="eastAsia" w:asciiTheme="minorEastAsia" w:hAnsiTheme="minorEastAsia" w:eastAsiaTheme="minorEastAsia" w:cstheme="minorEastAsia"/>
          <w:b/>
          <w:bCs/>
          <w:color w:val="333333"/>
          <w:kern w:val="0"/>
          <w:sz w:val="28"/>
          <w:szCs w:val="28"/>
        </w:rPr>
      </w:pPr>
      <w:r>
        <w:rPr>
          <w:rFonts w:hint="eastAsia" w:asciiTheme="minorEastAsia" w:hAnsiTheme="minorEastAsia" w:cstheme="minorEastAsia"/>
          <w:b/>
          <w:bCs/>
          <w:color w:val="333333"/>
          <w:kern w:val="0"/>
          <w:sz w:val="28"/>
          <w:szCs w:val="28"/>
          <w:lang w:eastAsia="zh-CN"/>
        </w:rPr>
        <w:t>（四）</w:t>
      </w:r>
      <w:r>
        <w:rPr>
          <w:rFonts w:hint="eastAsia" w:asciiTheme="minorEastAsia" w:hAnsiTheme="minorEastAsia" w:eastAsiaTheme="minorEastAsia" w:cstheme="minorEastAsia"/>
          <w:b/>
          <w:bCs/>
          <w:color w:val="333333"/>
          <w:kern w:val="0"/>
          <w:sz w:val="28"/>
          <w:szCs w:val="28"/>
        </w:rPr>
        <w:t>关于政府采购支出说明</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本年无政府采购支出。</w:t>
      </w:r>
    </w:p>
    <w:p>
      <w:pPr>
        <w:widowControl/>
        <w:shd w:val="clear" w:color="auto" w:fill="FFFFFF"/>
        <w:ind w:firstLine="480"/>
        <w:jc w:val="left"/>
        <w:rPr>
          <w:rFonts w:hint="eastAsia" w:asciiTheme="minorEastAsia" w:hAnsiTheme="minorEastAsia" w:eastAsiaTheme="minorEastAsia" w:cstheme="minorEastAsia"/>
          <w:b/>
          <w:bCs/>
          <w:color w:val="333333"/>
          <w:kern w:val="0"/>
          <w:sz w:val="28"/>
          <w:szCs w:val="28"/>
        </w:rPr>
      </w:pPr>
      <w:r>
        <w:rPr>
          <w:rFonts w:hint="eastAsia" w:asciiTheme="minorEastAsia" w:hAnsiTheme="minorEastAsia" w:cstheme="minorEastAsia"/>
          <w:b/>
          <w:bCs/>
          <w:color w:val="333333"/>
          <w:kern w:val="0"/>
          <w:sz w:val="28"/>
          <w:szCs w:val="28"/>
          <w:lang w:eastAsia="zh-CN"/>
        </w:rPr>
        <w:t>（五）</w:t>
      </w:r>
      <w:r>
        <w:rPr>
          <w:rFonts w:hint="eastAsia" w:asciiTheme="minorEastAsia" w:hAnsiTheme="minorEastAsia" w:eastAsiaTheme="minorEastAsia" w:cstheme="minorEastAsia"/>
          <w:b/>
          <w:bCs/>
          <w:color w:val="333333"/>
          <w:kern w:val="0"/>
          <w:sz w:val="28"/>
          <w:szCs w:val="28"/>
        </w:rPr>
        <w:t>关于国有资产占用情况说明</w:t>
      </w:r>
    </w:p>
    <w:p>
      <w:pPr>
        <w:widowControl/>
        <w:shd w:val="clear" w:color="auto" w:fill="FFFFFF"/>
        <w:ind w:firstLine="480"/>
        <w:jc w:val="left"/>
        <w:rPr>
          <w:rFonts w:hint="default"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本单位2018年6月新购置东风检测车一台，用于执法执行，价值33.32万元。</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p>
    <w:p>
      <w:pPr>
        <w:widowControl/>
        <w:numPr>
          <w:ilvl w:val="0"/>
          <w:numId w:val="1"/>
        </w:numPr>
        <w:shd w:val="clear" w:color="auto" w:fill="FFFFFF"/>
        <w:jc w:val="left"/>
        <w:rPr>
          <w:rFonts w:hint="eastAsia" w:ascii="微软雅黑" w:hAnsi="微软雅黑" w:eastAsia="微软雅黑" w:cs="微软雅黑"/>
          <w:b/>
          <w:bCs/>
          <w:color w:val="333333"/>
          <w:kern w:val="0"/>
          <w:sz w:val="24"/>
          <w:szCs w:val="24"/>
          <w:lang w:val="en-US" w:eastAsia="zh-CN"/>
        </w:rPr>
      </w:pPr>
      <w:r>
        <w:rPr>
          <w:rFonts w:hint="eastAsia" w:ascii="微软雅黑" w:hAnsi="微软雅黑" w:eastAsia="微软雅黑" w:cs="微软雅黑"/>
          <w:b/>
          <w:bCs/>
          <w:color w:val="333333"/>
          <w:kern w:val="0"/>
          <w:sz w:val="24"/>
          <w:szCs w:val="24"/>
          <w:lang w:val="en-US" w:eastAsia="zh-CN"/>
        </w:rPr>
        <w:t>名词解释</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一、财政补助收入：指县级财政当年拨付的资金。</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二、其他收入：指除“财政拨款收入”、“上级补助收入”、“事业收入”、“经营收入”等以外的收入。主要是存款利息收入等。</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三、年初结转和结余：指以前年度尚未完成、结转到本年按有关规定继续使用的资金。</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四、一般公共服务（类）行政运行（项）：指县行政单位及参照公务员管理事业单位用于保障机构正常运行、开展日常工作的基本支出。</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五、一般公共服务（类）一般行政管理事务（项）：指县行政单位及参照公务员管理事业单位用于开展立法调研、财政信息宣传、非税收入征管等未单独设置项级科目的专门性财政管理工作的项目支出。</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六、一般公共服务（类）机关服务（项）：指县黄石港区人大服务中心为机关提供办公楼日常维修、维护等后勤保障服务的支出。</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七、一般公共服务（类）其他一般公共服务支出（款）其他一般公共服务支出（项）：指黄石港区人大用于其他一般公共服务方面的支出。</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八、教育（类）普通教育（款）高等教育（项）：指黄石港区人大厅支持地方高校的重点发展和特色办学，组织专家对省属院校申报的建设规划和项目预算进行评审等相关工作的支出。</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九、社会保障和就业(类)行政事业单位离退休（款）归口管理的行政单位离退休（项）：指黄石港区人大用于离退休人员的支出、退休人员支出，以及提供管理服务工作的离退休干部处的支出。</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十、社会保障和就业(类)行政事业单位离退休（款）其他行政事业单位离退休支出（项）：指黄石港区人大用于离退休方面的其他支出。</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十一、医疗卫生与计划生育（类）医疗保障（款）行政单位医疗（项）：指黄石港区人大用于机关干部职工及离退休人员医疗方面的支出。</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十二、住房保障（类）住房改革支出（款）购房补贴（项）：指按照相关住房分配货币化改革的政策规定和标准，对无房和住房未达标职工发放的住房分配货币化补贴资金。</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十三、年末结转和结余：指本年度或以前年度预算安排、因客观条件发生变化无法按原计划实施，需要延迟到以后年度按有关规定继续使用的资金。</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十四、基本支出：指为保障机构正常运转、完成日常工作任务而发生的人员支出（包括基本工资、津贴补贴等）和公用支出（包括办公费、水电费、邮电费、交通费、差旅费等）。</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十五、项目支出：指在基本支出之外为完成特定行政任务和事业发展目标所发生的支出。</w:t>
      </w:r>
    </w:p>
    <w:p>
      <w:pPr>
        <w:widowControl/>
        <w:shd w:val="clear" w:color="auto" w:fill="FFFFFF"/>
        <w:ind w:firstLine="480"/>
        <w:jc w:val="left"/>
        <w:rPr>
          <w:rFonts w:hint="eastAsia" w:ascii="宋体" w:hAnsi="宋体" w:cs="宋体" w:eastAsiaTheme="minorEastAsia"/>
          <w:color w:val="333333"/>
          <w:kern w:val="0"/>
          <w:sz w:val="28"/>
          <w:szCs w:val="28"/>
          <w:lang w:val="en-US" w:eastAsia="zh-CN"/>
        </w:rPr>
      </w:pPr>
      <w:r>
        <w:rPr>
          <w:rFonts w:hint="eastAsia" w:ascii="宋体" w:hAnsi="宋体" w:cs="宋体" w:eastAsiaTheme="minorEastAsia"/>
          <w:color w:val="333333"/>
          <w:kern w:val="0"/>
          <w:sz w:val="28"/>
          <w:szCs w:val="28"/>
          <w:lang w:val="en-US" w:eastAsia="zh-CN"/>
        </w:rPr>
        <w:t>十六、“三公”经费：是指用财政拨款安排的因公出国（境）费、公务用车购置及运行维护费、公务接待费。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333333"/>
          <w:kern w:val="0"/>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940AA"/>
    <w:multiLevelType w:val="singleLevel"/>
    <w:tmpl w:val="77E940AA"/>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56809"/>
    <w:rsid w:val="01BA2E7D"/>
    <w:rsid w:val="0664587B"/>
    <w:rsid w:val="09FF39B4"/>
    <w:rsid w:val="0B821CB6"/>
    <w:rsid w:val="0F243B6C"/>
    <w:rsid w:val="0F580F62"/>
    <w:rsid w:val="10157CA5"/>
    <w:rsid w:val="11411182"/>
    <w:rsid w:val="11B81420"/>
    <w:rsid w:val="11CE5DA7"/>
    <w:rsid w:val="13FA6E94"/>
    <w:rsid w:val="1A0D67D9"/>
    <w:rsid w:val="1D3216D7"/>
    <w:rsid w:val="1EF951D7"/>
    <w:rsid w:val="219E41B4"/>
    <w:rsid w:val="255E033E"/>
    <w:rsid w:val="27272230"/>
    <w:rsid w:val="27390172"/>
    <w:rsid w:val="295F56C2"/>
    <w:rsid w:val="2CCE2491"/>
    <w:rsid w:val="2D3B2CC0"/>
    <w:rsid w:val="2F081AB6"/>
    <w:rsid w:val="2FDC7747"/>
    <w:rsid w:val="35840005"/>
    <w:rsid w:val="386174B5"/>
    <w:rsid w:val="39092A06"/>
    <w:rsid w:val="401A2F36"/>
    <w:rsid w:val="408F5EDF"/>
    <w:rsid w:val="41894480"/>
    <w:rsid w:val="44064590"/>
    <w:rsid w:val="44B72F6C"/>
    <w:rsid w:val="457D21A1"/>
    <w:rsid w:val="46583570"/>
    <w:rsid w:val="486A3980"/>
    <w:rsid w:val="49D83A19"/>
    <w:rsid w:val="4A187DA8"/>
    <w:rsid w:val="4A5B69B4"/>
    <w:rsid w:val="4A8A7FC2"/>
    <w:rsid w:val="4CC36F4D"/>
    <w:rsid w:val="4E192D09"/>
    <w:rsid w:val="4FCC39E6"/>
    <w:rsid w:val="507C1CF5"/>
    <w:rsid w:val="53FA08DA"/>
    <w:rsid w:val="57193076"/>
    <w:rsid w:val="5A8A20A5"/>
    <w:rsid w:val="5AB1778D"/>
    <w:rsid w:val="5D19252C"/>
    <w:rsid w:val="5EF27DB1"/>
    <w:rsid w:val="5F966E19"/>
    <w:rsid w:val="61773BFF"/>
    <w:rsid w:val="621B3808"/>
    <w:rsid w:val="67E4782B"/>
    <w:rsid w:val="6A5F0092"/>
    <w:rsid w:val="6EA21BB2"/>
    <w:rsid w:val="6FC62DF1"/>
    <w:rsid w:val="746766E2"/>
    <w:rsid w:val="74EA7B66"/>
    <w:rsid w:val="78186405"/>
    <w:rsid w:val="784C1E5B"/>
    <w:rsid w:val="796F54E7"/>
    <w:rsid w:val="7D417A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2">
    <w:name w:val="ca-2"/>
    <w:basedOn w:val="9"/>
    <w:qFormat/>
    <w:uiPriority w:val="0"/>
  </w:style>
  <w:style w:type="paragraph" w:customStyle="1"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ca-3"/>
    <w:basedOn w:val="9"/>
    <w:qFormat/>
    <w:uiPriority w:val="0"/>
  </w:style>
  <w:style w:type="character" w:customStyle="1" w:styleId="15">
    <w:name w:val="apple-converted-space"/>
    <w:basedOn w:val="9"/>
    <w:qFormat/>
    <w:uiPriority w:val="99"/>
  </w:style>
  <w:style w:type="paragraph" w:customStyle="1" w:styleId="16">
    <w:name w:val="pa-1"/>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盼</cp:lastModifiedBy>
  <dcterms:modified xsi:type="dcterms:W3CDTF">2021-05-27T02:03:20Z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