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hint="default" w:ascii="微软雅黑" w:hAnsi="微软雅黑" w:eastAsia="微软雅黑" w:cs="微软雅黑"/>
          <w:color w:val="BC1010"/>
          <w:sz w:val="40"/>
          <w:szCs w:val="40"/>
        </w:rPr>
      </w:pPr>
      <w:r>
        <w:rPr>
          <w:rFonts w:ascii="微软雅黑" w:hAnsi="微软雅黑" w:eastAsia="微软雅黑" w:cs="微软雅黑"/>
          <w:color w:val="BC1010"/>
          <w:sz w:val="40"/>
          <w:szCs w:val="40"/>
          <w:shd w:val="clear" w:color="auto" w:fill="FFFFFF"/>
        </w:rPr>
        <w:t>市场监督管理局2020年决算公开</w:t>
      </w:r>
    </w:p>
    <w:p>
      <w:pPr>
        <w:pStyle w:val="7"/>
        <w:widowControl/>
        <w:spacing w:before="76" w:beforeAutospacing="0" w:after="76" w:afterAutospacing="0" w:line="450" w:lineRule="atLeast"/>
        <w:ind w:firstLine="420"/>
        <w:jc w:val="center"/>
        <w:rPr>
          <w:color w:val="333333"/>
        </w:rPr>
      </w:pPr>
      <w:r>
        <w:rPr>
          <w:rStyle w:val="11"/>
          <w:rFonts w:hint="eastAsia" w:ascii="微软雅黑" w:hAnsi="微软雅黑" w:eastAsia="微软雅黑" w:cs="微软雅黑"/>
          <w:color w:val="333333"/>
          <w:shd w:val="clear" w:color="auto" w:fill="FFFFFF"/>
        </w:rPr>
        <w:t>黄石港区市场监督管理局2020年决算公开</w:t>
      </w:r>
    </w:p>
    <w:p>
      <w:pPr>
        <w:pStyle w:val="7"/>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  录</w:t>
      </w:r>
    </w:p>
    <w:p>
      <w:pPr>
        <w:pStyle w:val="7"/>
        <w:widowControl/>
        <w:spacing w:before="76" w:beforeAutospacing="0" w:after="76" w:afterAutospacing="0" w:line="450" w:lineRule="atLeast"/>
        <w:ind w:firstLine="420"/>
        <w:rPr>
          <w:rFonts w:ascii="微软雅黑" w:hAnsi="微软雅黑" w:eastAsia="微软雅黑" w:cs="微软雅黑"/>
          <w:color w:val="333333"/>
        </w:rPr>
      </w:pPr>
      <w:r>
        <w:rPr>
          <w:rFonts w:hint="eastAsia" w:ascii="微软雅黑" w:hAnsi="微软雅黑" w:eastAsia="微软雅黑" w:cs="微软雅黑"/>
          <w:color w:val="333333"/>
          <w:shd w:val="clear" w:color="auto" w:fill="FFFFFF"/>
        </w:rPr>
        <w:t>第一部分:部门基本情况</w:t>
      </w:r>
    </w:p>
    <w:p>
      <w:pPr>
        <w:pStyle w:val="7"/>
        <w:widowControl/>
        <w:spacing w:before="76" w:beforeAutospacing="0" w:after="76" w:afterAutospacing="0" w:line="450" w:lineRule="atLeast"/>
        <w:ind w:firstLine="420"/>
        <w:rPr>
          <w:rFonts w:ascii="微软雅黑" w:hAnsi="微软雅黑" w:eastAsia="微软雅黑" w:cs="微软雅黑"/>
          <w:color w:val="333333"/>
        </w:rPr>
      </w:pPr>
      <w:r>
        <w:rPr>
          <w:rFonts w:hint="eastAsia" w:ascii="微软雅黑" w:hAnsi="微软雅黑" w:eastAsia="微软雅黑" w:cs="微软雅黑"/>
          <w:color w:val="333333"/>
          <w:shd w:val="clear" w:color="auto" w:fill="FFFFFF"/>
        </w:rPr>
        <w:t>一、部门主要职责</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 部门2020年部门决算表</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一、收入支出决算总表（表1）</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二、收入决算表（表2）</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三、支出决算表（表3）</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四、财政拨款收入支出决算总表（表4）</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五、一般公共预算财政拨款支出决算表（表5）</w:t>
      </w: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六、一般公共预算财政拨款基本支出决算表（表6）</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七、一般公共预算财政拨款“三公”经费支出决算表（表7）</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default"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八、政府性基金预算财政拨款收入支出决算表（表8）</w:t>
      </w:r>
    </w:p>
    <w:p>
      <w:pPr>
        <w:pStyle w:val="7"/>
        <w:widowControl/>
        <w:spacing w:before="76" w:beforeAutospacing="0" w:after="76" w:afterAutospacing="0" w:line="450" w:lineRule="atLeast"/>
        <w:ind w:firstLine="480" w:firstLineChars="200"/>
        <w:rPr>
          <w:color w:val="333333"/>
        </w:rPr>
      </w:pPr>
      <w:r>
        <w:rPr>
          <w:rFonts w:hint="eastAsia" w:ascii="微软雅黑" w:hAnsi="微软雅黑" w:eastAsia="微软雅黑" w:cs="微软雅黑"/>
          <w:color w:val="333333"/>
          <w:shd w:val="clear" w:color="auto" w:fill="FFFFFF"/>
        </w:rPr>
        <w:t>第三部分：部门2020年部门决算情况说明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pPr>
        <w:pStyle w:val="7"/>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六、重点绩效评价结果等预算绩效情况说明</w:t>
      </w:r>
    </w:p>
    <w:p>
      <w:pPr>
        <w:pStyle w:val="7"/>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lang w:val="en-US"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七、决算收支增减变化情况</w:t>
      </w:r>
    </w:p>
    <w:p>
      <w:pPr>
        <w:pStyle w:val="7"/>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第四部分：名词解释 </w:t>
      </w:r>
    </w:p>
    <w:p>
      <w:pPr>
        <w:pStyle w:val="7"/>
        <w:widowControl/>
        <w:spacing w:before="76" w:beforeAutospacing="0" w:after="76" w:afterAutospacing="0" w:line="450" w:lineRule="atLeast"/>
        <w:ind w:firstLine="420"/>
        <w:jc w:val="center"/>
        <w:rPr>
          <w:rStyle w:val="11"/>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rStyle w:val="11"/>
          <w:rFonts w:ascii="微软雅黑" w:hAnsi="微软雅黑" w:eastAsia="微软雅黑" w:cs="微软雅黑"/>
          <w:color w:val="333333"/>
          <w:shd w:val="clear" w:color="auto" w:fill="FFFFFF"/>
        </w:rPr>
      </w:pPr>
    </w:p>
    <w:p>
      <w:pPr>
        <w:pStyle w:val="7"/>
        <w:widowControl/>
        <w:spacing w:before="76" w:beforeAutospacing="0" w:after="76" w:afterAutospacing="0" w:line="450" w:lineRule="atLeast"/>
        <w:ind w:firstLine="420"/>
        <w:jc w:val="center"/>
        <w:rPr>
          <w:color w:val="333333"/>
        </w:rPr>
      </w:pPr>
      <w:r>
        <w:rPr>
          <w:rStyle w:val="11"/>
          <w:rFonts w:hint="eastAsia" w:ascii="微软雅黑" w:hAnsi="微软雅黑" w:eastAsia="微软雅黑" w:cs="微软雅黑"/>
          <w:color w:val="333333"/>
          <w:shd w:val="clear" w:color="auto" w:fill="FFFFFF"/>
        </w:rPr>
        <w:t>2020年部门决算</w:t>
      </w:r>
    </w:p>
    <w:p>
      <w:pPr>
        <w:pStyle w:val="7"/>
        <w:widowControl/>
        <w:spacing w:before="76" w:beforeAutospacing="0" w:after="76" w:afterAutospacing="0" w:line="450" w:lineRule="atLeast"/>
        <w:ind w:firstLine="420"/>
        <w:rPr>
          <w:color w:val="333333"/>
        </w:rPr>
      </w:pPr>
      <w:r>
        <w:rPr>
          <w:rStyle w:val="11"/>
          <w:rFonts w:hint="eastAsia" w:ascii="微软雅黑" w:hAnsi="微软雅黑" w:eastAsia="微软雅黑" w:cs="微软雅黑"/>
          <w:color w:val="333333"/>
          <w:shd w:val="clear" w:color="auto" w:fill="FFFFFF"/>
        </w:rPr>
        <w:t>第一部分 部门概况</w:t>
      </w:r>
    </w:p>
    <w:p>
      <w:pPr>
        <w:widowControl/>
        <w:shd w:val="clear" w:color="auto" w:fill="FFFFFF"/>
        <w:ind w:firstLine="480"/>
        <w:jc w:val="left"/>
        <w:rPr>
          <w:rFonts w:asciiTheme="minorEastAsia" w:hAnsiTheme="minorEastAsia" w:cstheme="minorEastAsia"/>
          <w:kern w:val="0"/>
          <w:sz w:val="28"/>
          <w:szCs w:val="28"/>
        </w:rPr>
      </w:pPr>
      <w:r>
        <w:rPr>
          <w:rFonts w:hint="eastAsia" w:asciiTheme="minorEastAsia" w:hAnsiTheme="minorEastAsia" w:cstheme="minorEastAsia"/>
          <w:kern w:val="0"/>
          <w:sz w:val="28"/>
          <w:szCs w:val="28"/>
        </w:rPr>
        <w:t>（一）主要职能</w:t>
      </w:r>
    </w:p>
    <w:p>
      <w:pPr>
        <w:widowControl/>
        <w:shd w:val="clear" w:color="auto" w:fill="FFFFFF"/>
        <w:ind w:firstLine="480"/>
        <w:jc w:val="left"/>
        <w:rPr>
          <w:rFonts w:asciiTheme="minorEastAsia" w:hAnsiTheme="minorEastAsia" w:cstheme="minorEastAsia"/>
          <w:kern w:val="0"/>
          <w:sz w:val="28"/>
          <w:szCs w:val="28"/>
        </w:rPr>
      </w:pPr>
      <w:r>
        <w:rPr>
          <w:rFonts w:hint="eastAsia" w:asciiTheme="minorEastAsia" w:hAnsiTheme="minorEastAsia" w:cstheme="minorEastAsia"/>
          <w:kern w:val="0"/>
          <w:sz w:val="28"/>
          <w:szCs w:val="28"/>
        </w:rPr>
        <w:t xml:space="preserve">（1）负责市场综合监督管理。起草市场监督管理有关法律法规草案，制定有关规章政策、标准，组织实施质量强国战略、食品安全战略和标准化战略，拟订并组织实施有关规划，规范和维护市场秩序，营造诚实守信、公平竞争的市场环境； </w:t>
      </w:r>
    </w:p>
    <w:p>
      <w:pPr>
        <w:widowControl/>
        <w:shd w:val="clear" w:color="auto" w:fill="FFFFFF"/>
        <w:ind w:firstLine="480"/>
        <w:jc w:val="left"/>
        <w:rPr>
          <w:rFonts w:asciiTheme="minorEastAsia" w:hAnsiTheme="minorEastAsia" w:cstheme="minorEastAsia"/>
          <w:kern w:val="0"/>
          <w:sz w:val="28"/>
          <w:szCs w:val="28"/>
        </w:rPr>
      </w:pPr>
      <w:r>
        <w:rPr>
          <w:rFonts w:hint="eastAsia" w:asciiTheme="minorEastAsia" w:hAnsiTheme="minorEastAsia" w:cstheme="minorEastAsia"/>
          <w:kern w:val="0"/>
          <w:sz w:val="28"/>
          <w:szCs w:val="28"/>
        </w:rPr>
        <w:t>（2）负责市场主体统一登记注册。指导各类企业、农民专业合作社和从事经营活动的单位、个体工商户以及外国（地区）企业常驻代表机构等市场主体的登记注册工作；</w:t>
      </w:r>
    </w:p>
    <w:p>
      <w:pPr>
        <w:widowControl/>
        <w:shd w:val="clear" w:color="auto" w:fill="FFFFFF"/>
        <w:ind w:firstLine="480"/>
        <w:jc w:val="left"/>
        <w:rPr>
          <w:rFonts w:asciiTheme="minorEastAsia" w:hAnsiTheme="minorEastAsia" w:cstheme="minorEastAsia"/>
          <w:kern w:val="0"/>
          <w:sz w:val="28"/>
          <w:szCs w:val="28"/>
        </w:rPr>
      </w:pPr>
      <w:r>
        <w:rPr>
          <w:rFonts w:hint="eastAsia" w:asciiTheme="minorEastAsia" w:hAnsiTheme="minorEastAsia" w:cstheme="minorEastAsia"/>
          <w:kern w:val="0"/>
          <w:sz w:val="28"/>
          <w:szCs w:val="28"/>
        </w:rPr>
        <w:t>（3）负责组织和指导市场监管综合执法工作。指导地方市场监管综合执法队伍整合和建设，推动实行统一的市场监管。组织查处重大违法案件。规范市场监管行政执法行为。</w:t>
      </w:r>
    </w:p>
    <w:p>
      <w:pPr>
        <w:widowControl/>
        <w:shd w:val="clear" w:color="auto" w:fill="FFFFFF"/>
        <w:ind w:firstLine="480"/>
        <w:jc w:val="left"/>
        <w:rPr>
          <w:rFonts w:asciiTheme="minorEastAsia" w:hAnsiTheme="minorEastAsia" w:cstheme="minorEastAsia"/>
          <w:kern w:val="0"/>
          <w:sz w:val="28"/>
          <w:szCs w:val="28"/>
        </w:rPr>
      </w:pPr>
      <w:r>
        <w:rPr>
          <w:rFonts w:hint="eastAsia" w:asciiTheme="minorEastAsia" w:hAnsiTheme="minorEastAsia" w:cstheme="minorEastAsia"/>
          <w:kern w:val="0"/>
          <w:sz w:val="28"/>
          <w:szCs w:val="28"/>
        </w:rPr>
        <w:t>（4）负责反垄断统一执法。统筹推进竞争政策实施，指导实施公平竞争审查制度。依法对经营者集中行为进行反垄断审查。</w:t>
      </w:r>
    </w:p>
    <w:p>
      <w:pPr>
        <w:widowControl/>
        <w:shd w:val="clear" w:color="auto" w:fill="FFFFFF"/>
        <w:ind w:firstLine="480"/>
        <w:jc w:val="left"/>
        <w:rPr>
          <w:rFonts w:asciiTheme="minorEastAsia" w:hAnsiTheme="minorEastAsia" w:cstheme="minorEastAsia"/>
          <w:kern w:val="0"/>
          <w:sz w:val="28"/>
          <w:szCs w:val="28"/>
        </w:rPr>
      </w:pPr>
      <w:r>
        <w:rPr>
          <w:rFonts w:hint="eastAsia" w:asciiTheme="minorEastAsia" w:hAnsiTheme="minorEastAsia" w:cstheme="minorEastAsia"/>
          <w:kern w:val="0"/>
          <w:sz w:val="28"/>
          <w:szCs w:val="28"/>
        </w:rPr>
        <w:t>（5）负责监督管理市场秩序。依法监督管理市场交易、网络商品交易及有关服务的行为。</w:t>
      </w:r>
    </w:p>
    <w:p>
      <w:pPr>
        <w:widowControl/>
        <w:shd w:val="clear" w:color="auto" w:fill="FFFFFF"/>
        <w:ind w:firstLine="480"/>
        <w:jc w:val="left"/>
        <w:rPr>
          <w:rFonts w:asciiTheme="minorEastAsia" w:hAnsiTheme="minorEastAsia" w:cstheme="minorEastAsia"/>
          <w:kern w:val="0"/>
          <w:sz w:val="28"/>
          <w:szCs w:val="28"/>
        </w:rPr>
      </w:pPr>
      <w:r>
        <w:rPr>
          <w:rFonts w:hint="eastAsia" w:asciiTheme="minorEastAsia" w:hAnsiTheme="minorEastAsia" w:cstheme="minorEastAsia"/>
          <w:kern w:val="0"/>
          <w:sz w:val="28"/>
          <w:szCs w:val="28"/>
        </w:rPr>
        <w:t>（二）机构情况</w:t>
      </w:r>
    </w:p>
    <w:p>
      <w:pPr>
        <w:widowControl/>
        <w:shd w:val="clear" w:color="auto" w:fill="FFFFFF"/>
        <w:ind w:firstLine="480"/>
        <w:jc w:val="left"/>
        <w:rPr>
          <w:rFonts w:asciiTheme="minorEastAsia" w:hAnsiTheme="minorEastAsia" w:cstheme="minorEastAsia"/>
          <w:kern w:val="0"/>
          <w:sz w:val="28"/>
          <w:szCs w:val="28"/>
        </w:rPr>
      </w:pPr>
      <w:r>
        <w:rPr>
          <w:rFonts w:hint="eastAsia" w:asciiTheme="minorEastAsia" w:hAnsiTheme="minorEastAsia" w:cstheme="minorEastAsia"/>
          <w:kern w:val="0"/>
          <w:sz w:val="28"/>
          <w:szCs w:val="28"/>
        </w:rPr>
        <w:t>2020年机构改革，将原食药监局、工商行政管理局、质量技术监督管理局合并，改为市场监督管理局。</w:t>
      </w:r>
    </w:p>
    <w:p>
      <w:pPr>
        <w:widowControl/>
        <w:shd w:val="clear" w:color="auto" w:fill="FFFFFF"/>
        <w:ind w:firstLine="480"/>
        <w:jc w:val="left"/>
        <w:rPr>
          <w:rFonts w:asciiTheme="minorEastAsia" w:hAnsiTheme="minorEastAsia" w:cstheme="minorEastAsia"/>
          <w:kern w:val="0"/>
          <w:sz w:val="28"/>
          <w:szCs w:val="28"/>
        </w:rPr>
      </w:pPr>
      <w:r>
        <w:rPr>
          <w:rFonts w:hint="eastAsia" w:asciiTheme="minorEastAsia" w:hAnsiTheme="minorEastAsia" w:cstheme="minorEastAsia"/>
          <w:kern w:val="0"/>
          <w:sz w:val="28"/>
          <w:szCs w:val="28"/>
        </w:rPr>
        <w:t>（三）人员情况</w:t>
      </w:r>
    </w:p>
    <w:p>
      <w:pPr>
        <w:widowControl/>
        <w:shd w:val="clear" w:color="auto" w:fill="FFFFFF"/>
        <w:ind w:firstLine="480"/>
        <w:jc w:val="left"/>
        <w:rPr>
          <w:rFonts w:asciiTheme="minorEastAsia" w:hAnsiTheme="minorEastAsia" w:cstheme="minorEastAsia"/>
          <w:kern w:val="0"/>
          <w:sz w:val="28"/>
          <w:szCs w:val="28"/>
        </w:rPr>
      </w:pPr>
      <w:r>
        <w:rPr>
          <w:rFonts w:hint="eastAsia" w:asciiTheme="minorEastAsia" w:hAnsiTheme="minorEastAsia" w:cstheme="minorEastAsia"/>
          <w:kern w:val="0"/>
          <w:sz w:val="28"/>
          <w:szCs w:val="28"/>
        </w:rPr>
        <w:t>2020年本年年末实有人数31人，其中行政人员26人，参照公务员管理法事业人员2人，非参公事业人员3人。</w:t>
      </w:r>
    </w:p>
    <w:p>
      <w:pPr>
        <w:widowControl/>
        <w:shd w:val="clear" w:color="auto" w:fill="FFFFFF"/>
        <w:ind w:firstLine="480"/>
        <w:jc w:val="left"/>
        <w:rPr>
          <w:rFonts w:asciiTheme="minorEastAsia" w:hAnsiTheme="minorEastAsia" w:cstheme="minorEastAsia"/>
          <w:kern w:val="0"/>
          <w:sz w:val="28"/>
          <w:szCs w:val="28"/>
        </w:rPr>
      </w:pPr>
    </w:p>
    <w:p>
      <w:pPr>
        <w:pStyle w:val="7"/>
        <w:widowControl/>
        <w:spacing w:before="76" w:beforeAutospacing="0" w:after="76" w:afterAutospacing="0" w:line="450" w:lineRule="atLeast"/>
        <w:ind w:left="420"/>
        <w:rPr>
          <w:rFonts w:asciiTheme="minorEastAsia" w:hAnsiTheme="minorEastAsia" w:cstheme="minorEastAsia"/>
          <w:sz w:val="28"/>
          <w:szCs w:val="28"/>
        </w:rPr>
      </w:pPr>
    </w:p>
    <w:p>
      <w:pPr>
        <w:pStyle w:val="7"/>
        <w:widowControl/>
        <w:spacing w:before="76" w:beforeAutospacing="0" w:after="76" w:afterAutospacing="0" w:line="450" w:lineRule="atLeast"/>
        <w:ind w:left="420"/>
        <w:rPr>
          <w:rFonts w:asciiTheme="minorEastAsia" w:hAnsiTheme="minorEastAsia" w:cstheme="minorEastAsia"/>
          <w:sz w:val="28"/>
          <w:szCs w:val="28"/>
        </w:rPr>
      </w:pPr>
    </w:p>
    <w:p>
      <w:pPr>
        <w:pStyle w:val="7"/>
        <w:widowControl/>
        <w:spacing w:before="76" w:beforeAutospacing="0" w:after="76" w:afterAutospacing="0" w:line="450" w:lineRule="atLeast"/>
        <w:ind w:left="420"/>
        <w:rPr>
          <w:rFonts w:asciiTheme="minorEastAsia" w:hAnsiTheme="minorEastAsia" w:cstheme="minorEastAsia"/>
          <w:sz w:val="28"/>
          <w:szCs w:val="28"/>
        </w:rPr>
      </w:pPr>
    </w:p>
    <w:p>
      <w:pPr>
        <w:pStyle w:val="7"/>
        <w:widowControl/>
        <w:spacing w:before="76" w:beforeAutospacing="0" w:after="76" w:afterAutospacing="0" w:line="450" w:lineRule="atLeast"/>
        <w:ind w:left="420"/>
        <w:rPr>
          <w:rFonts w:asciiTheme="minorEastAsia" w:hAnsiTheme="minorEastAsia" w:cstheme="minorEastAsia"/>
          <w:sz w:val="28"/>
          <w:szCs w:val="28"/>
        </w:rPr>
      </w:pPr>
    </w:p>
    <w:p>
      <w:pPr>
        <w:pStyle w:val="7"/>
        <w:widowControl/>
        <w:spacing w:before="76" w:beforeAutospacing="0" w:after="76" w:afterAutospacing="0" w:line="450" w:lineRule="atLeast"/>
        <w:ind w:left="420"/>
        <w:rPr>
          <w:rFonts w:asciiTheme="minorEastAsia" w:hAnsiTheme="minorEastAsia" w:cstheme="minorEastAsia"/>
          <w:sz w:val="28"/>
          <w:szCs w:val="28"/>
        </w:rPr>
      </w:pPr>
    </w:p>
    <w:p>
      <w:pPr>
        <w:pStyle w:val="7"/>
        <w:widowControl/>
        <w:spacing w:before="76" w:beforeAutospacing="0" w:after="76" w:afterAutospacing="0" w:line="450" w:lineRule="atLeast"/>
        <w:ind w:left="420"/>
        <w:rPr>
          <w:rFonts w:asciiTheme="minorEastAsia" w:hAnsiTheme="minorEastAsia" w:cstheme="minorEastAsia"/>
          <w:sz w:val="28"/>
          <w:szCs w:val="28"/>
        </w:rPr>
      </w:pPr>
    </w:p>
    <w:p>
      <w:pPr>
        <w:pStyle w:val="7"/>
        <w:widowControl/>
        <w:spacing w:before="76" w:beforeAutospacing="0" w:after="76" w:afterAutospacing="0" w:line="450" w:lineRule="atLeast"/>
        <w:ind w:left="420"/>
        <w:rPr>
          <w:rFonts w:asciiTheme="minorEastAsia" w:hAnsiTheme="minorEastAsia" w:cstheme="minorEastAsia"/>
          <w:sz w:val="28"/>
          <w:szCs w:val="28"/>
        </w:rPr>
      </w:pPr>
    </w:p>
    <w:p>
      <w:pPr>
        <w:pStyle w:val="7"/>
        <w:widowControl/>
        <w:numPr>
          <w:ilvl w:val="0"/>
          <w:numId w:val="1"/>
        </w:numPr>
        <w:spacing w:before="76" w:beforeAutospacing="0" w:after="76" w:afterAutospacing="0" w:line="450" w:lineRule="atLeast"/>
        <w:ind w:left="420"/>
        <w:rPr>
          <w:rStyle w:val="11"/>
          <w:rFonts w:ascii="微软雅黑" w:hAnsi="微软雅黑" w:eastAsia="微软雅黑" w:cs="微软雅黑"/>
          <w:color w:val="333333"/>
          <w:shd w:val="clear" w:color="auto" w:fill="FFFFFF"/>
        </w:rPr>
      </w:pPr>
      <w:r>
        <w:rPr>
          <w:rStyle w:val="11"/>
          <w:rFonts w:hint="eastAsia" w:ascii="微软雅黑" w:hAnsi="微软雅黑" w:eastAsia="微软雅黑" w:cs="微软雅黑"/>
          <w:color w:val="333333"/>
          <w:shd w:val="clear" w:color="auto" w:fill="FFFFFF"/>
        </w:rPr>
        <w:t>部门2020年部门决算表</w:t>
      </w:r>
    </w:p>
    <w:tbl>
      <w:tblPr>
        <w:tblStyle w:val="8"/>
        <w:tblW w:w="140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00"/>
        <w:gridCol w:w="580"/>
        <w:gridCol w:w="2260"/>
        <w:gridCol w:w="4200"/>
        <w:gridCol w:w="580"/>
        <w:gridCol w:w="2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8" w:hRule="atLeast"/>
          <w:jc w:val="center"/>
        </w:trPr>
        <w:tc>
          <w:tcPr>
            <w:tcW w:w="14080" w:type="dxa"/>
            <w:gridSpan w:val="6"/>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p>
          <w:p>
            <w:pPr>
              <w:widowControl/>
              <w:jc w:val="center"/>
              <w:textAlignment w:val="center"/>
              <w:rPr>
                <w:rFonts w:ascii="黑体" w:hAnsi="黑体" w:eastAsia="黑体" w:cs="Arial"/>
                <w:color w:val="000000"/>
                <w:kern w:val="0"/>
                <w:sz w:val="30"/>
                <w:szCs w:val="30"/>
              </w:rPr>
            </w:pPr>
            <w:r>
              <w:rPr>
                <w:rFonts w:hint="eastAsia" w:ascii="黑体" w:hAnsi="宋体" w:eastAsia="黑体" w:cs="黑体"/>
                <w:color w:val="000000"/>
                <w:kern w:val="0"/>
                <w:sz w:val="30"/>
                <w:szCs w:val="30"/>
              </w:rPr>
              <w:t>收入支出决算总表</w:t>
            </w:r>
          </w:p>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58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226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420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58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2260" w:type="dxa"/>
            <w:tcBorders>
              <w:top w:val="nil"/>
              <w:left w:val="nil"/>
              <w:bottom w:val="nil"/>
              <w:right w:val="nil"/>
            </w:tcBorders>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公开01表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tcBorders>
              <w:top w:val="nil"/>
              <w:left w:val="nil"/>
              <w:bottom w:val="single" w:color="auto" w:sz="4" w:space="0"/>
              <w:right w:val="nil"/>
            </w:tcBorders>
            <w:shd w:val="clear" w:color="000000" w:fill="FFFFFF"/>
            <w:noWrap/>
            <w:vAlign w:val="center"/>
          </w:tcPr>
          <w:p>
            <w:pPr>
              <w:widowControl/>
              <w:jc w:val="left"/>
              <w:rPr>
                <w:rFonts w:ascii="宋体" w:hAnsi="宋体" w:eastAsia="宋体" w:cs="Arial"/>
                <w:color w:val="000000"/>
                <w:kern w:val="0"/>
                <w:sz w:val="22"/>
                <w:szCs w:val="22"/>
              </w:rPr>
            </w:pPr>
            <w:r>
              <w:rPr>
                <w:rFonts w:hint="eastAsia" w:ascii="宋体" w:hAnsi="宋体" w:eastAsia="宋体" w:cs="Arial"/>
                <w:color w:val="000000"/>
                <w:kern w:val="0"/>
                <w:sz w:val="22"/>
                <w:szCs w:val="22"/>
              </w:rPr>
              <w:t>部门：黄石市黄石港区市场监督管理局</w:t>
            </w:r>
          </w:p>
        </w:tc>
        <w:tc>
          <w:tcPr>
            <w:tcW w:w="580"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2260"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color w:val="000000"/>
                <w:kern w:val="0"/>
                <w:sz w:val="24"/>
              </w:rPr>
            </w:pPr>
            <w:r>
              <w:rPr>
                <w:rFonts w:hint="eastAsia" w:ascii="宋体" w:hAnsi="宋体" w:eastAsia="宋体" w:cs="Arial"/>
                <w:color w:val="000000"/>
                <w:kern w:val="0"/>
                <w:sz w:val="24"/>
              </w:rPr>
              <w:t xml:space="preserve">       2020年度</w:t>
            </w:r>
          </w:p>
        </w:tc>
        <w:tc>
          <w:tcPr>
            <w:tcW w:w="4200"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580"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2260" w:type="dxa"/>
            <w:tcBorders>
              <w:top w:val="nil"/>
              <w:left w:val="nil"/>
              <w:bottom w:val="single" w:color="auto" w:sz="4" w:space="0"/>
              <w:right w:val="nil"/>
            </w:tcBorders>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金额单位：万元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7040" w:type="dxa"/>
            <w:gridSpan w:val="3"/>
            <w:tcBorders>
              <w:top w:val="single" w:color="auto"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收入</w:t>
            </w:r>
          </w:p>
        </w:tc>
        <w:tc>
          <w:tcPr>
            <w:tcW w:w="7040" w:type="dxa"/>
            <w:gridSpan w:val="3"/>
            <w:tcBorders>
              <w:top w:val="single" w:color="auto"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支出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项目</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行次</w:t>
            </w:r>
          </w:p>
        </w:tc>
        <w:tc>
          <w:tcPr>
            <w:tcW w:w="226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金额</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项目</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行次</w:t>
            </w:r>
          </w:p>
        </w:tc>
        <w:tc>
          <w:tcPr>
            <w:tcW w:w="226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栏次</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　</w:t>
            </w:r>
          </w:p>
        </w:tc>
        <w:tc>
          <w:tcPr>
            <w:tcW w:w="226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栏次</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　</w:t>
            </w:r>
          </w:p>
        </w:tc>
        <w:tc>
          <w:tcPr>
            <w:tcW w:w="226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一、一般公共预算财政拨款收入</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1,080.54</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一、一般公共服务支出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32</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1,144.27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二、政府性基金预算财政拨款收入</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二、外交支出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33</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三、国有资本经营预算财政拨款收入</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三、国防支出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34</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四、上级补助收入</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四、公共安全支出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35</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五、事业收入</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五、教育支出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36</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六、经营收入</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六、科学技术支出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37</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七、附属单位上缴收入</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7</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七、文化旅游体育与传媒支出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38</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八、其他收入</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8</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66.82</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八、社会保障和就业支出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39</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9</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九、卫生健康支出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40</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10</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十、节能环保支出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41</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11</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十一、城乡社区支出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42</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12</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十二、农林水支出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43</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13</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十三、交通运输支出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44</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14</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十四、资源勘探工业信息等支出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45</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15</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十五、商业服务业等支出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46</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16</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十六、金融支出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47</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17</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十七、援助其他地区支出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48</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18</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十八、自然资源海洋气象等支出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49</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19</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十九、住房保障支出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50</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20</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二十、粮油物资储备支出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51</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21</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二十一、国有资本经营预算支出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52</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22</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二十二、灾害防治及应急管理支出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53</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23</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二十三、其他支出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54</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center"/>
              <w:rPr>
                <w:rFonts w:ascii="宋体" w:hAnsi="宋体" w:eastAsia="宋体" w:cs="Arial"/>
                <w:b/>
                <w:bCs/>
                <w:kern w:val="0"/>
                <w:sz w:val="20"/>
                <w:szCs w:val="20"/>
              </w:rPr>
            </w:pPr>
            <w:r>
              <w:rPr>
                <w:rFonts w:hint="eastAsia" w:ascii="宋体" w:hAnsi="宋体" w:eastAsia="宋体" w:cs="Arial"/>
                <w:b/>
                <w:bCs/>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24</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二十四、债务还本支出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55</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25</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二十五、债务付息支出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56</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26</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二十六、抗疫特别国债安排的支出</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57</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center"/>
              <w:rPr>
                <w:rFonts w:ascii="宋体" w:hAnsi="宋体" w:eastAsia="宋体" w:cs="Arial"/>
                <w:b/>
                <w:bCs/>
                <w:kern w:val="0"/>
                <w:sz w:val="20"/>
                <w:szCs w:val="20"/>
              </w:rPr>
            </w:pPr>
            <w:r>
              <w:rPr>
                <w:rFonts w:hint="eastAsia" w:ascii="宋体" w:hAnsi="宋体" w:eastAsia="宋体" w:cs="Arial"/>
                <w:b/>
                <w:bCs/>
                <w:kern w:val="0"/>
                <w:sz w:val="20"/>
                <w:szCs w:val="20"/>
              </w:rPr>
              <w:t>本年收入合计</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27</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1,147.35</w:t>
            </w:r>
          </w:p>
        </w:tc>
        <w:tc>
          <w:tcPr>
            <w:tcW w:w="4200" w:type="dxa"/>
            <w:shd w:val="clear" w:color="000000" w:fill="C0C0C0"/>
            <w:noWrap/>
            <w:vAlign w:val="center"/>
          </w:tcPr>
          <w:p>
            <w:pPr>
              <w:widowControl/>
              <w:jc w:val="center"/>
              <w:rPr>
                <w:rFonts w:ascii="宋体" w:hAnsi="宋体" w:eastAsia="宋体" w:cs="Arial"/>
                <w:b/>
                <w:bCs/>
                <w:kern w:val="0"/>
                <w:sz w:val="20"/>
                <w:szCs w:val="20"/>
              </w:rPr>
            </w:pPr>
            <w:r>
              <w:rPr>
                <w:rFonts w:hint="eastAsia" w:ascii="宋体" w:hAnsi="宋体" w:eastAsia="宋体" w:cs="Arial"/>
                <w:b/>
                <w:bCs/>
                <w:kern w:val="0"/>
                <w:sz w:val="20"/>
                <w:szCs w:val="20"/>
              </w:rPr>
              <w:t>本年支出合计</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58</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1,147.35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使用非财政拨款结余</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28</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结余分配</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59</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年初结转和结余</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29</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3.35</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年末结转和结余</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60</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30</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4200"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61</w:t>
            </w:r>
          </w:p>
        </w:tc>
        <w:tc>
          <w:tcPr>
            <w:tcW w:w="2260" w:type="dxa"/>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4200" w:type="dxa"/>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总计</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31</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1,150.70</w:t>
            </w:r>
          </w:p>
        </w:tc>
        <w:tc>
          <w:tcPr>
            <w:tcW w:w="4200" w:type="dxa"/>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总计</w:t>
            </w:r>
          </w:p>
        </w:tc>
        <w:tc>
          <w:tcPr>
            <w:tcW w:w="58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62</w:t>
            </w:r>
          </w:p>
        </w:tc>
        <w:tc>
          <w:tcPr>
            <w:tcW w:w="226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1,150.70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4080" w:type="dxa"/>
            <w:gridSpan w:val="6"/>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注：本表反映部门本年度的总收支和年末结转结余情况。本套报表金额单位转换时可能存在尾数误差。</w:t>
            </w:r>
          </w:p>
        </w:tc>
      </w:tr>
    </w:tbl>
    <w:p>
      <w:pPr>
        <w:pStyle w:val="7"/>
        <w:widowControl/>
        <w:spacing w:before="76" w:beforeAutospacing="0" w:after="76" w:afterAutospacing="0" w:line="450" w:lineRule="atLeast"/>
        <w:jc w:val="both"/>
      </w:pPr>
    </w:p>
    <w:p>
      <w:pPr>
        <w:pStyle w:val="7"/>
        <w:widowControl/>
        <w:spacing w:before="76" w:beforeAutospacing="0" w:after="76" w:afterAutospacing="0" w:line="450" w:lineRule="atLeast"/>
        <w:jc w:val="both"/>
      </w:pPr>
    </w:p>
    <w:tbl>
      <w:tblPr>
        <w:tblStyle w:val="8"/>
        <w:tblW w:w="1438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6"/>
        <w:gridCol w:w="305"/>
        <w:gridCol w:w="305"/>
        <w:gridCol w:w="3195"/>
        <w:gridCol w:w="1468"/>
        <w:gridCol w:w="1468"/>
        <w:gridCol w:w="1468"/>
        <w:gridCol w:w="1468"/>
        <w:gridCol w:w="1468"/>
        <w:gridCol w:w="1468"/>
        <w:gridCol w:w="14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8" w:hRule="atLeast"/>
        </w:trPr>
        <w:tc>
          <w:tcPr>
            <w:tcW w:w="14387" w:type="dxa"/>
            <w:gridSpan w:val="11"/>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p>
            <w:pPr>
              <w:widowControl/>
              <w:jc w:val="center"/>
              <w:rPr>
                <w:rFonts w:ascii="宋体" w:hAnsi="宋体" w:eastAsia="宋体" w:cs="Arial"/>
                <w:kern w:val="0"/>
                <w:sz w:val="18"/>
                <w:szCs w:val="18"/>
              </w:rPr>
            </w:pPr>
            <w:r>
              <w:rPr>
                <w:rFonts w:hint="eastAsia" w:ascii="黑体" w:hAnsi="黑体" w:eastAsia="黑体" w:cs="Arial"/>
                <w:color w:val="000000"/>
                <w:kern w:val="0"/>
                <w:sz w:val="30"/>
                <w:szCs w:val="30"/>
              </w:rPr>
              <w:t>收入决算表</w:t>
            </w:r>
          </w:p>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306"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305"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305"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3195"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68"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68"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68"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68"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68"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68"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68" w:type="dxa"/>
            <w:tcBorders>
              <w:top w:val="nil"/>
              <w:left w:val="nil"/>
              <w:bottom w:val="nil"/>
              <w:right w:val="nil"/>
            </w:tcBorders>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公开02表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4111" w:type="dxa"/>
            <w:gridSpan w:val="4"/>
            <w:tcBorders>
              <w:top w:val="nil"/>
              <w:left w:val="nil"/>
              <w:bottom w:val="single" w:color="auto" w:sz="4" w:space="0"/>
              <w:right w:val="nil"/>
            </w:tcBorders>
            <w:shd w:val="clear" w:color="000000" w:fill="FFFFFF"/>
            <w:noWrap/>
            <w:vAlign w:val="center"/>
          </w:tcPr>
          <w:p>
            <w:pPr>
              <w:widowControl/>
              <w:jc w:val="left"/>
              <w:rPr>
                <w:rFonts w:ascii="宋体" w:hAnsi="宋体" w:eastAsia="宋体" w:cs="Arial"/>
                <w:color w:val="000000"/>
                <w:kern w:val="0"/>
                <w:sz w:val="22"/>
                <w:szCs w:val="22"/>
              </w:rPr>
            </w:pPr>
            <w:r>
              <w:rPr>
                <w:rFonts w:hint="eastAsia" w:ascii="宋体" w:hAnsi="宋体" w:eastAsia="宋体" w:cs="Arial"/>
                <w:color w:val="000000"/>
                <w:kern w:val="0"/>
                <w:sz w:val="22"/>
                <w:szCs w:val="22"/>
              </w:rPr>
              <w:t>部门：黄石市黄石港区市场监督管理局</w:t>
            </w:r>
          </w:p>
        </w:tc>
        <w:tc>
          <w:tcPr>
            <w:tcW w:w="1468"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468"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color w:val="000000"/>
                <w:kern w:val="0"/>
                <w:sz w:val="22"/>
                <w:szCs w:val="22"/>
              </w:rPr>
            </w:pPr>
            <w:r>
              <w:rPr>
                <w:rFonts w:hint="eastAsia" w:ascii="宋体" w:hAnsi="宋体" w:eastAsia="宋体" w:cs="Arial"/>
                <w:color w:val="000000"/>
                <w:kern w:val="0"/>
                <w:sz w:val="22"/>
                <w:szCs w:val="22"/>
              </w:rPr>
              <w:t>2020年度</w:t>
            </w:r>
          </w:p>
        </w:tc>
        <w:tc>
          <w:tcPr>
            <w:tcW w:w="1468"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468"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468"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2936" w:type="dxa"/>
            <w:gridSpan w:val="2"/>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xml:space="preserve">　           </w:t>
            </w:r>
            <w:r>
              <w:rPr>
                <w:rFonts w:hint="eastAsia" w:ascii="宋体" w:hAnsi="宋体" w:eastAsia="宋体" w:cs="Arial"/>
                <w:color w:val="000000"/>
                <w:kern w:val="0"/>
                <w:sz w:val="22"/>
                <w:szCs w:val="22"/>
              </w:rPr>
              <w:t>金额单位：万元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4111" w:type="dxa"/>
            <w:gridSpan w:val="4"/>
            <w:tcBorders>
              <w:top w:val="single" w:color="auto"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项目</w:t>
            </w:r>
          </w:p>
        </w:tc>
        <w:tc>
          <w:tcPr>
            <w:tcW w:w="146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本年收入合计</w:t>
            </w:r>
          </w:p>
        </w:tc>
        <w:tc>
          <w:tcPr>
            <w:tcW w:w="146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财政拨款收入</w:t>
            </w:r>
          </w:p>
        </w:tc>
        <w:tc>
          <w:tcPr>
            <w:tcW w:w="146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上级补助收入</w:t>
            </w:r>
          </w:p>
        </w:tc>
        <w:tc>
          <w:tcPr>
            <w:tcW w:w="146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事业收入</w:t>
            </w:r>
          </w:p>
        </w:tc>
        <w:tc>
          <w:tcPr>
            <w:tcW w:w="146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经营收入</w:t>
            </w:r>
          </w:p>
        </w:tc>
        <w:tc>
          <w:tcPr>
            <w:tcW w:w="146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附属单位上缴收入</w:t>
            </w:r>
          </w:p>
        </w:tc>
        <w:tc>
          <w:tcPr>
            <w:tcW w:w="146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其他收入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916" w:type="dxa"/>
            <w:gridSpan w:val="3"/>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功能分类科目编码</w:t>
            </w:r>
          </w:p>
        </w:tc>
        <w:tc>
          <w:tcPr>
            <w:tcW w:w="3195" w:type="dxa"/>
            <w:vMerge w:val="restart"/>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科目名称</w:t>
            </w: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916" w:type="dxa"/>
            <w:gridSpan w:val="3"/>
            <w:vMerge w:val="continue"/>
            <w:vAlign w:val="center"/>
          </w:tcPr>
          <w:p>
            <w:pPr>
              <w:widowControl/>
              <w:jc w:val="left"/>
              <w:rPr>
                <w:rFonts w:ascii="宋体" w:hAnsi="宋体" w:eastAsia="宋体" w:cs="Arial"/>
                <w:kern w:val="0"/>
                <w:sz w:val="20"/>
                <w:szCs w:val="20"/>
              </w:rPr>
            </w:pPr>
          </w:p>
        </w:tc>
        <w:tc>
          <w:tcPr>
            <w:tcW w:w="3195"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916" w:type="dxa"/>
            <w:gridSpan w:val="3"/>
            <w:vMerge w:val="continue"/>
            <w:vAlign w:val="center"/>
          </w:tcPr>
          <w:p>
            <w:pPr>
              <w:widowControl/>
              <w:jc w:val="left"/>
              <w:rPr>
                <w:rFonts w:ascii="宋体" w:hAnsi="宋体" w:eastAsia="宋体" w:cs="Arial"/>
                <w:kern w:val="0"/>
                <w:sz w:val="20"/>
                <w:szCs w:val="20"/>
              </w:rPr>
            </w:pPr>
          </w:p>
        </w:tc>
        <w:tc>
          <w:tcPr>
            <w:tcW w:w="3195"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c>
          <w:tcPr>
            <w:tcW w:w="1468" w:type="dxa"/>
            <w:vMerge w:val="continue"/>
            <w:vAlign w:val="center"/>
          </w:tcPr>
          <w:p>
            <w:pPr>
              <w:widowControl/>
              <w:jc w:val="left"/>
              <w:rPr>
                <w:rFonts w:ascii="宋体" w:hAnsi="宋体" w:eastAsia="宋体" w:cs="Arial"/>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4111" w:type="dxa"/>
            <w:gridSpan w:val="4"/>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栏次</w:t>
            </w:r>
          </w:p>
        </w:tc>
        <w:tc>
          <w:tcPr>
            <w:tcW w:w="146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146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c>
          <w:tcPr>
            <w:tcW w:w="146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w:t>
            </w:r>
          </w:p>
        </w:tc>
        <w:tc>
          <w:tcPr>
            <w:tcW w:w="146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w:t>
            </w:r>
          </w:p>
        </w:tc>
        <w:tc>
          <w:tcPr>
            <w:tcW w:w="146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w:t>
            </w:r>
          </w:p>
        </w:tc>
        <w:tc>
          <w:tcPr>
            <w:tcW w:w="146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w:t>
            </w:r>
          </w:p>
        </w:tc>
        <w:tc>
          <w:tcPr>
            <w:tcW w:w="146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4111" w:type="dxa"/>
            <w:gridSpan w:val="4"/>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合计</w:t>
            </w:r>
          </w:p>
        </w:tc>
        <w:tc>
          <w:tcPr>
            <w:tcW w:w="1468" w:type="dxa"/>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1,147.35</w:t>
            </w:r>
          </w:p>
        </w:tc>
        <w:tc>
          <w:tcPr>
            <w:tcW w:w="1468" w:type="dxa"/>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1,080.54</w:t>
            </w:r>
          </w:p>
        </w:tc>
        <w:tc>
          <w:tcPr>
            <w:tcW w:w="1468" w:type="dxa"/>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66.82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916" w:type="dxa"/>
            <w:gridSpan w:val="3"/>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201</w:t>
            </w:r>
          </w:p>
        </w:tc>
        <w:tc>
          <w:tcPr>
            <w:tcW w:w="3195" w:type="dxa"/>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一般公共服务支出</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1,144.27</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1,080.54</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63.73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916" w:type="dxa"/>
            <w:gridSpan w:val="3"/>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20138</w:t>
            </w:r>
          </w:p>
        </w:tc>
        <w:tc>
          <w:tcPr>
            <w:tcW w:w="3195" w:type="dxa"/>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市场监督管理事务</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1,144.27</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1,080.54</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63.73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916" w:type="dxa"/>
            <w:gridSpan w:val="3"/>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2013801</w:t>
            </w:r>
          </w:p>
        </w:tc>
        <w:tc>
          <w:tcPr>
            <w:tcW w:w="3195" w:type="dxa"/>
            <w:shd w:val="clear" w:color="000000" w:fill="CC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行政运行</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1,120.12</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1,056.38</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63.73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916" w:type="dxa"/>
            <w:gridSpan w:val="3"/>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2013899</w:t>
            </w:r>
          </w:p>
        </w:tc>
        <w:tc>
          <w:tcPr>
            <w:tcW w:w="3195" w:type="dxa"/>
            <w:shd w:val="clear" w:color="000000" w:fill="CC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其他市场监督管理事务</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24.15</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24.15</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916" w:type="dxa"/>
            <w:gridSpan w:val="3"/>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212</w:t>
            </w:r>
          </w:p>
        </w:tc>
        <w:tc>
          <w:tcPr>
            <w:tcW w:w="3195" w:type="dxa"/>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城乡社区支出</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3.09</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3.09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916" w:type="dxa"/>
            <w:gridSpan w:val="3"/>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21201</w:t>
            </w:r>
          </w:p>
        </w:tc>
        <w:tc>
          <w:tcPr>
            <w:tcW w:w="3195" w:type="dxa"/>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城乡社区管理事务</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3.09</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46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3.09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916" w:type="dxa"/>
            <w:gridSpan w:val="3"/>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2120101</w:t>
            </w:r>
          </w:p>
        </w:tc>
        <w:tc>
          <w:tcPr>
            <w:tcW w:w="3195" w:type="dxa"/>
            <w:shd w:val="clear" w:color="000000" w:fill="CC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行政运行</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3.09</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 w:hRule="atLeast"/>
        </w:trPr>
        <w:tc>
          <w:tcPr>
            <w:tcW w:w="14387" w:type="dxa"/>
            <w:gridSpan w:val="11"/>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注：本表反映部门本年度取得的各项收入情况。</w:t>
            </w:r>
          </w:p>
        </w:tc>
      </w:tr>
    </w:tbl>
    <w:p>
      <w:pPr>
        <w:pStyle w:val="7"/>
        <w:widowControl/>
        <w:spacing w:before="76" w:beforeAutospacing="0" w:after="76" w:afterAutospacing="0" w:line="450" w:lineRule="atLeast"/>
        <w:jc w:val="both"/>
      </w:pPr>
    </w:p>
    <w:p>
      <w:pPr>
        <w:pStyle w:val="7"/>
        <w:widowControl/>
        <w:spacing w:before="76" w:beforeAutospacing="0" w:after="76" w:afterAutospacing="0" w:line="450" w:lineRule="atLeast"/>
        <w:jc w:val="both"/>
      </w:pPr>
    </w:p>
    <w:p>
      <w:pPr>
        <w:pStyle w:val="7"/>
        <w:widowControl/>
        <w:spacing w:before="76" w:beforeAutospacing="0" w:after="76" w:afterAutospacing="0" w:line="450" w:lineRule="atLeast"/>
        <w:jc w:val="both"/>
      </w:pPr>
    </w:p>
    <w:tbl>
      <w:tblPr>
        <w:tblStyle w:val="8"/>
        <w:tblW w:w="150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4"/>
        <w:gridCol w:w="324"/>
        <w:gridCol w:w="325"/>
        <w:gridCol w:w="3741"/>
        <w:gridCol w:w="1718"/>
        <w:gridCol w:w="1718"/>
        <w:gridCol w:w="1718"/>
        <w:gridCol w:w="1718"/>
        <w:gridCol w:w="1718"/>
        <w:gridCol w:w="17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5022" w:type="dxa"/>
            <w:gridSpan w:val="10"/>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p>
          <w:p>
            <w:pPr>
              <w:widowControl/>
              <w:jc w:val="center"/>
              <w:rPr>
                <w:rFonts w:ascii="黑体" w:hAnsi="黑体" w:eastAsia="黑体" w:cs="Arial"/>
                <w:color w:val="000000"/>
                <w:kern w:val="0"/>
                <w:sz w:val="30"/>
                <w:szCs w:val="30"/>
              </w:rPr>
            </w:pPr>
            <w:r>
              <w:rPr>
                <w:rFonts w:hint="eastAsia" w:ascii="黑体" w:hAnsi="黑体" w:eastAsia="黑体" w:cs="Arial"/>
                <w:color w:val="000000"/>
                <w:kern w:val="0"/>
                <w:sz w:val="30"/>
                <w:szCs w:val="30"/>
              </w:rPr>
              <w:t>支出决算表</w:t>
            </w:r>
          </w:p>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324"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324"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325"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3741"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718"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718"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718"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718"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718"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718" w:type="dxa"/>
            <w:tcBorders>
              <w:top w:val="nil"/>
              <w:left w:val="nil"/>
              <w:bottom w:val="nil"/>
              <w:right w:val="nil"/>
            </w:tcBorders>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公开03表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4714" w:type="dxa"/>
            <w:gridSpan w:val="4"/>
            <w:tcBorders>
              <w:top w:val="nil"/>
              <w:left w:val="nil"/>
              <w:bottom w:val="single" w:color="auto" w:sz="4" w:space="0"/>
              <w:right w:val="nil"/>
            </w:tcBorders>
            <w:shd w:val="clear" w:color="000000" w:fill="FFFFFF"/>
            <w:noWrap/>
            <w:vAlign w:val="center"/>
          </w:tcPr>
          <w:p>
            <w:pPr>
              <w:widowControl/>
              <w:jc w:val="left"/>
              <w:rPr>
                <w:rFonts w:ascii="宋体" w:hAnsi="宋体" w:eastAsia="宋体" w:cs="Arial"/>
                <w:color w:val="000000"/>
                <w:kern w:val="0"/>
                <w:sz w:val="22"/>
                <w:szCs w:val="22"/>
              </w:rPr>
            </w:pPr>
            <w:r>
              <w:rPr>
                <w:rFonts w:hint="eastAsia" w:ascii="宋体" w:hAnsi="宋体" w:eastAsia="宋体" w:cs="Arial"/>
                <w:color w:val="000000"/>
                <w:kern w:val="0"/>
                <w:sz w:val="22"/>
                <w:szCs w:val="22"/>
              </w:rPr>
              <w:t>部门：黄石市黄石港区市场监督管理局</w:t>
            </w:r>
          </w:p>
        </w:tc>
        <w:tc>
          <w:tcPr>
            <w:tcW w:w="1718"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color w:val="000000"/>
                <w:kern w:val="0"/>
                <w:sz w:val="22"/>
                <w:szCs w:val="22"/>
              </w:rPr>
            </w:pPr>
            <w:r>
              <w:rPr>
                <w:rFonts w:hint="eastAsia" w:ascii="宋体" w:hAnsi="宋体" w:eastAsia="宋体" w:cs="Arial"/>
                <w:color w:val="000000"/>
                <w:kern w:val="0"/>
                <w:sz w:val="22"/>
                <w:szCs w:val="22"/>
              </w:rPr>
              <w:t>2020年度</w:t>
            </w:r>
          </w:p>
        </w:tc>
        <w:tc>
          <w:tcPr>
            <w:tcW w:w="1718"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718"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718"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718"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718" w:type="dxa"/>
            <w:tcBorders>
              <w:top w:val="nil"/>
              <w:left w:val="nil"/>
              <w:bottom w:val="single" w:color="auto" w:sz="4" w:space="0"/>
              <w:right w:val="nil"/>
            </w:tcBorders>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金额单位：万元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4714" w:type="dxa"/>
            <w:gridSpan w:val="4"/>
            <w:tcBorders>
              <w:top w:val="single" w:color="auto"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项目</w:t>
            </w:r>
          </w:p>
        </w:tc>
        <w:tc>
          <w:tcPr>
            <w:tcW w:w="171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本年支出合计</w:t>
            </w:r>
          </w:p>
        </w:tc>
        <w:tc>
          <w:tcPr>
            <w:tcW w:w="171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基本支出</w:t>
            </w:r>
          </w:p>
        </w:tc>
        <w:tc>
          <w:tcPr>
            <w:tcW w:w="171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项目支出</w:t>
            </w:r>
          </w:p>
        </w:tc>
        <w:tc>
          <w:tcPr>
            <w:tcW w:w="171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上缴上级支出</w:t>
            </w:r>
          </w:p>
        </w:tc>
        <w:tc>
          <w:tcPr>
            <w:tcW w:w="171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经营支出</w:t>
            </w:r>
          </w:p>
        </w:tc>
        <w:tc>
          <w:tcPr>
            <w:tcW w:w="1718" w:type="dxa"/>
            <w:vMerge w:val="restart"/>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对附属单位补助支出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973" w:type="dxa"/>
            <w:gridSpan w:val="3"/>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功能分类科目编码</w:t>
            </w:r>
          </w:p>
        </w:tc>
        <w:tc>
          <w:tcPr>
            <w:tcW w:w="3741" w:type="dxa"/>
            <w:vMerge w:val="restart"/>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科目名称</w:t>
            </w: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973" w:type="dxa"/>
            <w:gridSpan w:val="3"/>
            <w:vMerge w:val="continue"/>
            <w:vAlign w:val="center"/>
          </w:tcPr>
          <w:p>
            <w:pPr>
              <w:widowControl/>
              <w:jc w:val="left"/>
              <w:rPr>
                <w:rFonts w:ascii="宋体" w:hAnsi="宋体" w:eastAsia="宋体" w:cs="Arial"/>
                <w:kern w:val="0"/>
                <w:sz w:val="20"/>
                <w:szCs w:val="20"/>
              </w:rPr>
            </w:pPr>
          </w:p>
        </w:tc>
        <w:tc>
          <w:tcPr>
            <w:tcW w:w="3741"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973" w:type="dxa"/>
            <w:gridSpan w:val="3"/>
            <w:vMerge w:val="continue"/>
            <w:vAlign w:val="center"/>
          </w:tcPr>
          <w:p>
            <w:pPr>
              <w:widowControl/>
              <w:jc w:val="left"/>
              <w:rPr>
                <w:rFonts w:ascii="宋体" w:hAnsi="宋体" w:eastAsia="宋体" w:cs="Arial"/>
                <w:kern w:val="0"/>
                <w:sz w:val="20"/>
                <w:szCs w:val="20"/>
              </w:rPr>
            </w:pPr>
          </w:p>
        </w:tc>
        <w:tc>
          <w:tcPr>
            <w:tcW w:w="3741"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c>
          <w:tcPr>
            <w:tcW w:w="1718" w:type="dxa"/>
            <w:vMerge w:val="continue"/>
            <w:vAlign w:val="center"/>
          </w:tcPr>
          <w:p>
            <w:pPr>
              <w:widowControl/>
              <w:jc w:val="left"/>
              <w:rPr>
                <w:rFonts w:ascii="宋体" w:hAnsi="宋体" w:eastAsia="宋体" w:cs="Arial"/>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4714" w:type="dxa"/>
            <w:gridSpan w:val="4"/>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栏次</w:t>
            </w:r>
          </w:p>
        </w:tc>
        <w:tc>
          <w:tcPr>
            <w:tcW w:w="171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171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c>
          <w:tcPr>
            <w:tcW w:w="171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w:t>
            </w:r>
          </w:p>
        </w:tc>
        <w:tc>
          <w:tcPr>
            <w:tcW w:w="171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w:t>
            </w:r>
          </w:p>
        </w:tc>
        <w:tc>
          <w:tcPr>
            <w:tcW w:w="171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w:t>
            </w:r>
          </w:p>
        </w:tc>
        <w:tc>
          <w:tcPr>
            <w:tcW w:w="1718"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4714" w:type="dxa"/>
            <w:gridSpan w:val="4"/>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合计</w:t>
            </w:r>
          </w:p>
        </w:tc>
        <w:tc>
          <w:tcPr>
            <w:tcW w:w="1718" w:type="dxa"/>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1,147.35</w:t>
            </w:r>
          </w:p>
        </w:tc>
        <w:tc>
          <w:tcPr>
            <w:tcW w:w="1718" w:type="dxa"/>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1,147.35</w:t>
            </w:r>
          </w:p>
        </w:tc>
        <w:tc>
          <w:tcPr>
            <w:tcW w:w="1718" w:type="dxa"/>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973" w:type="dxa"/>
            <w:gridSpan w:val="3"/>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201</w:t>
            </w:r>
          </w:p>
        </w:tc>
        <w:tc>
          <w:tcPr>
            <w:tcW w:w="3741" w:type="dxa"/>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一般公共服务支出</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1,144.27</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1,144.27</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973" w:type="dxa"/>
            <w:gridSpan w:val="3"/>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20138</w:t>
            </w:r>
          </w:p>
        </w:tc>
        <w:tc>
          <w:tcPr>
            <w:tcW w:w="3741" w:type="dxa"/>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市场监督管理事务</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1,144.27</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1,144.27</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973" w:type="dxa"/>
            <w:gridSpan w:val="3"/>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2013801</w:t>
            </w:r>
          </w:p>
        </w:tc>
        <w:tc>
          <w:tcPr>
            <w:tcW w:w="3741" w:type="dxa"/>
            <w:shd w:val="clear" w:color="000000" w:fill="CC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行政运行</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1,120.12</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1,120.12</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973" w:type="dxa"/>
            <w:gridSpan w:val="3"/>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2013899</w:t>
            </w:r>
          </w:p>
        </w:tc>
        <w:tc>
          <w:tcPr>
            <w:tcW w:w="3741" w:type="dxa"/>
            <w:shd w:val="clear" w:color="000000" w:fill="CC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其他市场监督管理事务</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24.15</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24.15</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973" w:type="dxa"/>
            <w:gridSpan w:val="3"/>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212</w:t>
            </w:r>
          </w:p>
        </w:tc>
        <w:tc>
          <w:tcPr>
            <w:tcW w:w="3741" w:type="dxa"/>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城乡社区支出</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3.09</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3.09</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973" w:type="dxa"/>
            <w:gridSpan w:val="3"/>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21201</w:t>
            </w:r>
          </w:p>
        </w:tc>
        <w:tc>
          <w:tcPr>
            <w:tcW w:w="3741" w:type="dxa"/>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城乡社区管理事务</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3.09</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3.09</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c>
          <w:tcPr>
            <w:tcW w:w="1718" w:type="dxa"/>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973" w:type="dxa"/>
            <w:gridSpan w:val="3"/>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2120101</w:t>
            </w:r>
          </w:p>
        </w:tc>
        <w:tc>
          <w:tcPr>
            <w:tcW w:w="3741" w:type="dxa"/>
            <w:shd w:val="clear" w:color="000000" w:fill="CC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行政运行</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3.09</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3.09</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718"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15022" w:type="dxa"/>
            <w:gridSpan w:val="10"/>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注：本表反映部门本年度各项支出情况。</w:t>
            </w:r>
          </w:p>
        </w:tc>
      </w:tr>
    </w:tbl>
    <w:p>
      <w:pPr>
        <w:pStyle w:val="7"/>
        <w:widowControl/>
        <w:spacing w:before="76" w:beforeAutospacing="0" w:after="76" w:afterAutospacing="0" w:line="450" w:lineRule="atLeast"/>
        <w:jc w:val="both"/>
      </w:pPr>
    </w:p>
    <w:tbl>
      <w:tblPr>
        <w:tblStyle w:val="8"/>
        <w:tblW w:w="148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69"/>
        <w:gridCol w:w="507"/>
        <w:gridCol w:w="1469"/>
        <w:gridCol w:w="3201"/>
        <w:gridCol w:w="844"/>
        <w:gridCol w:w="1469"/>
        <w:gridCol w:w="1469"/>
        <w:gridCol w:w="1470"/>
        <w:gridCol w:w="15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14872" w:type="dxa"/>
            <w:gridSpan w:val="9"/>
            <w:tcBorders>
              <w:top w:val="nil"/>
              <w:left w:val="nil"/>
              <w:bottom w:val="nil"/>
              <w:right w:val="nil"/>
            </w:tcBorders>
            <w:shd w:val="clear" w:color="000000" w:fill="FFFFFF"/>
            <w:noWrap/>
            <w:vAlign w:val="center"/>
          </w:tcPr>
          <w:p>
            <w:pPr>
              <w:widowControl/>
              <w:jc w:val="center"/>
              <w:rPr>
                <w:rFonts w:ascii="黑体" w:hAnsi="黑体" w:eastAsia="黑体" w:cs="Arial"/>
                <w:color w:val="000000"/>
                <w:kern w:val="0"/>
                <w:sz w:val="30"/>
                <w:szCs w:val="30"/>
              </w:rPr>
            </w:pPr>
          </w:p>
          <w:p>
            <w:pPr>
              <w:widowControl/>
              <w:jc w:val="center"/>
              <w:rPr>
                <w:rFonts w:ascii="黑体" w:hAnsi="黑体" w:eastAsia="黑体" w:cs="Arial"/>
                <w:color w:val="000000"/>
                <w:kern w:val="0"/>
                <w:sz w:val="30"/>
                <w:szCs w:val="30"/>
              </w:rPr>
            </w:pPr>
          </w:p>
          <w:p>
            <w:pPr>
              <w:widowControl/>
              <w:jc w:val="center"/>
              <w:rPr>
                <w:rFonts w:ascii="黑体" w:hAnsi="黑体" w:eastAsia="黑体" w:cs="Arial"/>
                <w:color w:val="000000"/>
                <w:kern w:val="0"/>
                <w:sz w:val="30"/>
                <w:szCs w:val="30"/>
              </w:rPr>
            </w:pPr>
            <w:r>
              <w:rPr>
                <w:rFonts w:hint="eastAsia" w:ascii="黑体" w:hAnsi="黑体" w:eastAsia="黑体" w:cs="Arial"/>
                <w:color w:val="000000"/>
                <w:kern w:val="0"/>
                <w:sz w:val="30"/>
                <w:szCs w:val="30"/>
              </w:rPr>
              <w:t>财政拨款收入支出决算总表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507"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69"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3201"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844"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69"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69"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7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574" w:type="dxa"/>
            <w:tcBorders>
              <w:top w:val="nil"/>
              <w:left w:val="nil"/>
              <w:bottom w:val="nil"/>
              <w:right w:val="nil"/>
            </w:tcBorders>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公开04表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4845" w:type="dxa"/>
            <w:gridSpan w:val="3"/>
            <w:tcBorders>
              <w:top w:val="nil"/>
              <w:left w:val="nil"/>
              <w:bottom w:val="single" w:color="auto" w:sz="4" w:space="0"/>
              <w:right w:val="nil"/>
            </w:tcBorders>
            <w:shd w:val="clear" w:color="000000" w:fill="FFFFFF"/>
            <w:noWrap/>
            <w:vAlign w:val="center"/>
          </w:tcPr>
          <w:p>
            <w:pPr>
              <w:widowControl/>
              <w:jc w:val="left"/>
              <w:rPr>
                <w:rFonts w:ascii="宋体" w:hAnsi="宋体" w:eastAsia="宋体" w:cs="Arial"/>
                <w:color w:val="000000"/>
                <w:kern w:val="0"/>
                <w:sz w:val="22"/>
                <w:szCs w:val="22"/>
              </w:rPr>
            </w:pPr>
            <w:r>
              <w:rPr>
                <w:rFonts w:hint="eastAsia" w:ascii="宋体" w:hAnsi="宋体" w:eastAsia="宋体" w:cs="Arial"/>
                <w:color w:val="000000"/>
                <w:kern w:val="0"/>
                <w:sz w:val="22"/>
                <w:szCs w:val="22"/>
              </w:rPr>
              <w:t>部门：黄石市黄石港区市场监督管理局</w:t>
            </w:r>
          </w:p>
        </w:tc>
        <w:tc>
          <w:tcPr>
            <w:tcW w:w="4045" w:type="dxa"/>
            <w:gridSpan w:val="2"/>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r>
              <w:rPr>
                <w:rFonts w:hint="eastAsia" w:ascii="宋体" w:hAnsi="宋体" w:eastAsia="宋体" w:cs="Arial"/>
                <w:color w:val="000000"/>
                <w:kern w:val="0"/>
                <w:sz w:val="22"/>
                <w:szCs w:val="22"/>
              </w:rPr>
              <w:t>2020年度</w:t>
            </w:r>
          </w:p>
        </w:tc>
        <w:tc>
          <w:tcPr>
            <w:tcW w:w="1469"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469"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3044" w:type="dxa"/>
            <w:gridSpan w:val="2"/>
            <w:tcBorders>
              <w:top w:val="nil"/>
              <w:left w:val="nil"/>
              <w:bottom w:val="single" w:color="auto" w:sz="4" w:space="0"/>
              <w:right w:val="nil"/>
            </w:tcBorders>
            <w:shd w:val="clear" w:color="000000" w:fill="FFFFFF"/>
            <w:noWrap/>
            <w:vAlign w:val="center"/>
          </w:tcPr>
          <w:p>
            <w:pPr>
              <w:widowControl/>
              <w:ind w:firstLine="1210" w:firstLineChars="550"/>
              <w:rPr>
                <w:rFonts w:ascii="宋体" w:hAnsi="宋体" w:eastAsia="宋体" w:cs="Arial"/>
                <w:kern w:val="0"/>
                <w:sz w:val="18"/>
                <w:szCs w:val="18"/>
              </w:rPr>
            </w:pPr>
            <w:r>
              <w:rPr>
                <w:rFonts w:hint="eastAsia" w:ascii="宋体" w:hAnsi="宋体" w:eastAsia="宋体" w:cs="Arial"/>
                <w:color w:val="000000"/>
                <w:kern w:val="0"/>
                <w:sz w:val="22"/>
                <w:szCs w:val="22"/>
              </w:rPr>
              <w:t>金额单位：万元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4845" w:type="dxa"/>
            <w:gridSpan w:val="3"/>
            <w:tcBorders>
              <w:top w:val="single" w:color="auto"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收     入</w:t>
            </w:r>
          </w:p>
        </w:tc>
        <w:tc>
          <w:tcPr>
            <w:tcW w:w="10027" w:type="dxa"/>
            <w:gridSpan w:val="6"/>
            <w:tcBorders>
              <w:top w:val="single" w:color="auto"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支     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2869" w:type="dxa"/>
            <w:vMerge w:val="restart"/>
            <w:shd w:val="clear" w:color="000000" w:fill="C0C0C0"/>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项目</w:t>
            </w:r>
          </w:p>
        </w:tc>
        <w:tc>
          <w:tcPr>
            <w:tcW w:w="507" w:type="dxa"/>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行次</w:t>
            </w:r>
          </w:p>
        </w:tc>
        <w:tc>
          <w:tcPr>
            <w:tcW w:w="1469" w:type="dxa"/>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金额</w:t>
            </w:r>
          </w:p>
        </w:tc>
        <w:tc>
          <w:tcPr>
            <w:tcW w:w="3201" w:type="dxa"/>
            <w:vMerge w:val="restart"/>
            <w:shd w:val="clear" w:color="000000" w:fill="C0C0C0"/>
            <w:vAlign w:val="bottom"/>
          </w:tcPr>
          <w:p>
            <w:pPr>
              <w:widowControl/>
              <w:jc w:val="left"/>
              <w:rPr>
                <w:rFonts w:ascii="宋体" w:hAnsi="宋体" w:eastAsia="宋体" w:cs="Arial"/>
                <w:kern w:val="0"/>
                <w:sz w:val="20"/>
                <w:szCs w:val="20"/>
              </w:rPr>
            </w:pPr>
            <w:r>
              <w:rPr>
                <w:rFonts w:hint="eastAsia" w:ascii="宋体" w:hAnsi="宋体" w:eastAsia="宋体" w:cs="Arial"/>
                <w:kern w:val="0"/>
                <w:sz w:val="20"/>
                <w:szCs w:val="20"/>
              </w:rPr>
              <w:t>项目</w:t>
            </w:r>
          </w:p>
        </w:tc>
        <w:tc>
          <w:tcPr>
            <w:tcW w:w="844" w:type="dxa"/>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行次</w:t>
            </w:r>
          </w:p>
        </w:tc>
        <w:tc>
          <w:tcPr>
            <w:tcW w:w="1469" w:type="dxa"/>
            <w:vMerge w:val="restart"/>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合计</w:t>
            </w:r>
          </w:p>
        </w:tc>
        <w:tc>
          <w:tcPr>
            <w:tcW w:w="1469" w:type="dxa"/>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一般公共预算财政拨款</w:t>
            </w:r>
          </w:p>
        </w:tc>
        <w:tc>
          <w:tcPr>
            <w:tcW w:w="1470" w:type="dxa"/>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政府性基金预算财政拨款</w:t>
            </w:r>
          </w:p>
        </w:tc>
        <w:tc>
          <w:tcPr>
            <w:tcW w:w="1574" w:type="dxa"/>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国有资本经营预算财政拨款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 w:hRule="atLeast"/>
          <w:jc w:val="center"/>
        </w:trPr>
        <w:tc>
          <w:tcPr>
            <w:tcW w:w="2869" w:type="dxa"/>
            <w:vMerge w:val="continue"/>
            <w:vAlign w:val="center"/>
          </w:tcPr>
          <w:p>
            <w:pPr>
              <w:widowControl/>
              <w:jc w:val="left"/>
              <w:rPr>
                <w:rFonts w:ascii="宋体" w:hAnsi="宋体" w:eastAsia="宋体" w:cs="Arial"/>
                <w:kern w:val="0"/>
                <w:sz w:val="20"/>
                <w:szCs w:val="20"/>
              </w:rPr>
            </w:pPr>
          </w:p>
        </w:tc>
        <w:tc>
          <w:tcPr>
            <w:tcW w:w="507" w:type="dxa"/>
            <w:vMerge w:val="continue"/>
            <w:vAlign w:val="center"/>
          </w:tcPr>
          <w:p>
            <w:pPr>
              <w:widowControl/>
              <w:jc w:val="left"/>
              <w:rPr>
                <w:rFonts w:ascii="宋体" w:hAnsi="宋体" w:eastAsia="宋体" w:cs="Arial"/>
                <w:kern w:val="0"/>
                <w:sz w:val="20"/>
                <w:szCs w:val="20"/>
              </w:rPr>
            </w:pPr>
          </w:p>
        </w:tc>
        <w:tc>
          <w:tcPr>
            <w:tcW w:w="1469" w:type="dxa"/>
            <w:vMerge w:val="continue"/>
            <w:vAlign w:val="center"/>
          </w:tcPr>
          <w:p>
            <w:pPr>
              <w:widowControl/>
              <w:jc w:val="left"/>
              <w:rPr>
                <w:rFonts w:ascii="宋体" w:hAnsi="宋体" w:eastAsia="宋体" w:cs="Arial"/>
                <w:kern w:val="0"/>
                <w:sz w:val="20"/>
                <w:szCs w:val="20"/>
              </w:rPr>
            </w:pPr>
          </w:p>
        </w:tc>
        <w:tc>
          <w:tcPr>
            <w:tcW w:w="3201" w:type="dxa"/>
            <w:vMerge w:val="continue"/>
            <w:vAlign w:val="center"/>
          </w:tcPr>
          <w:p>
            <w:pPr>
              <w:widowControl/>
              <w:jc w:val="left"/>
              <w:rPr>
                <w:rFonts w:ascii="宋体" w:hAnsi="宋体" w:eastAsia="宋体" w:cs="Arial"/>
                <w:kern w:val="0"/>
                <w:sz w:val="20"/>
                <w:szCs w:val="20"/>
              </w:rPr>
            </w:pPr>
          </w:p>
        </w:tc>
        <w:tc>
          <w:tcPr>
            <w:tcW w:w="844" w:type="dxa"/>
            <w:vMerge w:val="continue"/>
            <w:vAlign w:val="center"/>
          </w:tcPr>
          <w:p>
            <w:pPr>
              <w:widowControl/>
              <w:jc w:val="left"/>
              <w:rPr>
                <w:rFonts w:ascii="宋体" w:hAnsi="宋体" w:eastAsia="宋体" w:cs="Arial"/>
                <w:kern w:val="0"/>
                <w:sz w:val="20"/>
                <w:szCs w:val="20"/>
              </w:rPr>
            </w:pPr>
          </w:p>
        </w:tc>
        <w:tc>
          <w:tcPr>
            <w:tcW w:w="1469" w:type="dxa"/>
            <w:vMerge w:val="continue"/>
            <w:vAlign w:val="center"/>
          </w:tcPr>
          <w:p>
            <w:pPr>
              <w:widowControl/>
              <w:jc w:val="left"/>
              <w:rPr>
                <w:rFonts w:ascii="宋体" w:hAnsi="宋体" w:eastAsia="宋体" w:cs="Arial"/>
                <w:kern w:val="0"/>
                <w:sz w:val="20"/>
                <w:szCs w:val="20"/>
              </w:rPr>
            </w:pPr>
          </w:p>
        </w:tc>
        <w:tc>
          <w:tcPr>
            <w:tcW w:w="1469" w:type="dxa"/>
            <w:vMerge w:val="continue"/>
            <w:vAlign w:val="center"/>
          </w:tcPr>
          <w:p>
            <w:pPr>
              <w:widowControl/>
              <w:jc w:val="left"/>
              <w:rPr>
                <w:rFonts w:ascii="宋体" w:hAnsi="宋体" w:eastAsia="宋体" w:cs="Arial"/>
                <w:kern w:val="0"/>
                <w:sz w:val="20"/>
                <w:szCs w:val="20"/>
              </w:rPr>
            </w:pPr>
          </w:p>
        </w:tc>
        <w:tc>
          <w:tcPr>
            <w:tcW w:w="1470" w:type="dxa"/>
            <w:vMerge w:val="continue"/>
            <w:vAlign w:val="center"/>
          </w:tcPr>
          <w:p>
            <w:pPr>
              <w:widowControl/>
              <w:jc w:val="left"/>
              <w:rPr>
                <w:rFonts w:ascii="宋体" w:hAnsi="宋体" w:eastAsia="宋体" w:cs="Arial"/>
                <w:kern w:val="0"/>
                <w:sz w:val="20"/>
                <w:szCs w:val="20"/>
              </w:rPr>
            </w:pPr>
          </w:p>
        </w:tc>
        <w:tc>
          <w:tcPr>
            <w:tcW w:w="1574" w:type="dxa"/>
            <w:vMerge w:val="continue"/>
            <w:vAlign w:val="center"/>
          </w:tcPr>
          <w:p>
            <w:pPr>
              <w:widowControl/>
              <w:jc w:val="left"/>
              <w:rPr>
                <w:rFonts w:ascii="宋体" w:hAnsi="宋体" w:eastAsia="宋体" w:cs="Arial"/>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栏次</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　</w:t>
            </w:r>
          </w:p>
        </w:tc>
        <w:tc>
          <w:tcPr>
            <w:tcW w:w="1469"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3201" w:type="dxa"/>
            <w:shd w:val="clear" w:color="000000" w:fill="C0C0C0"/>
            <w:noWrap/>
            <w:vAlign w:val="bottom"/>
          </w:tcPr>
          <w:p>
            <w:pPr>
              <w:widowControl/>
              <w:jc w:val="left"/>
              <w:rPr>
                <w:rFonts w:ascii="宋体" w:hAnsi="宋体" w:eastAsia="宋体" w:cs="Arial"/>
                <w:kern w:val="0"/>
                <w:sz w:val="20"/>
                <w:szCs w:val="20"/>
              </w:rPr>
            </w:pPr>
            <w:r>
              <w:rPr>
                <w:rFonts w:hint="eastAsia" w:ascii="宋体" w:hAnsi="宋体" w:eastAsia="宋体" w:cs="Arial"/>
                <w:kern w:val="0"/>
                <w:sz w:val="20"/>
                <w:szCs w:val="20"/>
              </w:rPr>
              <w:t>栏次</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　</w:t>
            </w:r>
          </w:p>
        </w:tc>
        <w:tc>
          <w:tcPr>
            <w:tcW w:w="1469"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c>
          <w:tcPr>
            <w:tcW w:w="1469"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w:t>
            </w:r>
          </w:p>
        </w:tc>
        <w:tc>
          <w:tcPr>
            <w:tcW w:w="1470"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w:t>
            </w:r>
          </w:p>
        </w:tc>
        <w:tc>
          <w:tcPr>
            <w:tcW w:w="157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一、一般公共预算财政拨款</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1,080.54</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一、一般公共服务支出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33</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1,080.54</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1,080.54</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二、政府性基金预算财政拨款</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二、外交支出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34</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三、国有资本经营财政拨款</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三、国防支出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35</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四、公共安全支出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36</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五、教育支出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37</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六、科学技术支出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38</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7</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七、文化旅游体育与传媒支出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39</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8</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八、社会保障和就业支出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9</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九、卫生健康支出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41</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十、节能环保支出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42</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11</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十一、城乡社区支出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43</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12</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十二、农林水支出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44</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13</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十三、交通运输支出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45</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14</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十四、资源勘探工业信息等支出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46</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15</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十五、商业服务业等支出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47</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16</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十六、金融支出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48</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17</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十七、援助其他地区支出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49</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18</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十八、自然资源海洋气象等支出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19</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十九、住房保障支出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51</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二十、粮油物资储备支出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52</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21</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二十一、国有资本经营预算支出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53</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22</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二十二、灾害防治及应急管理支出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54</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23</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二十三、其他支出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55</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center"/>
              <w:rPr>
                <w:rFonts w:ascii="宋体" w:hAnsi="宋体" w:eastAsia="宋体" w:cs="Arial"/>
                <w:b/>
                <w:bCs/>
                <w:kern w:val="0"/>
                <w:sz w:val="20"/>
                <w:szCs w:val="20"/>
              </w:rPr>
            </w:pPr>
            <w:r>
              <w:rPr>
                <w:rFonts w:hint="eastAsia" w:ascii="宋体" w:hAnsi="宋体" w:eastAsia="宋体" w:cs="Arial"/>
                <w:b/>
                <w:bCs/>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24</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二十四、债务还本支出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56</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25</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二十五、债务付息支出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57</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26</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二十六、抗疫特别国债安排的支出</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58</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center"/>
              <w:rPr>
                <w:rFonts w:ascii="宋体" w:hAnsi="宋体" w:eastAsia="宋体" w:cs="Arial"/>
                <w:b/>
                <w:bCs/>
                <w:kern w:val="0"/>
                <w:sz w:val="20"/>
                <w:szCs w:val="20"/>
              </w:rPr>
            </w:pPr>
            <w:r>
              <w:rPr>
                <w:rFonts w:hint="eastAsia" w:ascii="宋体" w:hAnsi="宋体" w:eastAsia="宋体" w:cs="Arial"/>
                <w:b/>
                <w:bCs/>
                <w:kern w:val="0"/>
                <w:sz w:val="20"/>
                <w:szCs w:val="20"/>
              </w:rPr>
              <w:t>本年收入合计</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27</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1,080.54</w:t>
            </w:r>
          </w:p>
        </w:tc>
        <w:tc>
          <w:tcPr>
            <w:tcW w:w="3201" w:type="dxa"/>
            <w:shd w:val="clear" w:color="000000" w:fill="C0C0C0"/>
            <w:noWrap/>
            <w:vAlign w:val="center"/>
          </w:tcPr>
          <w:p>
            <w:pPr>
              <w:widowControl/>
              <w:jc w:val="center"/>
              <w:rPr>
                <w:rFonts w:ascii="宋体" w:hAnsi="宋体" w:eastAsia="宋体" w:cs="Arial"/>
                <w:b/>
                <w:bCs/>
                <w:kern w:val="0"/>
                <w:sz w:val="20"/>
                <w:szCs w:val="20"/>
              </w:rPr>
            </w:pPr>
            <w:r>
              <w:rPr>
                <w:rFonts w:hint="eastAsia" w:ascii="宋体" w:hAnsi="宋体" w:eastAsia="宋体" w:cs="Arial"/>
                <w:b/>
                <w:bCs/>
                <w:kern w:val="0"/>
                <w:sz w:val="20"/>
                <w:szCs w:val="20"/>
              </w:rPr>
              <w:t>本年支出合计</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59</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1,080.54</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1,080.54</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年初财政拨款结转和结余</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28</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年末财政拨款结转和结余</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一般公共预算财政拨款</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29</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61</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政府性基金预算财政拨款</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30</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62</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国有资本经营预算财政拨款</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31</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3201" w:type="dxa"/>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63</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2869" w:type="dxa"/>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总计</w:t>
            </w:r>
          </w:p>
        </w:tc>
        <w:tc>
          <w:tcPr>
            <w:tcW w:w="507"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32</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1,080.54</w:t>
            </w:r>
          </w:p>
        </w:tc>
        <w:tc>
          <w:tcPr>
            <w:tcW w:w="3201" w:type="dxa"/>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总计</w:t>
            </w:r>
          </w:p>
        </w:tc>
        <w:tc>
          <w:tcPr>
            <w:tcW w:w="844" w:type="dxa"/>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64</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1,080.54</w:t>
            </w:r>
          </w:p>
        </w:tc>
        <w:tc>
          <w:tcPr>
            <w:tcW w:w="146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1,080.54</w:t>
            </w:r>
          </w:p>
        </w:tc>
        <w:tc>
          <w:tcPr>
            <w:tcW w:w="147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574"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13298" w:type="dxa"/>
            <w:gridSpan w:val="8"/>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注：本表反映部门本年度一般公共预算财政拨款、政府性基金预算财政拨款和国有资本经营预算财政拨款的总收支和年末结转结余情况。</w:t>
            </w:r>
          </w:p>
        </w:tc>
        <w:tc>
          <w:tcPr>
            <w:tcW w:w="1574" w:type="dxa"/>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r>
    </w:tbl>
    <w:p>
      <w:pPr>
        <w:pStyle w:val="7"/>
        <w:widowControl/>
        <w:spacing w:before="76" w:beforeAutospacing="0" w:after="76" w:afterAutospacing="0" w:line="450" w:lineRule="atLeast"/>
        <w:ind w:firstLine="420"/>
        <w:jc w:val="center"/>
      </w:pPr>
    </w:p>
    <w:tbl>
      <w:tblPr>
        <w:tblStyle w:val="8"/>
        <w:tblW w:w="14567" w:type="dxa"/>
        <w:tblInd w:w="0" w:type="dxa"/>
        <w:tblLayout w:type="fixed"/>
        <w:tblCellMar>
          <w:top w:w="0" w:type="dxa"/>
          <w:left w:w="108" w:type="dxa"/>
          <w:bottom w:w="0" w:type="dxa"/>
          <w:right w:w="108" w:type="dxa"/>
        </w:tblCellMar>
      </w:tblPr>
      <w:tblGrid>
        <w:gridCol w:w="716"/>
        <w:gridCol w:w="413"/>
        <w:gridCol w:w="1004"/>
        <w:gridCol w:w="1004"/>
        <w:gridCol w:w="390"/>
        <w:gridCol w:w="599"/>
        <w:gridCol w:w="838"/>
        <w:gridCol w:w="716"/>
        <w:gridCol w:w="1139"/>
        <w:gridCol w:w="1081"/>
        <w:gridCol w:w="296"/>
        <w:gridCol w:w="891"/>
        <w:gridCol w:w="250"/>
        <w:gridCol w:w="716"/>
        <w:gridCol w:w="73"/>
        <w:gridCol w:w="1088"/>
        <w:gridCol w:w="2219"/>
        <w:gridCol w:w="567"/>
        <w:gridCol w:w="567"/>
      </w:tblGrid>
      <w:tr>
        <w:tblPrEx>
          <w:tblCellMar>
            <w:top w:w="0" w:type="dxa"/>
            <w:left w:w="108" w:type="dxa"/>
            <w:bottom w:w="0" w:type="dxa"/>
            <w:right w:w="108" w:type="dxa"/>
          </w:tblCellMar>
        </w:tblPrEx>
        <w:trPr>
          <w:gridAfter w:val="1"/>
          <w:wAfter w:w="567" w:type="dxa"/>
          <w:trHeight w:val="353" w:hRule="atLeast"/>
        </w:trPr>
        <w:tc>
          <w:tcPr>
            <w:tcW w:w="14000" w:type="dxa"/>
            <w:gridSpan w:val="18"/>
            <w:shd w:val="clear" w:color="000000" w:fill="FFFFFF"/>
            <w:noWrap/>
            <w:vAlign w:val="center"/>
          </w:tcPr>
          <w:p>
            <w:pPr>
              <w:widowControl/>
              <w:jc w:val="center"/>
              <w:rPr>
                <w:rFonts w:ascii="宋体" w:hAnsi="宋体" w:eastAsia="宋体" w:cs="Arial"/>
                <w:kern w:val="0"/>
                <w:sz w:val="18"/>
                <w:szCs w:val="18"/>
              </w:rPr>
            </w:pPr>
            <w:r>
              <w:rPr>
                <w:rFonts w:hint="eastAsia" w:ascii="黑体" w:hAnsi="黑体" w:eastAsia="黑体" w:cs="Arial"/>
                <w:color w:val="000000"/>
                <w:kern w:val="0"/>
                <w:sz w:val="30"/>
                <w:szCs w:val="30"/>
              </w:rPr>
              <w:t>一般公共预算财政拨款支出决算表</w:t>
            </w:r>
          </w:p>
        </w:tc>
      </w:tr>
      <w:tr>
        <w:tblPrEx>
          <w:tblCellMar>
            <w:top w:w="0" w:type="dxa"/>
            <w:left w:w="108" w:type="dxa"/>
            <w:bottom w:w="0" w:type="dxa"/>
            <w:right w:w="108" w:type="dxa"/>
          </w:tblCellMar>
        </w:tblPrEx>
        <w:trPr>
          <w:gridAfter w:val="1"/>
          <w:wAfter w:w="567" w:type="dxa"/>
          <w:trHeight w:val="282" w:hRule="atLeast"/>
        </w:trPr>
        <w:tc>
          <w:tcPr>
            <w:tcW w:w="1129" w:type="dxa"/>
            <w:gridSpan w:val="2"/>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004" w:type="dxa"/>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004" w:type="dxa"/>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3682" w:type="dxa"/>
            <w:gridSpan w:val="5"/>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377" w:type="dxa"/>
            <w:gridSpan w:val="2"/>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930" w:type="dxa"/>
            <w:gridSpan w:val="4"/>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3874" w:type="dxa"/>
            <w:gridSpan w:val="3"/>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公开05表</w:t>
            </w:r>
          </w:p>
        </w:tc>
      </w:tr>
      <w:tr>
        <w:tblPrEx>
          <w:tblCellMar>
            <w:top w:w="0" w:type="dxa"/>
            <w:left w:w="108" w:type="dxa"/>
            <w:bottom w:w="0" w:type="dxa"/>
            <w:right w:w="108" w:type="dxa"/>
          </w:tblCellMar>
        </w:tblPrEx>
        <w:trPr>
          <w:gridAfter w:val="1"/>
          <w:wAfter w:w="567" w:type="dxa"/>
          <w:trHeight w:val="282" w:hRule="atLeast"/>
        </w:trPr>
        <w:tc>
          <w:tcPr>
            <w:tcW w:w="4126" w:type="dxa"/>
            <w:gridSpan w:val="6"/>
            <w:tcBorders>
              <w:bottom w:val="single" w:color="auto" w:sz="4" w:space="0"/>
            </w:tcBorders>
            <w:shd w:val="clear" w:color="000000" w:fill="FFFFFF"/>
            <w:noWrap/>
            <w:vAlign w:val="center"/>
          </w:tcPr>
          <w:p>
            <w:pPr>
              <w:widowControl/>
              <w:jc w:val="left"/>
              <w:rPr>
                <w:rFonts w:ascii="宋体" w:hAnsi="宋体" w:eastAsia="宋体" w:cs="Arial"/>
                <w:color w:val="000000"/>
                <w:kern w:val="0"/>
                <w:sz w:val="22"/>
                <w:szCs w:val="22"/>
              </w:rPr>
            </w:pPr>
            <w:r>
              <w:rPr>
                <w:rFonts w:hint="eastAsia" w:ascii="宋体" w:hAnsi="宋体" w:eastAsia="宋体" w:cs="Arial"/>
                <w:color w:val="000000"/>
                <w:kern w:val="0"/>
                <w:sz w:val="22"/>
                <w:szCs w:val="22"/>
              </w:rPr>
              <w:t>部门：黄石市黄石港区市场监督管理局</w:t>
            </w:r>
          </w:p>
        </w:tc>
        <w:tc>
          <w:tcPr>
            <w:tcW w:w="2693" w:type="dxa"/>
            <w:gridSpan w:val="3"/>
            <w:tcBorders>
              <w:bottom w:val="single" w:color="auto" w:sz="4" w:space="0"/>
            </w:tcBorders>
            <w:shd w:val="clear" w:color="000000" w:fill="FFFFFF"/>
            <w:noWrap/>
            <w:vAlign w:val="center"/>
          </w:tcPr>
          <w:p>
            <w:pPr>
              <w:widowControl/>
              <w:jc w:val="center"/>
              <w:rPr>
                <w:rFonts w:ascii="宋体" w:hAnsi="宋体" w:eastAsia="宋体" w:cs="Arial"/>
                <w:color w:val="000000"/>
                <w:kern w:val="0"/>
                <w:sz w:val="22"/>
                <w:szCs w:val="22"/>
              </w:rPr>
            </w:pPr>
            <w:r>
              <w:rPr>
                <w:rFonts w:hint="eastAsia" w:ascii="宋体" w:hAnsi="宋体" w:eastAsia="宋体" w:cs="Arial"/>
                <w:color w:val="000000"/>
                <w:kern w:val="0"/>
                <w:sz w:val="22"/>
                <w:szCs w:val="22"/>
              </w:rPr>
              <w:t>2020年度</w:t>
            </w:r>
          </w:p>
        </w:tc>
        <w:tc>
          <w:tcPr>
            <w:tcW w:w="1377" w:type="dxa"/>
            <w:gridSpan w:val="2"/>
            <w:tcBorders>
              <w:bottom w:val="single" w:color="auto" w:sz="4" w:space="0"/>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930" w:type="dxa"/>
            <w:gridSpan w:val="4"/>
            <w:tcBorders>
              <w:bottom w:val="single" w:color="auto" w:sz="4" w:space="0"/>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3874" w:type="dxa"/>
            <w:gridSpan w:val="3"/>
            <w:tcBorders>
              <w:bottom w:val="single" w:color="auto" w:sz="4" w:space="0"/>
            </w:tcBorders>
            <w:shd w:val="clear" w:color="000000" w:fill="FFFFFF"/>
            <w:noWrap/>
            <w:vAlign w:val="center"/>
          </w:tcPr>
          <w:p>
            <w:pPr>
              <w:widowControl/>
              <w:jc w:val="right"/>
              <w:rPr>
                <w:rFonts w:ascii="宋体" w:hAnsi="宋体" w:eastAsia="宋体" w:cs="Arial"/>
                <w:color w:val="000000"/>
                <w:kern w:val="0"/>
                <w:sz w:val="22"/>
                <w:szCs w:val="22"/>
              </w:rPr>
            </w:pPr>
            <w:r>
              <w:rPr>
                <w:rFonts w:hint="eastAsia" w:ascii="宋体" w:hAnsi="宋体" w:eastAsia="宋体" w:cs="Arial"/>
                <w:color w:val="000000"/>
                <w:kern w:val="0"/>
                <w:sz w:val="22"/>
                <w:szCs w:val="22"/>
              </w:rPr>
              <w:t>金额单位：万元</w:t>
            </w:r>
          </w:p>
        </w:tc>
      </w:tr>
      <w:tr>
        <w:tblPrEx>
          <w:tblCellMar>
            <w:top w:w="0" w:type="dxa"/>
            <w:left w:w="108" w:type="dxa"/>
            <w:bottom w:w="0" w:type="dxa"/>
            <w:right w:w="108" w:type="dxa"/>
          </w:tblCellMar>
        </w:tblPrEx>
        <w:trPr>
          <w:gridAfter w:val="1"/>
          <w:wAfter w:w="567" w:type="dxa"/>
          <w:trHeight w:val="282" w:hRule="atLeast"/>
        </w:trPr>
        <w:tc>
          <w:tcPr>
            <w:tcW w:w="6819" w:type="dxa"/>
            <w:gridSpan w:val="9"/>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项目</w:t>
            </w:r>
          </w:p>
        </w:tc>
        <w:tc>
          <w:tcPr>
            <w:tcW w:w="7181" w:type="dxa"/>
            <w:gridSpan w:val="9"/>
            <w:tcBorders>
              <w:top w:val="single" w:color="auto" w:sz="4" w:space="0"/>
              <w:left w:val="single" w:color="auto" w:sz="4" w:space="0"/>
              <w:bottom w:val="single" w:color="auto" w:sz="4" w:space="0"/>
              <w:right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本年支出</w:t>
            </w:r>
          </w:p>
        </w:tc>
      </w:tr>
      <w:tr>
        <w:tblPrEx>
          <w:tblCellMar>
            <w:top w:w="0" w:type="dxa"/>
            <w:left w:w="108" w:type="dxa"/>
            <w:bottom w:w="0" w:type="dxa"/>
            <w:right w:w="108" w:type="dxa"/>
          </w:tblCellMar>
        </w:tblPrEx>
        <w:trPr>
          <w:gridAfter w:val="1"/>
          <w:wAfter w:w="567" w:type="dxa"/>
          <w:trHeight w:val="312" w:hRule="atLeast"/>
        </w:trPr>
        <w:tc>
          <w:tcPr>
            <w:tcW w:w="3137" w:type="dxa"/>
            <w:gridSpan w:val="4"/>
            <w:vMerge w:val="restart"/>
            <w:tcBorders>
              <w:top w:val="single" w:color="auto" w:sz="4" w:space="0"/>
              <w:left w:val="single" w:color="auto" w:sz="4" w:space="0"/>
              <w:bottom w:val="single" w:color="auto" w:sz="4" w:space="0"/>
              <w:right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功能分类科目编码</w:t>
            </w:r>
          </w:p>
        </w:tc>
        <w:tc>
          <w:tcPr>
            <w:tcW w:w="3682" w:type="dxa"/>
            <w:gridSpan w:val="5"/>
            <w:vMerge w:val="restart"/>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科目名称</w:t>
            </w:r>
          </w:p>
        </w:tc>
        <w:tc>
          <w:tcPr>
            <w:tcW w:w="2268" w:type="dxa"/>
            <w:gridSpan w:val="3"/>
            <w:vMerge w:val="restart"/>
            <w:tcBorders>
              <w:top w:val="single" w:color="auto" w:sz="4" w:space="0"/>
              <w:left w:val="single" w:color="auto" w:sz="4" w:space="0"/>
              <w:bottom w:val="single" w:color="auto" w:sz="4" w:space="0"/>
              <w:right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小计</w:t>
            </w:r>
          </w:p>
        </w:tc>
        <w:tc>
          <w:tcPr>
            <w:tcW w:w="2127" w:type="dxa"/>
            <w:gridSpan w:val="4"/>
            <w:vMerge w:val="restart"/>
            <w:tcBorders>
              <w:top w:val="single" w:color="auto" w:sz="4" w:space="0"/>
              <w:left w:val="single" w:color="auto" w:sz="4" w:space="0"/>
              <w:bottom w:val="single" w:color="auto" w:sz="4" w:space="0"/>
              <w:right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基本支出</w:t>
            </w:r>
          </w:p>
        </w:tc>
        <w:tc>
          <w:tcPr>
            <w:tcW w:w="2786" w:type="dxa"/>
            <w:gridSpan w:val="2"/>
            <w:vMerge w:val="restart"/>
            <w:tcBorders>
              <w:top w:val="single" w:color="auto" w:sz="4" w:space="0"/>
              <w:left w:val="single" w:color="auto" w:sz="4" w:space="0"/>
              <w:bottom w:val="single" w:color="auto" w:sz="4" w:space="0"/>
              <w:right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项目支出</w:t>
            </w:r>
          </w:p>
        </w:tc>
      </w:tr>
      <w:tr>
        <w:tblPrEx>
          <w:tblCellMar>
            <w:top w:w="0" w:type="dxa"/>
            <w:left w:w="108" w:type="dxa"/>
            <w:bottom w:w="0" w:type="dxa"/>
            <w:right w:w="108" w:type="dxa"/>
          </w:tblCellMar>
        </w:tblPrEx>
        <w:trPr>
          <w:gridAfter w:val="1"/>
          <w:wAfter w:w="567" w:type="dxa"/>
          <w:trHeight w:val="312" w:hRule="atLeast"/>
        </w:trPr>
        <w:tc>
          <w:tcPr>
            <w:tcW w:w="3137" w:type="dxa"/>
            <w:gridSpan w:val="4"/>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kern w:val="0"/>
                <w:sz w:val="20"/>
                <w:szCs w:val="20"/>
              </w:rPr>
            </w:pPr>
          </w:p>
        </w:tc>
        <w:tc>
          <w:tcPr>
            <w:tcW w:w="3682" w:type="dxa"/>
            <w:gridSpan w:val="5"/>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kern w:val="0"/>
                <w:sz w:val="20"/>
                <w:szCs w:val="20"/>
              </w:rPr>
            </w:pPr>
          </w:p>
        </w:tc>
        <w:tc>
          <w:tcPr>
            <w:tcW w:w="2268"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kern w:val="0"/>
                <w:sz w:val="20"/>
                <w:szCs w:val="20"/>
              </w:rPr>
            </w:pPr>
          </w:p>
        </w:tc>
        <w:tc>
          <w:tcPr>
            <w:tcW w:w="2127" w:type="dxa"/>
            <w:gridSpan w:val="4"/>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kern w:val="0"/>
                <w:sz w:val="20"/>
                <w:szCs w:val="20"/>
              </w:rPr>
            </w:pPr>
          </w:p>
        </w:tc>
        <w:tc>
          <w:tcPr>
            <w:tcW w:w="2786"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kern w:val="0"/>
                <w:sz w:val="20"/>
                <w:szCs w:val="20"/>
              </w:rPr>
            </w:pPr>
          </w:p>
        </w:tc>
      </w:tr>
      <w:tr>
        <w:tblPrEx>
          <w:tblCellMar>
            <w:top w:w="0" w:type="dxa"/>
            <w:left w:w="108" w:type="dxa"/>
            <w:bottom w:w="0" w:type="dxa"/>
            <w:right w:w="108" w:type="dxa"/>
          </w:tblCellMar>
        </w:tblPrEx>
        <w:trPr>
          <w:gridAfter w:val="1"/>
          <w:wAfter w:w="567" w:type="dxa"/>
          <w:trHeight w:val="312" w:hRule="atLeast"/>
        </w:trPr>
        <w:tc>
          <w:tcPr>
            <w:tcW w:w="3137" w:type="dxa"/>
            <w:gridSpan w:val="4"/>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kern w:val="0"/>
                <w:sz w:val="20"/>
                <w:szCs w:val="20"/>
              </w:rPr>
            </w:pPr>
          </w:p>
        </w:tc>
        <w:tc>
          <w:tcPr>
            <w:tcW w:w="3682" w:type="dxa"/>
            <w:gridSpan w:val="5"/>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kern w:val="0"/>
                <w:sz w:val="20"/>
                <w:szCs w:val="20"/>
              </w:rPr>
            </w:pPr>
          </w:p>
        </w:tc>
        <w:tc>
          <w:tcPr>
            <w:tcW w:w="2268"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kern w:val="0"/>
                <w:sz w:val="20"/>
                <w:szCs w:val="20"/>
              </w:rPr>
            </w:pPr>
          </w:p>
        </w:tc>
        <w:tc>
          <w:tcPr>
            <w:tcW w:w="2127" w:type="dxa"/>
            <w:gridSpan w:val="4"/>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kern w:val="0"/>
                <w:sz w:val="20"/>
                <w:szCs w:val="20"/>
              </w:rPr>
            </w:pPr>
          </w:p>
        </w:tc>
        <w:tc>
          <w:tcPr>
            <w:tcW w:w="2786"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Arial"/>
                <w:kern w:val="0"/>
                <w:sz w:val="20"/>
                <w:szCs w:val="20"/>
              </w:rPr>
            </w:pPr>
          </w:p>
        </w:tc>
      </w:tr>
      <w:tr>
        <w:tblPrEx>
          <w:tblCellMar>
            <w:top w:w="0" w:type="dxa"/>
            <w:left w:w="108" w:type="dxa"/>
            <w:bottom w:w="0" w:type="dxa"/>
            <w:right w:w="108" w:type="dxa"/>
          </w:tblCellMar>
        </w:tblPrEx>
        <w:trPr>
          <w:gridAfter w:val="1"/>
          <w:wAfter w:w="567" w:type="dxa"/>
          <w:trHeight w:val="282" w:hRule="atLeast"/>
        </w:trPr>
        <w:tc>
          <w:tcPr>
            <w:tcW w:w="6819" w:type="dxa"/>
            <w:gridSpan w:val="9"/>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栏次</w:t>
            </w:r>
          </w:p>
        </w:tc>
        <w:tc>
          <w:tcPr>
            <w:tcW w:w="2268" w:type="dxa"/>
            <w:gridSpan w:val="3"/>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2127" w:type="dxa"/>
            <w:gridSpan w:val="4"/>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c>
          <w:tcPr>
            <w:tcW w:w="2786" w:type="dxa"/>
            <w:gridSpan w:val="2"/>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w:t>
            </w:r>
          </w:p>
        </w:tc>
      </w:tr>
      <w:tr>
        <w:tblPrEx>
          <w:tblCellMar>
            <w:top w:w="0" w:type="dxa"/>
            <w:left w:w="108" w:type="dxa"/>
            <w:bottom w:w="0" w:type="dxa"/>
            <w:right w:w="108" w:type="dxa"/>
          </w:tblCellMar>
        </w:tblPrEx>
        <w:trPr>
          <w:gridAfter w:val="1"/>
          <w:wAfter w:w="567" w:type="dxa"/>
          <w:trHeight w:val="282" w:hRule="atLeast"/>
        </w:trPr>
        <w:tc>
          <w:tcPr>
            <w:tcW w:w="6819" w:type="dxa"/>
            <w:gridSpan w:val="9"/>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合计</w:t>
            </w:r>
          </w:p>
        </w:tc>
        <w:tc>
          <w:tcPr>
            <w:tcW w:w="2268"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1,080.54</w:t>
            </w:r>
          </w:p>
        </w:tc>
        <w:tc>
          <w:tcPr>
            <w:tcW w:w="2127" w:type="dxa"/>
            <w:gridSpan w:val="4"/>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1,080.54</w:t>
            </w:r>
          </w:p>
        </w:tc>
        <w:tc>
          <w:tcPr>
            <w:tcW w:w="2786" w:type="dxa"/>
            <w:gridSpan w:val="2"/>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CellMar>
            <w:top w:w="0" w:type="dxa"/>
            <w:left w:w="108" w:type="dxa"/>
            <w:bottom w:w="0" w:type="dxa"/>
            <w:right w:w="108" w:type="dxa"/>
          </w:tblCellMar>
        </w:tblPrEx>
        <w:trPr>
          <w:gridAfter w:val="1"/>
          <w:wAfter w:w="567" w:type="dxa"/>
          <w:trHeight w:val="282" w:hRule="atLeast"/>
        </w:trPr>
        <w:tc>
          <w:tcPr>
            <w:tcW w:w="3137" w:type="dxa"/>
            <w:gridSpan w:val="4"/>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201</w:t>
            </w:r>
          </w:p>
        </w:tc>
        <w:tc>
          <w:tcPr>
            <w:tcW w:w="3682" w:type="dxa"/>
            <w:gridSpan w:val="5"/>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一般公共服务支出</w:t>
            </w:r>
          </w:p>
        </w:tc>
        <w:tc>
          <w:tcPr>
            <w:tcW w:w="2268" w:type="dxa"/>
            <w:gridSpan w:val="3"/>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1,080.54</w:t>
            </w:r>
          </w:p>
        </w:tc>
        <w:tc>
          <w:tcPr>
            <w:tcW w:w="2127" w:type="dxa"/>
            <w:gridSpan w:val="4"/>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1,080.54</w:t>
            </w:r>
          </w:p>
        </w:tc>
        <w:tc>
          <w:tcPr>
            <w:tcW w:w="2786" w:type="dxa"/>
            <w:gridSpan w:val="2"/>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CellMar>
            <w:top w:w="0" w:type="dxa"/>
            <w:left w:w="108" w:type="dxa"/>
            <w:bottom w:w="0" w:type="dxa"/>
            <w:right w:w="108" w:type="dxa"/>
          </w:tblCellMar>
        </w:tblPrEx>
        <w:trPr>
          <w:gridAfter w:val="1"/>
          <w:wAfter w:w="567" w:type="dxa"/>
          <w:trHeight w:val="282" w:hRule="atLeast"/>
        </w:trPr>
        <w:tc>
          <w:tcPr>
            <w:tcW w:w="3137" w:type="dxa"/>
            <w:gridSpan w:val="4"/>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20138</w:t>
            </w:r>
          </w:p>
        </w:tc>
        <w:tc>
          <w:tcPr>
            <w:tcW w:w="3682" w:type="dxa"/>
            <w:gridSpan w:val="5"/>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left"/>
              <w:rPr>
                <w:rFonts w:ascii="宋体" w:hAnsi="宋体" w:eastAsia="宋体" w:cs="Arial"/>
                <w:b/>
                <w:bCs/>
                <w:kern w:val="0"/>
                <w:sz w:val="20"/>
                <w:szCs w:val="20"/>
              </w:rPr>
            </w:pPr>
            <w:r>
              <w:rPr>
                <w:rFonts w:hint="eastAsia" w:ascii="宋体" w:hAnsi="宋体" w:eastAsia="宋体" w:cs="Arial"/>
                <w:b/>
                <w:bCs/>
                <w:kern w:val="0"/>
                <w:sz w:val="20"/>
                <w:szCs w:val="20"/>
              </w:rPr>
              <w:t>市场监督管理事务</w:t>
            </w:r>
          </w:p>
        </w:tc>
        <w:tc>
          <w:tcPr>
            <w:tcW w:w="2268" w:type="dxa"/>
            <w:gridSpan w:val="3"/>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1,080.54</w:t>
            </w:r>
          </w:p>
        </w:tc>
        <w:tc>
          <w:tcPr>
            <w:tcW w:w="2127" w:type="dxa"/>
            <w:gridSpan w:val="4"/>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1,080.54</w:t>
            </w:r>
          </w:p>
        </w:tc>
        <w:tc>
          <w:tcPr>
            <w:tcW w:w="2786" w:type="dxa"/>
            <w:gridSpan w:val="2"/>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right"/>
              <w:rPr>
                <w:rFonts w:ascii="宋体" w:hAnsi="宋体" w:eastAsia="宋体" w:cs="Arial"/>
                <w:b/>
                <w:bCs/>
                <w:kern w:val="0"/>
                <w:sz w:val="20"/>
                <w:szCs w:val="20"/>
              </w:rPr>
            </w:pPr>
            <w:r>
              <w:rPr>
                <w:rFonts w:hint="eastAsia" w:ascii="宋体" w:hAnsi="宋体" w:eastAsia="宋体" w:cs="Arial"/>
                <w:b/>
                <w:bCs/>
                <w:kern w:val="0"/>
                <w:sz w:val="20"/>
                <w:szCs w:val="20"/>
              </w:rPr>
              <w:t>0.00</w:t>
            </w:r>
          </w:p>
        </w:tc>
      </w:tr>
      <w:tr>
        <w:tblPrEx>
          <w:tblCellMar>
            <w:top w:w="0" w:type="dxa"/>
            <w:left w:w="108" w:type="dxa"/>
            <w:bottom w:w="0" w:type="dxa"/>
            <w:right w:w="108" w:type="dxa"/>
          </w:tblCellMar>
        </w:tblPrEx>
        <w:trPr>
          <w:gridAfter w:val="1"/>
          <w:wAfter w:w="567" w:type="dxa"/>
          <w:trHeight w:val="282" w:hRule="atLeast"/>
        </w:trPr>
        <w:tc>
          <w:tcPr>
            <w:tcW w:w="3137" w:type="dxa"/>
            <w:gridSpan w:val="4"/>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2013801</w:t>
            </w:r>
          </w:p>
        </w:tc>
        <w:tc>
          <w:tcPr>
            <w:tcW w:w="3682" w:type="dxa"/>
            <w:gridSpan w:val="5"/>
            <w:tcBorders>
              <w:top w:val="single" w:color="auto" w:sz="4" w:space="0"/>
              <w:left w:val="single" w:color="auto" w:sz="4" w:space="0"/>
              <w:bottom w:val="single" w:color="auto" w:sz="4" w:space="0"/>
              <w:right w:val="single" w:color="auto" w:sz="4" w:space="0"/>
            </w:tcBorders>
            <w:shd w:val="clear" w:color="000000" w:fill="CC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行政运行</w:t>
            </w:r>
          </w:p>
        </w:tc>
        <w:tc>
          <w:tcPr>
            <w:tcW w:w="2268"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1,056.38</w:t>
            </w:r>
          </w:p>
        </w:tc>
        <w:tc>
          <w:tcPr>
            <w:tcW w:w="2127" w:type="dxa"/>
            <w:gridSpan w:val="4"/>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1,056.38</w:t>
            </w:r>
          </w:p>
        </w:tc>
        <w:tc>
          <w:tcPr>
            <w:tcW w:w="2786" w:type="dxa"/>
            <w:gridSpan w:val="2"/>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After w:val="1"/>
          <w:wAfter w:w="567" w:type="dxa"/>
          <w:trHeight w:val="282" w:hRule="atLeast"/>
        </w:trPr>
        <w:tc>
          <w:tcPr>
            <w:tcW w:w="3137" w:type="dxa"/>
            <w:gridSpan w:val="4"/>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2013899</w:t>
            </w:r>
          </w:p>
        </w:tc>
        <w:tc>
          <w:tcPr>
            <w:tcW w:w="3682" w:type="dxa"/>
            <w:gridSpan w:val="5"/>
            <w:tcBorders>
              <w:top w:val="single" w:color="auto" w:sz="4" w:space="0"/>
              <w:left w:val="single" w:color="auto" w:sz="4" w:space="0"/>
              <w:bottom w:val="single" w:color="auto" w:sz="4" w:space="0"/>
              <w:right w:val="single" w:color="auto" w:sz="4" w:space="0"/>
            </w:tcBorders>
            <w:shd w:val="clear" w:color="000000" w:fill="CC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其他市场监督管理事务</w:t>
            </w:r>
          </w:p>
        </w:tc>
        <w:tc>
          <w:tcPr>
            <w:tcW w:w="2268"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24.15</w:t>
            </w:r>
          </w:p>
        </w:tc>
        <w:tc>
          <w:tcPr>
            <w:tcW w:w="2127" w:type="dxa"/>
            <w:gridSpan w:val="4"/>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24.15</w:t>
            </w:r>
          </w:p>
        </w:tc>
        <w:tc>
          <w:tcPr>
            <w:tcW w:w="2786" w:type="dxa"/>
            <w:gridSpan w:val="2"/>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gridAfter w:val="1"/>
          <w:wAfter w:w="567" w:type="dxa"/>
          <w:trHeight w:val="282" w:hRule="atLeast"/>
        </w:trPr>
        <w:tc>
          <w:tcPr>
            <w:tcW w:w="14000" w:type="dxa"/>
            <w:gridSpan w:val="18"/>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注：本表反映部门本年度一般公共预算财政拨款支出情况。</w:t>
            </w:r>
          </w:p>
        </w:tc>
      </w:tr>
      <w:tr>
        <w:tblPrEx>
          <w:tblCellMar>
            <w:top w:w="0" w:type="dxa"/>
            <w:left w:w="108" w:type="dxa"/>
            <w:bottom w:w="0" w:type="dxa"/>
            <w:right w:w="108" w:type="dxa"/>
          </w:tblCellMar>
        </w:tblPrEx>
        <w:trPr>
          <w:trHeight w:val="2516" w:hRule="atLeast"/>
        </w:trPr>
        <w:tc>
          <w:tcPr>
            <w:tcW w:w="14567" w:type="dxa"/>
            <w:gridSpan w:val="19"/>
            <w:shd w:val="clear" w:color="000000" w:fill="FFFFFF"/>
            <w:noWrap/>
            <w:vAlign w:val="center"/>
          </w:tcPr>
          <w:p>
            <w:pPr>
              <w:widowControl/>
              <w:jc w:val="center"/>
              <w:rPr>
                <w:rFonts w:ascii="宋体" w:hAnsi="宋体" w:eastAsia="宋体" w:cs="Arial"/>
                <w:kern w:val="0"/>
                <w:sz w:val="22"/>
                <w:szCs w:val="22"/>
              </w:rPr>
            </w:pPr>
            <w:r>
              <w:rPr>
                <w:rFonts w:hint="eastAsia" w:ascii="黑体" w:hAnsi="黑体" w:eastAsia="黑体" w:cs="Arial"/>
                <w:color w:val="000000"/>
                <w:kern w:val="0"/>
                <w:sz w:val="30"/>
                <w:szCs w:val="30"/>
              </w:rPr>
              <w:t>一般公共预算财政拨款基本支出决算表</w:t>
            </w:r>
          </w:p>
        </w:tc>
      </w:tr>
      <w:tr>
        <w:tblPrEx>
          <w:tblCellMar>
            <w:top w:w="0" w:type="dxa"/>
            <w:left w:w="108" w:type="dxa"/>
            <w:bottom w:w="0" w:type="dxa"/>
            <w:right w:w="108" w:type="dxa"/>
          </w:tblCellMar>
        </w:tblPrEx>
        <w:trPr>
          <w:trHeight w:val="282" w:hRule="atLeast"/>
        </w:trPr>
        <w:tc>
          <w:tcPr>
            <w:tcW w:w="716" w:type="dxa"/>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2811" w:type="dxa"/>
            <w:gridSpan w:val="4"/>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37" w:type="dxa"/>
            <w:gridSpan w:val="2"/>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716" w:type="dxa"/>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2220" w:type="dxa"/>
            <w:gridSpan w:val="2"/>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437" w:type="dxa"/>
            <w:gridSpan w:val="3"/>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716" w:type="dxa"/>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4514" w:type="dxa"/>
            <w:gridSpan w:val="5"/>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p>
            <w:pPr>
              <w:widowControl/>
              <w:jc w:val="right"/>
              <w:rPr>
                <w:rFonts w:ascii="宋体" w:hAnsi="宋体" w:eastAsia="宋体" w:cs="Arial"/>
                <w:color w:val="000000"/>
                <w:kern w:val="0"/>
                <w:sz w:val="18"/>
                <w:szCs w:val="18"/>
              </w:rPr>
            </w:pPr>
            <w:r>
              <w:rPr>
                <w:rFonts w:hint="eastAsia" w:ascii="宋体" w:hAnsi="宋体" w:eastAsia="宋体" w:cs="Arial"/>
                <w:color w:val="000000"/>
                <w:kern w:val="0"/>
                <w:sz w:val="18"/>
                <w:szCs w:val="18"/>
              </w:rPr>
              <w:t>公开06表</w:t>
            </w:r>
          </w:p>
        </w:tc>
      </w:tr>
      <w:tr>
        <w:tblPrEx>
          <w:tblCellMar>
            <w:top w:w="0" w:type="dxa"/>
            <w:left w:w="108" w:type="dxa"/>
            <w:bottom w:w="0" w:type="dxa"/>
            <w:right w:w="108" w:type="dxa"/>
          </w:tblCellMar>
        </w:tblPrEx>
        <w:trPr>
          <w:trHeight w:val="282" w:hRule="atLeast"/>
        </w:trPr>
        <w:tc>
          <w:tcPr>
            <w:tcW w:w="3527" w:type="dxa"/>
            <w:gridSpan w:val="5"/>
            <w:tcBorders>
              <w:bottom w:val="single" w:color="auto" w:sz="4" w:space="0"/>
            </w:tcBorders>
            <w:shd w:val="clear" w:color="000000" w:fill="FFFFFF"/>
            <w:noWrap/>
            <w:vAlign w:val="center"/>
          </w:tcPr>
          <w:p>
            <w:pPr>
              <w:widowControl/>
              <w:jc w:val="left"/>
              <w:rPr>
                <w:rFonts w:ascii="宋体" w:hAnsi="宋体" w:eastAsia="宋体" w:cs="Arial"/>
                <w:color w:val="000000"/>
                <w:kern w:val="0"/>
                <w:sz w:val="20"/>
                <w:szCs w:val="20"/>
              </w:rPr>
            </w:pPr>
            <w:r>
              <w:rPr>
                <w:rFonts w:hint="eastAsia" w:ascii="宋体" w:hAnsi="宋体" w:eastAsia="宋体" w:cs="Arial"/>
                <w:color w:val="000000"/>
                <w:kern w:val="0"/>
                <w:sz w:val="20"/>
                <w:szCs w:val="20"/>
              </w:rPr>
              <w:t>部门：黄石市黄石港区市场监督管理局</w:t>
            </w:r>
          </w:p>
        </w:tc>
        <w:tc>
          <w:tcPr>
            <w:tcW w:w="1437" w:type="dxa"/>
            <w:gridSpan w:val="2"/>
            <w:tcBorders>
              <w:bottom w:val="single" w:color="auto" w:sz="4" w:space="0"/>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716" w:type="dxa"/>
            <w:tcBorders>
              <w:bottom w:val="single" w:color="auto" w:sz="4" w:space="0"/>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2220" w:type="dxa"/>
            <w:gridSpan w:val="2"/>
            <w:tcBorders>
              <w:bottom w:val="single" w:color="auto" w:sz="4" w:space="0"/>
            </w:tcBorders>
            <w:shd w:val="clear" w:color="000000" w:fill="FFFFFF"/>
            <w:noWrap/>
            <w:vAlign w:val="center"/>
          </w:tcPr>
          <w:p>
            <w:pPr>
              <w:widowControl/>
              <w:jc w:val="center"/>
              <w:rPr>
                <w:rFonts w:ascii="宋体" w:hAnsi="宋体" w:eastAsia="宋体" w:cs="Arial"/>
                <w:color w:val="000000"/>
                <w:kern w:val="0"/>
                <w:sz w:val="22"/>
                <w:szCs w:val="22"/>
              </w:rPr>
            </w:pPr>
            <w:r>
              <w:rPr>
                <w:rFonts w:hint="eastAsia" w:ascii="宋体" w:hAnsi="宋体" w:eastAsia="宋体" w:cs="Arial"/>
                <w:color w:val="000000"/>
                <w:kern w:val="0"/>
                <w:sz w:val="22"/>
                <w:szCs w:val="22"/>
              </w:rPr>
              <w:t>2020年度　</w:t>
            </w:r>
          </w:p>
        </w:tc>
        <w:tc>
          <w:tcPr>
            <w:tcW w:w="1437" w:type="dxa"/>
            <w:gridSpan w:val="3"/>
            <w:tcBorders>
              <w:bottom w:val="single" w:color="auto" w:sz="4" w:space="0"/>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716" w:type="dxa"/>
            <w:tcBorders>
              <w:bottom w:val="single" w:color="auto" w:sz="4" w:space="0"/>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4514" w:type="dxa"/>
            <w:gridSpan w:val="5"/>
            <w:tcBorders>
              <w:bottom w:val="single" w:color="auto" w:sz="4" w:space="0"/>
            </w:tcBorders>
            <w:shd w:val="clear" w:color="000000" w:fill="FFFFFF"/>
            <w:noWrap/>
            <w:vAlign w:val="center"/>
          </w:tcPr>
          <w:p>
            <w:pPr>
              <w:widowControl/>
              <w:jc w:val="right"/>
              <w:rPr>
                <w:rFonts w:ascii="宋体" w:hAnsi="宋体" w:eastAsia="宋体" w:cs="Arial"/>
                <w:kern w:val="0"/>
                <w:sz w:val="18"/>
                <w:szCs w:val="18"/>
              </w:rPr>
            </w:pPr>
            <w:r>
              <w:rPr>
                <w:rFonts w:hint="eastAsia" w:ascii="宋体" w:hAnsi="宋体" w:eastAsia="宋体" w:cs="Arial"/>
                <w:kern w:val="0"/>
                <w:sz w:val="18"/>
                <w:szCs w:val="18"/>
              </w:rPr>
              <w:t>　</w:t>
            </w:r>
            <w:r>
              <w:rPr>
                <w:rFonts w:hint="eastAsia" w:ascii="宋体" w:hAnsi="宋体" w:eastAsia="宋体" w:cs="Arial"/>
                <w:color w:val="000000"/>
                <w:kern w:val="0"/>
                <w:sz w:val="18"/>
                <w:szCs w:val="18"/>
              </w:rPr>
              <w:t>金额单位：万元</w:t>
            </w:r>
          </w:p>
        </w:tc>
      </w:tr>
      <w:tr>
        <w:tblPrEx>
          <w:tblCellMar>
            <w:top w:w="0" w:type="dxa"/>
            <w:left w:w="108" w:type="dxa"/>
            <w:bottom w:w="0" w:type="dxa"/>
            <w:right w:w="108" w:type="dxa"/>
          </w:tblCellMar>
        </w:tblPrEx>
        <w:trPr>
          <w:trHeight w:val="282" w:hRule="atLeast"/>
        </w:trPr>
        <w:tc>
          <w:tcPr>
            <w:tcW w:w="4964" w:type="dxa"/>
            <w:gridSpan w:val="7"/>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人员经费</w:t>
            </w:r>
          </w:p>
        </w:tc>
        <w:tc>
          <w:tcPr>
            <w:tcW w:w="9603" w:type="dxa"/>
            <w:gridSpan w:val="12"/>
            <w:tcBorders>
              <w:top w:val="single" w:color="auto" w:sz="4" w:space="0"/>
              <w:left w:val="single" w:color="auto" w:sz="4" w:space="0"/>
              <w:bottom w:val="single" w:color="auto" w:sz="4" w:space="0"/>
              <w:right w:val="single" w:color="auto"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公用经费</w:t>
            </w:r>
          </w:p>
        </w:tc>
      </w:tr>
      <w:tr>
        <w:tblPrEx>
          <w:tblCellMar>
            <w:top w:w="0" w:type="dxa"/>
            <w:left w:w="108" w:type="dxa"/>
            <w:bottom w:w="0" w:type="dxa"/>
            <w:right w:w="108" w:type="dxa"/>
          </w:tblCellMar>
        </w:tblPrEx>
        <w:trPr>
          <w:trHeight w:val="312" w:hRule="atLeast"/>
        </w:trPr>
        <w:tc>
          <w:tcPr>
            <w:tcW w:w="716" w:type="dxa"/>
            <w:vMerge w:val="restart"/>
            <w:tcBorders>
              <w:top w:val="single" w:color="auto" w:sz="4" w:space="0"/>
              <w:left w:val="single" w:color="000000" w:sz="4" w:space="0"/>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科目编码</w:t>
            </w:r>
          </w:p>
        </w:tc>
        <w:tc>
          <w:tcPr>
            <w:tcW w:w="2811" w:type="dxa"/>
            <w:gridSpan w:val="4"/>
            <w:vMerge w:val="restart"/>
            <w:tcBorders>
              <w:top w:val="single" w:color="auto" w:sz="4" w:space="0"/>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科目名称</w:t>
            </w:r>
          </w:p>
        </w:tc>
        <w:tc>
          <w:tcPr>
            <w:tcW w:w="1437" w:type="dxa"/>
            <w:gridSpan w:val="2"/>
            <w:vMerge w:val="restart"/>
            <w:tcBorders>
              <w:top w:val="single" w:color="auto" w:sz="4" w:space="0"/>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决算数</w:t>
            </w:r>
          </w:p>
        </w:tc>
        <w:tc>
          <w:tcPr>
            <w:tcW w:w="716" w:type="dxa"/>
            <w:vMerge w:val="restart"/>
            <w:tcBorders>
              <w:top w:val="single" w:color="auto" w:sz="4" w:space="0"/>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科目编码</w:t>
            </w:r>
          </w:p>
        </w:tc>
        <w:tc>
          <w:tcPr>
            <w:tcW w:w="2220" w:type="dxa"/>
            <w:gridSpan w:val="2"/>
            <w:vMerge w:val="restart"/>
            <w:tcBorders>
              <w:top w:val="single" w:color="auto" w:sz="4" w:space="0"/>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科目名称</w:t>
            </w:r>
          </w:p>
        </w:tc>
        <w:tc>
          <w:tcPr>
            <w:tcW w:w="1437" w:type="dxa"/>
            <w:gridSpan w:val="3"/>
            <w:vMerge w:val="restart"/>
            <w:tcBorders>
              <w:top w:val="single" w:color="auto" w:sz="4" w:space="0"/>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决算数</w:t>
            </w:r>
          </w:p>
        </w:tc>
        <w:tc>
          <w:tcPr>
            <w:tcW w:w="716" w:type="dxa"/>
            <w:vMerge w:val="restart"/>
            <w:tcBorders>
              <w:top w:val="single" w:color="auto" w:sz="4" w:space="0"/>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科目编码</w:t>
            </w:r>
          </w:p>
        </w:tc>
        <w:tc>
          <w:tcPr>
            <w:tcW w:w="3380" w:type="dxa"/>
            <w:gridSpan w:val="3"/>
            <w:vMerge w:val="restart"/>
            <w:tcBorders>
              <w:top w:val="single" w:color="auto" w:sz="4" w:space="0"/>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科目名称</w:t>
            </w:r>
          </w:p>
        </w:tc>
        <w:tc>
          <w:tcPr>
            <w:tcW w:w="1134" w:type="dxa"/>
            <w:gridSpan w:val="2"/>
            <w:vMerge w:val="restart"/>
            <w:tcBorders>
              <w:top w:val="single" w:color="auto" w:sz="4" w:space="0"/>
              <w:left w:val="nil"/>
              <w:bottom w:val="single" w:color="000000" w:sz="4" w:space="0"/>
              <w:right w:val="single" w:color="000000"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决算数</w:t>
            </w:r>
          </w:p>
        </w:tc>
      </w:tr>
      <w:tr>
        <w:tblPrEx>
          <w:tblCellMar>
            <w:top w:w="0" w:type="dxa"/>
            <w:left w:w="108" w:type="dxa"/>
            <w:bottom w:w="0" w:type="dxa"/>
            <w:right w:w="108" w:type="dxa"/>
          </w:tblCellMar>
        </w:tblPrEx>
        <w:trPr>
          <w:trHeight w:val="312" w:hRule="atLeast"/>
        </w:trPr>
        <w:tc>
          <w:tcPr>
            <w:tcW w:w="716" w:type="dxa"/>
            <w:vMerge w:val="continue"/>
            <w:tcBorders>
              <w:top w:val="nil"/>
              <w:left w:val="single" w:color="000000" w:sz="4" w:space="0"/>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2811" w:type="dxa"/>
            <w:gridSpan w:val="4"/>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1437" w:type="dxa"/>
            <w:gridSpan w:val="2"/>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716"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2220" w:type="dxa"/>
            <w:gridSpan w:val="2"/>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1437" w:type="dxa"/>
            <w:gridSpan w:val="3"/>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716" w:type="dxa"/>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3380" w:type="dxa"/>
            <w:gridSpan w:val="3"/>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c>
          <w:tcPr>
            <w:tcW w:w="1134" w:type="dxa"/>
            <w:gridSpan w:val="2"/>
            <w:vMerge w:val="continue"/>
            <w:tcBorders>
              <w:top w:val="nil"/>
              <w:left w:val="nil"/>
              <w:bottom w:val="single" w:color="000000" w:sz="4" w:space="0"/>
              <w:right w:val="single" w:color="000000" w:sz="4" w:space="0"/>
            </w:tcBorders>
            <w:vAlign w:val="center"/>
          </w:tcPr>
          <w:p>
            <w:pPr>
              <w:widowControl/>
              <w:jc w:val="left"/>
              <w:rPr>
                <w:rFonts w:ascii="宋体" w:hAnsi="宋体" w:eastAsia="宋体" w:cs="Arial"/>
                <w:kern w:val="0"/>
                <w:sz w:val="20"/>
                <w:szCs w:val="20"/>
              </w:rPr>
            </w:pP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工资福利支出</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861.40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商品和服务支出</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209.71</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307</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债务利息及费用支出</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30101</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基本工资</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187.15</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30201</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办公费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106.05</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30701</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国内债务付息</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30102</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津贴补贴</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47.26</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30202</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印刷费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7.37</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30702</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国外债务付息</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30103</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奖金</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272.74</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30203</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咨询费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资本性支出</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9.42</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30106</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伙食补助费</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30204</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手续费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31001</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房屋建筑物购建</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30107</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绩效工资</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30205</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水费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0.59</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31002</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办公设备购置</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9.42</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30108</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机关事业单位基本养老保险缴费</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87.08</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30206</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电费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5.34</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31003</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专用设备购置</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30109</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职业年金缴费</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21.66</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30207</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邮电费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0.76</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31005</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基础设施建设</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30110</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职工基本医疗保险缴费</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97.52</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30208</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取暖费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31006</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大型修缮</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30111</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公务员医疗补助缴费</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30209</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物业管理费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31007</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信息网络及软件购置更新</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30112</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其他社会保障缴费</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30211</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差旅费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0.36</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31008</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物资储备</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30113</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住房公积金</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137.59</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30212</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因公出国（境）费用</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31009</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土地补偿</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30114</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医疗费</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30213</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维修（护）费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1.57</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31010</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安置补助</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30199</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其他工资福利支出</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10.41</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30214</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租赁费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31011</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地上附着物和青苗补偿</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对个人和家庭的补助</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30215</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会议费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31012</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拆迁补偿</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30301</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离休费</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30216</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培训费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0.10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31013</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公务用车购置</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30302</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退休费</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30217</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公务接待费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0.26</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31019</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其他交通工具购置</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30303</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退职（役）费</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30218</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专用材料费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31021</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文物和陈列品购置</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30304</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抚恤金</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30224</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被装购置费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31022</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无形资产购置</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30305</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生活补助</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30225</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专用燃料费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31099</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其他资本性支出</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30306</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救济费</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30226</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劳务费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29.64</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399</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其他支出</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30307</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医疗费补助</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30227</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委托业务费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9.45</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39906</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赠与</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30308</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助学金</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30228</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工会经费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15.08</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39907</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国家赔偿费用支出</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30309</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奖励金</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30229</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福利费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6.74</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39908</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对民间非营利组织和群众性自治组织补贴</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30310</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个人农业生产补贴</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30231</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公务用车运行维护费</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2.24</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39999</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其他支出</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30311</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代缴社会保险费</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30239</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其他交通费用</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30399</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其他对个人和家庭的补助</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30240</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税金及附加费用</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r>
      <w:tr>
        <w:tblPrEx>
          <w:tblCellMar>
            <w:top w:w="0" w:type="dxa"/>
            <w:left w:w="108" w:type="dxa"/>
            <w:bottom w:w="0" w:type="dxa"/>
            <w:right w:w="108" w:type="dxa"/>
          </w:tblCellMar>
        </w:tblPrEx>
        <w:trPr>
          <w:trHeight w:val="282" w:hRule="atLeast"/>
        </w:trPr>
        <w:tc>
          <w:tcPr>
            <w:tcW w:w="716" w:type="dxa"/>
            <w:tcBorders>
              <w:top w:val="nil"/>
              <w:left w:val="single" w:color="000000" w:sz="4" w:space="0"/>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2811" w:type="dxa"/>
            <w:gridSpan w:val="4"/>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1437"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30299</w:t>
            </w:r>
          </w:p>
        </w:tc>
        <w:tc>
          <w:tcPr>
            <w:tcW w:w="2220" w:type="dxa"/>
            <w:gridSpan w:val="2"/>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xml:space="preserve">  其他商品和服务支出</w:t>
            </w:r>
          </w:p>
        </w:tc>
        <w:tc>
          <w:tcPr>
            <w:tcW w:w="1437" w:type="dxa"/>
            <w:gridSpan w:val="3"/>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24.15</w:t>
            </w:r>
          </w:p>
        </w:tc>
        <w:tc>
          <w:tcPr>
            <w:tcW w:w="716" w:type="dxa"/>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3380" w:type="dxa"/>
            <w:gridSpan w:val="3"/>
            <w:tcBorders>
              <w:top w:val="nil"/>
              <w:left w:val="nil"/>
              <w:bottom w:val="single" w:color="000000" w:sz="4" w:space="0"/>
              <w:right w:val="single" w:color="000000" w:sz="4" w:space="0"/>
            </w:tcBorders>
            <w:shd w:val="clear" w:color="000000" w:fill="C0C0C0"/>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　</w:t>
            </w:r>
          </w:p>
        </w:tc>
        <w:tc>
          <w:tcPr>
            <w:tcW w:w="1134" w:type="dxa"/>
            <w:gridSpan w:val="2"/>
            <w:tcBorders>
              <w:top w:val="nil"/>
              <w:left w:val="nil"/>
              <w:bottom w:val="single" w:color="000000"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r>
      <w:tr>
        <w:tblPrEx>
          <w:tblCellMar>
            <w:top w:w="0" w:type="dxa"/>
            <w:left w:w="108" w:type="dxa"/>
            <w:bottom w:w="0" w:type="dxa"/>
            <w:right w:w="108" w:type="dxa"/>
          </w:tblCellMar>
        </w:tblPrEx>
        <w:trPr>
          <w:trHeight w:val="282" w:hRule="atLeast"/>
        </w:trPr>
        <w:tc>
          <w:tcPr>
            <w:tcW w:w="3527" w:type="dxa"/>
            <w:gridSpan w:val="5"/>
            <w:tcBorders>
              <w:top w:val="nil"/>
              <w:left w:val="single" w:color="000000" w:sz="4" w:space="0"/>
              <w:bottom w:val="single" w:color="auto"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人员经费合计</w:t>
            </w:r>
          </w:p>
        </w:tc>
        <w:tc>
          <w:tcPr>
            <w:tcW w:w="1437" w:type="dxa"/>
            <w:gridSpan w:val="2"/>
            <w:tcBorders>
              <w:top w:val="nil"/>
              <w:left w:val="nil"/>
              <w:bottom w:val="single" w:color="auto"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861.40</w:t>
            </w:r>
          </w:p>
        </w:tc>
        <w:tc>
          <w:tcPr>
            <w:tcW w:w="8469" w:type="dxa"/>
            <w:gridSpan w:val="10"/>
            <w:tcBorders>
              <w:top w:val="nil"/>
              <w:left w:val="nil"/>
              <w:bottom w:val="single" w:color="auto" w:sz="4" w:space="0"/>
              <w:right w:val="single" w:color="000000" w:sz="4" w:space="0"/>
            </w:tcBorders>
            <w:shd w:val="clear" w:color="000000" w:fill="C0C0C0"/>
            <w:noWrap/>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公用经费合计</w:t>
            </w:r>
          </w:p>
        </w:tc>
        <w:tc>
          <w:tcPr>
            <w:tcW w:w="1134" w:type="dxa"/>
            <w:gridSpan w:val="2"/>
            <w:tcBorders>
              <w:top w:val="nil"/>
              <w:left w:val="nil"/>
              <w:bottom w:val="single" w:color="auto" w:sz="4" w:space="0"/>
              <w:right w:val="single" w:color="000000" w:sz="4" w:space="0"/>
            </w:tcBorders>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219.13</w:t>
            </w:r>
          </w:p>
        </w:tc>
      </w:tr>
      <w:tr>
        <w:tblPrEx>
          <w:tblCellMar>
            <w:top w:w="0" w:type="dxa"/>
            <w:left w:w="108" w:type="dxa"/>
            <w:bottom w:w="0" w:type="dxa"/>
            <w:right w:w="108" w:type="dxa"/>
          </w:tblCellMar>
        </w:tblPrEx>
        <w:trPr>
          <w:trHeight w:val="282" w:hRule="atLeast"/>
        </w:trPr>
        <w:tc>
          <w:tcPr>
            <w:tcW w:w="14567" w:type="dxa"/>
            <w:gridSpan w:val="19"/>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注：本表反映部门本年度一般公共预算财政拨款基本支出明细情况。</w:t>
            </w:r>
          </w:p>
        </w:tc>
      </w:tr>
    </w:tbl>
    <w:p>
      <w:pPr>
        <w:pStyle w:val="7"/>
        <w:widowControl/>
        <w:spacing w:before="76" w:beforeAutospacing="0" w:after="76" w:afterAutospacing="0" w:line="450" w:lineRule="atLeast"/>
        <w:jc w:val="both"/>
      </w:pPr>
    </w:p>
    <w:tbl>
      <w:tblPr>
        <w:tblStyle w:val="8"/>
        <w:tblW w:w="15006"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0"/>
        <w:gridCol w:w="1180"/>
        <w:gridCol w:w="916"/>
        <w:gridCol w:w="265"/>
        <w:gridCol w:w="727"/>
        <w:gridCol w:w="453"/>
        <w:gridCol w:w="1180"/>
        <w:gridCol w:w="1899"/>
        <w:gridCol w:w="1180"/>
        <w:gridCol w:w="1180"/>
        <w:gridCol w:w="1180"/>
        <w:gridCol w:w="1180"/>
        <w:gridCol w:w="1181"/>
        <w:gridCol w:w="13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15006" w:type="dxa"/>
            <w:gridSpan w:val="14"/>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p>
            <w:pPr>
              <w:widowControl/>
              <w:jc w:val="center"/>
              <w:rPr>
                <w:rFonts w:ascii="宋体" w:hAnsi="宋体" w:eastAsia="宋体" w:cs="Arial"/>
                <w:kern w:val="0"/>
                <w:sz w:val="18"/>
                <w:szCs w:val="18"/>
              </w:rPr>
            </w:pPr>
            <w:r>
              <w:rPr>
                <w:rFonts w:hint="eastAsia" w:ascii="黑体" w:hAnsi="黑体" w:eastAsia="黑体" w:cs="Arial"/>
                <w:kern w:val="0"/>
                <w:sz w:val="44"/>
                <w:szCs w:val="44"/>
              </w:rPr>
              <w:t>一般公共预算财政拨款“三公”经费支出决算表</w:t>
            </w:r>
          </w:p>
          <w:p>
            <w:pPr>
              <w:widowControl/>
              <w:jc w:val="left"/>
              <w:rPr>
                <w:rFonts w:ascii="宋体" w:hAnsi="宋体" w:eastAsia="宋体" w:cs="Arial"/>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3276" w:type="dxa"/>
            <w:gridSpan w:val="3"/>
            <w:tcBorders>
              <w:top w:val="nil"/>
              <w:left w:val="nil"/>
              <w:bottom w:val="nil"/>
              <w:right w:val="nil"/>
            </w:tcBorders>
            <w:shd w:val="clear" w:color="000000" w:fill="FFFFFF"/>
            <w:noWrap/>
            <w:vAlign w:val="center"/>
          </w:tcPr>
          <w:p>
            <w:pPr>
              <w:widowControl/>
              <w:jc w:val="left"/>
              <w:rPr>
                <w:rFonts w:ascii="宋体" w:hAnsi="宋体" w:eastAsia="宋体" w:cs="Arial"/>
                <w:kern w:val="0"/>
                <w:sz w:val="22"/>
                <w:szCs w:val="22"/>
              </w:rPr>
            </w:pPr>
            <w:r>
              <w:rPr>
                <w:rFonts w:hint="eastAsia" w:ascii="宋体" w:hAnsi="宋体" w:eastAsia="宋体" w:cs="Arial"/>
                <w:kern w:val="0"/>
                <w:sz w:val="22"/>
                <w:szCs w:val="22"/>
              </w:rPr>
              <w:t>预算代码：{FMDM[YSDM]}</w:t>
            </w:r>
          </w:p>
        </w:tc>
        <w:tc>
          <w:tcPr>
            <w:tcW w:w="265"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gridSpan w:val="2"/>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899"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181" w:type="dxa"/>
            <w:tcBorders>
              <w:top w:val="nil"/>
              <w:left w:val="nil"/>
              <w:bottom w:val="nil"/>
              <w:right w:val="nil"/>
            </w:tcBorders>
            <w:shd w:val="clear" w:color="000000" w:fill="FFFFFF"/>
            <w:noWrap/>
            <w:vAlign w:val="center"/>
          </w:tcPr>
          <w:p>
            <w:pPr>
              <w:widowControl/>
              <w:jc w:val="left"/>
              <w:rPr>
                <w:rFonts w:ascii="宋体" w:hAnsi="宋体" w:eastAsia="宋体" w:cs="Arial"/>
                <w:kern w:val="0"/>
                <w:sz w:val="18"/>
                <w:szCs w:val="18"/>
              </w:rPr>
            </w:pPr>
            <w:r>
              <w:rPr>
                <w:rFonts w:hint="eastAsia" w:ascii="宋体" w:hAnsi="宋体" w:eastAsia="宋体" w:cs="Arial"/>
                <w:kern w:val="0"/>
                <w:sz w:val="18"/>
                <w:szCs w:val="18"/>
              </w:rPr>
              <w:t>　</w:t>
            </w:r>
          </w:p>
        </w:tc>
        <w:tc>
          <w:tcPr>
            <w:tcW w:w="1305" w:type="dxa"/>
            <w:tcBorders>
              <w:top w:val="nil"/>
              <w:left w:val="nil"/>
              <w:bottom w:val="nil"/>
              <w:right w:val="nil"/>
            </w:tcBorders>
            <w:shd w:val="clear" w:color="000000" w:fill="FFFFFF"/>
            <w:noWrap/>
            <w:vAlign w:val="center"/>
          </w:tcPr>
          <w:p>
            <w:pPr>
              <w:widowControl/>
              <w:jc w:val="right"/>
              <w:rPr>
                <w:rFonts w:ascii="宋体" w:hAnsi="宋体" w:eastAsia="宋体" w:cs="Arial"/>
                <w:kern w:val="0"/>
                <w:sz w:val="22"/>
                <w:szCs w:val="22"/>
              </w:rPr>
            </w:pPr>
            <w:r>
              <w:rPr>
                <w:rFonts w:hint="eastAsia" w:ascii="宋体" w:hAnsi="宋体" w:eastAsia="宋体" w:cs="Arial"/>
                <w:kern w:val="0"/>
                <w:sz w:val="22"/>
                <w:szCs w:val="22"/>
              </w:rPr>
              <w:t>公开07表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4268" w:type="dxa"/>
            <w:gridSpan w:val="5"/>
            <w:tcBorders>
              <w:top w:val="nil"/>
              <w:left w:val="nil"/>
              <w:bottom w:val="single" w:color="auto" w:sz="4" w:space="0"/>
              <w:right w:val="nil"/>
            </w:tcBorders>
            <w:shd w:val="clear" w:color="000000" w:fill="FFFFFF"/>
            <w:noWrap/>
            <w:vAlign w:val="center"/>
          </w:tcPr>
          <w:p>
            <w:pPr>
              <w:widowControl/>
              <w:jc w:val="left"/>
              <w:rPr>
                <w:rFonts w:ascii="宋体" w:hAnsi="宋体" w:eastAsia="宋体" w:cs="Arial"/>
                <w:kern w:val="0"/>
                <w:sz w:val="22"/>
                <w:szCs w:val="22"/>
              </w:rPr>
            </w:pPr>
            <w:r>
              <w:rPr>
                <w:rFonts w:hint="eastAsia" w:ascii="宋体" w:hAnsi="宋体" w:eastAsia="宋体" w:cs="Arial"/>
                <w:kern w:val="0"/>
                <w:sz w:val="22"/>
                <w:szCs w:val="22"/>
              </w:rPr>
              <w:t>部门：黄石市黄石港区市场监督管理局</w:t>
            </w:r>
          </w:p>
        </w:tc>
        <w:tc>
          <w:tcPr>
            <w:tcW w:w="453"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899"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22"/>
                <w:szCs w:val="22"/>
              </w:rPr>
            </w:pPr>
            <w:r>
              <w:rPr>
                <w:rFonts w:hint="eastAsia" w:ascii="宋体" w:hAnsi="宋体" w:eastAsia="宋体" w:cs="Arial"/>
                <w:kern w:val="0"/>
                <w:sz w:val="22"/>
                <w:szCs w:val="22"/>
              </w:rPr>
              <w:t>2020年度</w:t>
            </w:r>
          </w:p>
        </w:tc>
        <w:tc>
          <w:tcPr>
            <w:tcW w:w="1180"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1180" w:type="dxa"/>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w:t>
            </w:r>
          </w:p>
        </w:tc>
        <w:tc>
          <w:tcPr>
            <w:tcW w:w="2486" w:type="dxa"/>
            <w:gridSpan w:val="2"/>
            <w:tcBorders>
              <w:top w:val="nil"/>
              <w:left w:val="nil"/>
              <w:bottom w:val="single" w:color="auto" w:sz="4" w:space="0"/>
              <w:right w:val="nil"/>
            </w:tcBorders>
            <w:shd w:val="clear" w:color="000000" w:fill="FFFFFF"/>
            <w:noWrap/>
            <w:vAlign w:val="center"/>
          </w:tcPr>
          <w:p>
            <w:pPr>
              <w:widowControl/>
              <w:jc w:val="center"/>
              <w:rPr>
                <w:rFonts w:ascii="宋体" w:hAnsi="宋体" w:eastAsia="宋体" w:cs="Arial"/>
                <w:kern w:val="0"/>
                <w:sz w:val="18"/>
                <w:szCs w:val="18"/>
              </w:rPr>
            </w:pPr>
            <w:r>
              <w:rPr>
                <w:rFonts w:hint="eastAsia" w:ascii="宋体" w:hAnsi="宋体" w:eastAsia="宋体" w:cs="Arial"/>
                <w:kern w:val="0"/>
                <w:sz w:val="18"/>
                <w:szCs w:val="18"/>
              </w:rPr>
              <w:t xml:space="preserve">　      </w:t>
            </w:r>
            <w:r>
              <w:rPr>
                <w:rFonts w:hint="eastAsia" w:ascii="宋体" w:hAnsi="宋体" w:eastAsia="宋体" w:cs="Arial"/>
                <w:kern w:val="0"/>
                <w:sz w:val="22"/>
                <w:szCs w:val="22"/>
              </w:rPr>
              <w:t>金额单位：万元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7800" w:type="dxa"/>
            <w:gridSpan w:val="8"/>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预算数</w:t>
            </w:r>
          </w:p>
        </w:tc>
        <w:tc>
          <w:tcPr>
            <w:tcW w:w="7206" w:type="dxa"/>
            <w:gridSpan w:val="6"/>
            <w:tcBorders>
              <w:top w:val="single" w:color="auto" w:sz="4" w:space="0"/>
            </w:tcBorders>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决算数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180" w:type="dxa"/>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合计</w:t>
            </w:r>
          </w:p>
        </w:tc>
        <w:tc>
          <w:tcPr>
            <w:tcW w:w="1180" w:type="dxa"/>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因公出国（境）费</w:t>
            </w:r>
          </w:p>
        </w:tc>
        <w:tc>
          <w:tcPr>
            <w:tcW w:w="3541" w:type="dxa"/>
            <w:gridSpan w:val="5"/>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公务用车购置及运行费</w:t>
            </w:r>
          </w:p>
        </w:tc>
        <w:tc>
          <w:tcPr>
            <w:tcW w:w="1899" w:type="dxa"/>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公务接待费</w:t>
            </w:r>
          </w:p>
        </w:tc>
        <w:tc>
          <w:tcPr>
            <w:tcW w:w="1180" w:type="dxa"/>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合计</w:t>
            </w:r>
          </w:p>
        </w:tc>
        <w:tc>
          <w:tcPr>
            <w:tcW w:w="1180" w:type="dxa"/>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因公出国（境）费</w:t>
            </w:r>
          </w:p>
        </w:tc>
        <w:tc>
          <w:tcPr>
            <w:tcW w:w="3541" w:type="dxa"/>
            <w:gridSpan w:val="3"/>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公务用车购置及运行费</w:t>
            </w:r>
          </w:p>
        </w:tc>
        <w:tc>
          <w:tcPr>
            <w:tcW w:w="1305" w:type="dxa"/>
            <w:vMerge w:val="restart"/>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公务接待费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trPr>
        <w:tc>
          <w:tcPr>
            <w:tcW w:w="1180" w:type="dxa"/>
            <w:vMerge w:val="continue"/>
            <w:vAlign w:val="center"/>
          </w:tcPr>
          <w:p>
            <w:pPr>
              <w:widowControl/>
              <w:jc w:val="left"/>
              <w:rPr>
                <w:rFonts w:ascii="宋体" w:hAnsi="宋体" w:eastAsia="宋体" w:cs="Arial"/>
                <w:kern w:val="0"/>
                <w:sz w:val="20"/>
                <w:szCs w:val="20"/>
              </w:rPr>
            </w:pPr>
          </w:p>
        </w:tc>
        <w:tc>
          <w:tcPr>
            <w:tcW w:w="1180" w:type="dxa"/>
            <w:vMerge w:val="continue"/>
            <w:vAlign w:val="center"/>
          </w:tcPr>
          <w:p>
            <w:pPr>
              <w:widowControl/>
              <w:jc w:val="left"/>
              <w:rPr>
                <w:rFonts w:ascii="宋体" w:hAnsi="宋体" w:eastAsia="宋体" w:cs="Arial"/>
                <w:kern w:val="0"/>
                <w:sz w:val="20"/>
                <w:szCs w:val="20"/>
              </w:rPr>
            </w:pPr>
          </w:p>
        </w:tc>
        <w:tc>
          <w:tcPr>
            <w:tcW w:w="1181" w:type="dxa"/>
            <w:gridSpan w:val="2"/>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小计</w:t>
            </w:r>
          </w:p>
        </w:tc>
        <w:tc>
          <w:tcPr>
            <w:tcW w:w="1180" w:type="dxa"/>
            <w:gridSpan w:val="2"/>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公务用车购置费</w:t>
            </w:r>
          </w:p>
        </w:tc>
        <w:tc>
          <w:tcPr>
            <w:tcW w:w="1180"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公务用车运行费</w:t>
            </w:r>
          </w:p>
        </w:tc>
        <w:tc>
          <w:tcPr>
            <w:tcW w:w="1899" w:type="dxa"/>
            <w:vMerge w:val="continue"/>
            <w:vAlign w:val="center"/>
          </w:tcPr>
          <w:p>
            <w:pPr>
              <w:widowControl/>
              <w:jc w:val="left"/>
              <w:rPr>
                <w:rFonts w:ascii="宋体" w:hAnsi="宋体" w:eastAsia="宋体" w:cs="Arial"/>
                <w:kern w:val="0"/>
                <w:sz w:val="20"/>
                <w:szCs w:val="20"/>
              </w:rPr>
            </w:pPr>
          </w:p>
        </w:tc>
        <w:tc>
          <w:tcPr>
            <w:tcW w:w="1180" w:type="dxa"/>
            <w:vMerge w:val="continue"/>
            <w:vAlign w:val="center"/>
          </w:tcPr>
          <w:p>
            <w:pPr>
              <w:widowControl/>
              <w:jc w:val="left"/>
              <w:rPr>
                <w:rFonts w:ascii="宋体" w:hAnsi="宋体" w:eastAsia="宋体" w:cs="Arial"/>
                <w:kern w:val="0"/>
                <w:sz w:val="20"/>
                <w:szCs w:val="20"/>
              </w:rPr>
            </w:pPr>
          </w:p>
        </w:tc>
        <w:tc>
          <w:tcPr>
            <w:tcW w:w="1180" w:type="dxa"/>
            <w:vMerge w:val="continue"/>
            <w:vAlign w:val="center"/>
          </w:tcPr>
          <w:p>
            <w:pPr>
              <w:widowControl/>
              <w:jc w:val="left"/>
              <w:rPr>
                <w:rFonts w:ascii="宋体" w:hAnsi="宋体" w:eastAsia="宋体" w:cs="Arial"/>
                <w:kern w:val="0"/>
                <w:sz w:val="20"/>
                <w:szCs w:val="20"/>
              </w:rPr>
            </w:pPr>
          </w:p>
        </w:tc>
        <w:tc>
          <w:tcPr>
            <w:tcW w:w="1180"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小计</w:t>
            </w:r>
          </w:p>
        </w:tc>
        <w:tc>
          <w:tcPr>
            <w:tcW w:w="1180"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公务用车购置费</w:t>
            </w:r>
          </w:p>
        </w:tc>
        <w:tc>
          <w:tcPr>
            <w:tcW w:w="1181"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公务用车运行费</w:t>
            </w:r>
          </w:p>
        </w:tc>
        <w:tc>
          <w:tcPr>
            <w:tcW w:w="1305" w:type="dxa"/>
            <w:vMerge w:val="continue"/>
            <w:vAlign w:val="center"/>
          </w:tcPr>
          <w:p>
            <w:pPr>
              <w:widowControl/>
              <w:jc w:val="left"/>
              <w:rPr>
                <w:rFonts w:ascii="宋体" w:hAnsi="宋体" w:eastAsia="宋体" w:cs="Arial"/>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180"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w:t>
            </w:r>
          </w:p>
        </w:tc>
        <w:tc>
          <w:tcPr>
            <w:tcW w:w="1180"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2</w:t>
            </w:r>
          </w:p>
        </w:tc>
        <w:tc>
          <w:tcPr>
            <w:tcW w:w="1181" w:type="dxa"/>
            <w:gridSpan w:val="2"/>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3</w:t>
            </w:r>
          </w:p>
        </w:tc>
        <w:tc>
          <w:tcPr>
            <w:tcW w:w="1180" w:type="dxa"/>
            <w:gridSpan w:val="2"/>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4</w:t>
            </w:r>
          </w:p>
        </w:tc>
        <w:tc>
          <w:tcPr>
            <w:tcW w:w="1180"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5</w:t>
            </w:r>
          </w:p>
        </w:tc>
        <w:tc>
          <w:tcPr>
            <w:tcW w:w="1899"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6</w:t>
            </w:r>
          </w:p>
        </w:tc>
        <w:tc>
          <w:tcPr>
            <w:tcW w:w="1180"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7</w:t>
            </w:r>
          </w:p>
        </w:tc>
        <w:tc>
          <w:tcPr>
            <w:tcW w:w="1180"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8</w:t>
            </w:r>
          </w:p>
        </w:tc>
        <w:tc>
          <w:tcPr>
            <w:tcW w:w="1180"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9</w:t>
            </w:r>
          </w:p>
        </w:tc>
        <w:tc>
          <w:tcPr>
            <w:tcW w:w="1180"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10</w:t>
            </w:r>
          </w:p>
        </w:tc>
        <w:tc>
          <w:tcPr>
            <w:tcW w:w="1181"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11</w:t>
            </w:r>
          </w:p>
        </w:tc>
        <w:tc>
          <w:tcPr>
            <w:tcW w:w="1305" w:type="dxa"/>
            <w:shd w:val="clear" w:color="000000" w:fill="C0C0C0"/>
            <w:vAlign w:val="center"/>
          </w:tcPr>
          <w:p>
            <w:pPr>
              <w:widowControl/>
              <w:jc w:val="center"/>
              <w:rPr>
                <w:rFonts w:ascii="宋体" w:hAnsi="宋体" w:eastAsia="宋体" w:cs="Arial"/>
                <w:kern w:val="0"/>
                <w:sz w:val="20"/>
                <w:szCs w:val="20"/>
              </w:rPr>
            </w:pPr>
            <w:r>
              <w:rPr>
                <w:rFonts w:hint="eastAsia" w:ascii="宋体" w:hAnsi="宋体" w:eastAsia="宋体" w:cs="Arial"/>
                <w:kern w:val="0"/>
                <w:sz w:val="20"/>
                <w:szCs w:val="20"/>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18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18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181" w:type="dxa"/>
            <w:gridSpan w:val="2"/>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180" w:type="dxa"/>
            <w:gridSpan w:val="2"/>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18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899"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　</w:t>
            </w:r>
          </w:p>
        </w:tc>
        <w:tc>
          <w:tcPr>
            <w:tcW w:w="118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2.50</w:t>
            </w:r>
          </w:p>
        </w:tc>
        <w:tc>
          <w:tcPr>
            <w:tcW w:w="118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18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2.24</w:t>
            </w:r>
          </w:p>
        </w:tc>
        <w:tc>
          <w:tcPr>
            <w:tcW w:w="1180"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0.00</w:t>
            </w:r>
          </w:p>
        </w:tc>
        <w:tc>
          <w:tcPr>
            <w:tcW w:w="1181"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2.24</w:t>
            </w:r>
          </w:p>
        </w:tc>
        <w:tc>
          <w:tcPr>
            <w:tcW w:w="1305" w:type="dxa"/>
            <w:shd w:val="clear" w:color="000000" w:fill="FFFFFF"/>
            <w:noWrap/>
            <w:vAlign w:val="center"/>
          </w:tcPr>
          <w:p>
            <w:pPr>
              <w:widowControl/>
              <w:jc w:val="right"/>
              <w:rPr>
                <w:rFonts w:ascii="宋体" w:hAnsi="宋体" w:eastAsia="宋体" w:cs="Arial"/>
                <w:kern w:val="0"/>
                <w:sz w:val="20"/>
                <w:szCs w:val="20"/>
              </w:rPr>
            </w:pPr>
            <w:r>
              <w:rPr>
                <w:rFonts w:hint="eastAsia" w:ascii="宋体" w:hAnsi="宋体" w:eastAsia="宋体" w:cs="Arial"/>
                <w:kern w:val="0"/>
                <w:sz w:val="20"/>
                <w:szCs w:val="20"/>
              </w:rPr>
              <w:t>0.26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15006" w:type="dxa"/>
            <w:gridSpan w:val="14"/>
            <w:shd w:val="clear" w:color="000000" w:fill="FFFFFF"/>
            <w:vAlign w:val="center"/>
          </w:tcPr>
          <w:p>
            <w:pPr>
              <w:widowControl/>
              <w:jc w:val="left"/>
              <w:rPr>
                <w:rFonts w:ascii="宋体" w:hAnsi="宋体" w:eastAsia="宋体" w:cs="Arial"/>
                <w:kern w:val="0"/>
                <w:sz w:val="20"/>
                <w:szCs w:val="20"/>
              </w:rPr>
            </w:pPr>
            <w:r>
              <w:rPr>
                <w:rFonts w:hint="eastAsia" w:ascii="宋体" w:hAnsi="宋体" w:eastAsia="宋体" w:cs="Arial"/>
                <w:kern w:val="0"/>
                <w:sz w:val="20"/>
                <w:szCs w:val="20"/>
              </w:rPr>
              <w:t>注：本表反映部门本年度财政拨款“三公”经费支出预决算情况。其中，预算数为“三公”经费年初预算数，包括一般公共预算财政拨款预算数和政府性基金财政拨款及国有资本经营预算财政拨款预算数，此数据由单位自己填报。决算数包括当年一般公共预算财政拨款、政府性基金预算财政拨款、国有资本经营预算财政拨款和以前年度结转资金安排的实际支出。</w:t>
            </w:r>
          </w:p>
        </w:tc>
      </w:tr>
    </w:tbl>
    <w:p>
      <w:pPr>
        <w:pStyle w:val="7"/>
        <w:widowControl/>
        <w:spacing w:before="76" w:beforeAutospacing="0" w:after="76" w:afterAutospacing="0" w:line="450" w:lineRule="atLeast"/>
        <w:ind w:firstLine="420"/>
        <w:rPr>
          <w:rFonts w:ascii="微软雅黑" w:hAnsi="微软雅黑" w:eastAsia="微软雅黑" w:cs="微软雅黑"/>
          <w:b/>
          <w:bCs/>
          <w:color w:val="333333"/>
          <w:shd w:val="clear" w:color="auto" w:fill="FFFFFF"/>
        </w:rPr>
      </w:pPr>
    </w:p>
    <w:p>
      <w:pPr>
        <w:pStyle w:val="7"/>
        <w:widowControl/>
        <w:spacing w:before="76" w:beforeAutospacing="0" w:after="76" w:afterAutospacing="0" w:line="450" w:lineRule="atLeast"/>
        <w:ind w:firstLine="420"/>
        <w:rPr>
          <w:rFonts w:ascii="微软雅黑" w:hAnsi="微软雅黑" w:eastAsia="微软雅黑" w:cs="微软雅黑"/>
          <w:b/>
          <w:bCs/>
          <w:color w:val="333333"/>
          <w:shd w:val="clear" w:color="auto" w:fill="FFFFFF"/>
        </w:rPr>
      </w:pPr>
    </w:p>
    <w:tbl>
      <w:tblPr>
        <w:tblStyle w:val="8"/>
        <w:tblpPr w:leftFromText="180" w:rightFromText="180" w:vertAnchor="text" w:horzAnchor="page" w:tblpX="1535" w:tblpY="-4091"/>
        <w:tblOverlap w:val="never"/>
        <w:tblW w:w="13820" w:type="dxa"/>
        <w:tblInd w:w="0" w:type="dxa"/>
        <w:shd w:val="clear" w:color="auto" w:fill="auto"/>
        <w:tblLayout w:type="fixed"/>
        <w:tblCellMar>
          <w:top w:w="0" w:type="dxa"/>
          <w:left w:w="0" w:type="dxa"/>
          <w:bottom w:w="0" w:type="dxa"/>
          <w:right w:w="0" w:type="dxa"/>
        </w:tblCellMar>
      </w:tblPr>
      <w:tblGrid>
        <w:gridCol w:w="4240"/>
        <w:gridCol w:w="1329"/>
        <w:gridCol w:w="843"/>
        <w:gridCol w:w="843"/>
        <w:gridCol w:w="843"/>
        <w:gridCol w:w="843"/>
        <w:gridCol w:w="843"/>
        <w:gridCol w:w="4036"/>
      </w:tblGrid>
      <w:tr>
        <w:tblPrEx>
          <w:shd w:val="clear" w:color="auto" w:fill="auto"/>
          <w:tblCellMar>
            <w:top w:w="0" w:type="dxa"/>
            <w:left w:w="0" w:type="dxa"/>
            <w:bottom w:w="0" w:type="dxa"/>
            <w:right w:w="0" w:type="dxa"/>
          </w:tblCellMar>
        </w:tblPrEx>
        <w:trPr>
          <w:trHeight w:val="215"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黑体" w:hAnsi="宋体" w:eastAsia="黑体" w:cs="黑体"/>
                <w:i w:val="0"/>
                <w:color w:val="000000"/>
                <w:kern w:val="0"/>
                <w:sz w:val="44"/>
                <w:szCs w:val="44"/>
                <w:u w:val="none"/>
                <w:lang w:val="en-US" w:eastAsia="zh-CN" w:bidi="ar"/>
              </w:rPr>
              <w:t>政府性基金预算财政拨款收入支出决算表</w:t>
            </w:r>
          </w:p>
        </w:tc>
      </w:tr>
      <w:tr>
        <w:tblPrEx>
          <w:tblCellMar>
            <w:top w:w="0" w:type="dxa"/>
            <w:left w:w="0" w:type="dxa"/>
            <w:bottom w:w="0" w:type="dxa"/>
            <w:right w:w="0" w:type="dxa"/>
          </w:tblCellMar>
        </w:tblPrEx>
        <w:trPr>
          <w:trHeight w:val="342"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CellMar>
            <w:top w:w="0" w:type="dxa"/>
            <w:left w:w="0" w:type="dxa"/>
            <w:bottom w:w="0" w:type="dxa"/>
            <w:right w:w="0" w:type="dxa"/>
          </w:tblCellMar>
        </w:tblPrEx>
        <w:trPr>
          <w:trHeight w:val="110" w:hRule="atLeast"/>
        </w:trPr>
        <w:tc>
          <w:tcPr>
            <w:tcW w:w="5569" w:type="dxa"/>
            <w:gridSpan w:val="2"/>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eastAsia="宋体" w:cs="宋体"/>
                <w:i w:val="0"/>
                <w:color w:val="000000"/>
                <w:kern w:val="0"/>
                <w:sz w:val="22"/>
                <w:szCs w:val="22"/>
                <w:u w:val="none"/>
                <w:lang w:val="en-US" w:eastAsia="zh-CN" w:bidi="ar"/>
              </w:rPr>
              <w:t>黄石市黄石港区市场监督管理局</w:t>
            </w: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pPr>
              <w:rPr>
                <w:rFonts w:hint="default" w:ascii="Arial" w:hAnsi="Arial" w:cs="Arial"/>
                <w:i w:val="0"/>
                <w:color w:val="000000"/>
                <w:sz w:val="20"/>
                <w:szCs w:val="20"/>
                <w:u w:val="none"/>
              </w:rPr>
            </w:pPr>
          </w:p>
        </w:tc>
        <w:tc>
          <w:tcPr>
            <w:tcW w:w="4036" w:type="dxa"/>
            <w:tcBorders>
              <w:top w:val="nil"/>
              <w:left w:val="nil"/>
              <w:bottom w:val="nil"/>
              <w:right w:val="nil"/>
            </w:tcBorders>
            <w:shd w:val="clear" w:color="auto" w:fill="auto"/>
            <w:noWrap/>
            <w:tcMar>
              <w:top w:w="15" w:type="dxa"/>
              <w:left w:w="15" w:type="dxa"/>
              <w:right w:w="15" w:type="dxa"/>
            </w:tcMar>
            <w:vAlign w:val="bottom"/>
          </w:tcPr>
          <w:p>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tblPrEx>
          <w:tblCellMar>
            <w:top w:w="0" w:type="dxa"/>
            <w:left w:w="0" w:type="dxa"/>
            <w:bottom w:w="0" w:type="dxa"/>
            <w:right w:w="0" w:type="dxa"/>
          </w:tblCellMar>
        </w:tblPrEx>
        <w:trPr>
          <w:trHeight w:val="114" w:hRule="atLeast"/>
        </w:trPr>
        <w:tc>
          <w:tcPr>
            <w:tcW w:w="5569"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2529"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4036"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tblPrEx>
          <w:tblCellMar>
            <w:top w:w="0" w:type="dxa"/>
            <w:left w:w="0" w:type="dxa"/>
            <w:bottom w:w="0" w:type="dxa"/>
            <w:right w:w="0" w:type="dxa"/>
          </w:tblCellMar>
        </w:tblPrEx>
        <w:trPr>
          <w:trHeight w:val="312" w:hRule="atLeast"/>
        </w:trPr>
        <w:tc>
          <w:tcPr>
            <w:tcW w:w="424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1329"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pPr>
              <w:jc w:val="center"/>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40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tblPrEx>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b/>
                <w:i w:val="0"/>
                <w:color w:val="000000"/>
                <w:sz w:val="22"/>
                <w:szCs w:val="22"/>
                <w:u w:val="none"/>
                <w:lang w:val="en-US" w:eastAsia="zh-CN"/>
              </w:rPr>
            </w:pPr>
          </w:p>
        </w:tc>
      </w:tr>
      <w:tr>
        <w:tblPrEx>
          <w:tblCellMar>
            <w:top w:w="0" w:type="dxa"/>
            <w:left w:w="0" w:type="dxa"/>
            <w:bottom w:w="0" w:type="dxa"/>
            <w:right w:w="0" w:type="dxa"/>
          </w:tblCellMar>
        </w:tblPrEx>
        <w:trPr>
          <w:trHeight w:val="114" w:hRule="atLeast"/>
        </w:trPr>
        <w:tc>
          <w:tcPr>
            <w:tcW w:w="4240"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1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lef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pPr>
              <w:jc w:val="right"/>
              <w:rPr>
                <w:rFonts w:hint="eastAsia" w:ascii="宋体" w:hAnsi="宋体" w:eastAsia="宋体" w:cs="宋体"/>
                <w:i w:val="0"/>
                <w:color w:val="000000"/>
                <w:sz w:val="22"/>
                <w:szCs w:val="22"/>
                <w:u w:val="none"/>
              </w:rPr>
            </w:pPr>
          </w:p>
        </w:tc>
      </w:tr>
      <w:tr>
        <w:tblPrEx>
          <w:tblCellMar>
            <w:top w:w="0" w:type="dxa"/>
            <w:left w:w="0" w:type="dxa"/>
            <w:bottom w:w="0" w:type="dxa"/>
            <w:right w:w="0" w:type="dxa"/>
          </w:tblCellMar>
        </w:tblPrEx>
        <w:trPr>
          <w:trHeight w:val="114" w:hRule="atLeast"/>
        </w:trPr>
        <w:tc>
          <w:tcPr>
            <w:tcW w:w="13820" w:type="dxa"/>
            <w:gridSpan w:val="8"/>
            <w:tcBorders>
              <w:top w:val="nil"/>
              <w:left w:val="nil"/>
              <w:bottom w:val="nil"/>
              <w:right w:val="nil"/>
            </w:tcBorders>
            <w:shd w:val="clear" w:color="auto" w:fill="auto"/>
            <w:noWrap/>
            <w:tcMar>
              <w:top w:w="15" w:type="dxa"/>
              <w:left w:w="15" w:type="dxa"/>
              <w:right w:w="15" w:type="dxa"/>
            </w:tcMar>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pPr>
        <w:pStyle w:val="7"/>
        <w:widowControl/>
        <w:spacing w:before="76" w:beforeAutospacing="0" w:after="76" w:afterAutospacing="0" w:line="450" w:lineRule="atLeast"/>
        <w:ind w:firstLine="420"/>
        <w:rPr>
          <w:rFonts w:ascii="微软雅黑" w:hAnsi="微软雅黑" w:eastAsia="微软雅黑" w:cs="微软雅黑"/>
          <w:b/>
          <w:bCs/>
          <w:color w:val="333333"/>
          <w:shd w:val="clear" w:color="auto" w:fill="FFFFFF"/>
        </w:rPr>
      </w:pPr>
    </w:p>
    <w:p>
      <w:pPr>
        <w:pStyle w:val="7"/>
        <w:widowControl/>
        <w:spacing w:before="76" w:beforeAutospacing="0" w:after="76" w:afterAutospacing="0" w:line="450" w:lineRule="atLeast"/>
        <w:ind w:firstLine="420"/>
        <w:rPr>
          <w:rFonts w:ascii="微软雅黑" w:hAnsi="微软雅黑" w:eastAsia="微软雅黑" w:cs="微软雅黑"/>
          <w:b/>
          <w:bCs/>
          <w:color w:val="333333"/>
          <w:shd w:val="clear" w:color="auto" w:fill="FFFFFF"/>
        </w:rPr>
      </w:pPr>
      <w:r>
        <w:rPr>
          <w:rFonts w:hint="eastAsia" w:ascii="微软雅黑" w:hAnsi="微软雅黑" w:eastAsia="微软雅黑" w:cs="微软雅黑"/>
          <w:b/>
          <w:bCs/>
          <w:color w:val="333333"/>
          <w:shd w:val="clear" w:color="auto" w:fill="FFFFFF"/>
        </w:rPr>
        <w:t>第三部分：部门2020年部门决算情况说明</w:t>
      </w:r>
    </w:p>
    <w:p>
      <w:pPr>
        <w:widowControl/>
        <w:shd w:val="clear" w:color="auto" w:fill="FFFFFF"/>
        <w:ind w:firstLine="480"/>
        <w:jc w:val="left"/>
        <w:rPr>
          <w:rFonts w:hint="eastAsia" w:ascii="宋体" w:hAnsi="宋体" w:cs="宋体"/>
          <w:b/>
          <w:bCs/>
          <w:sz w:val="28"/>
          <w:szCs w:val="28"/>
        </w:rPr>
      </w:pPr>
      <w:r>
        <w:rPr>
          <w:rFonts w:hint="eastAsia" w:ascii="宋体" w:hAnsi="宋体" w:cs="宋体"/>
          <w:b/>
          <w:bCs/>
          <w:sz w:val="28"/>
          <w:szCs w:val="28"/>
        </w:rPr>
        <w:t>（一）预算执行情况分析</w:t>
      </w:r>
    </w:p>
    <w:p>
      <w:pPr>
        <w:snapToGrid w:val="0"/>
        <w:spacing w:line="520" w:lineRule="exact"/>
        <w:ind w:firstLine="560" w:firstLineChars="200"/>
        <w:rPr>
          <w:rFonts w:ascii="宋体" w:hAnsi="宋体" w:cs="宋体"/>
          <w:color w:val="333333"/>
          <w:kern w:val="0"/>
          <w:sz w:val="28"/>
          <w:szCs w:val="28"/>
        </w:rPr>
      </w:pPr>
      <w:r>
        <w:rPr>
          <w:rFonts w:hint="eastAsia" w:ascii="宋体" w:hAnsi="宋体" w:cs="宋体"/>
          <w:color w:val="333333"/>
          <w:kern w:val="0"/>
          <w:sz w:val="28"/>
          <w:szCs w:val="28"/>
        </w:rPr>
        <w:t>2020年度</w:t>
      </w:r>
      <w:r>
        <w:rPr>
          <w:rFonts w:hint="eastAsia" w:ascii="仿宋_GB2312" w:hAnsi="仿宋" w:eastAsia="仿宋_GB2312"/>
          <w:sz w:val="32"/>
          <w:szCs w:val="32"/>
        </w:rPr>
        <w:t>单位本年度总收入1150.70万</w:t>
      </w:r>
      <w:r>
        <w:rPr>
          <w:rFonts w:hint="eastAsia" w:ascii="宋体" w:hAnsi="宋体" w:cs="宋体"/>
          <w:color w:val="333333"/>
          <w:kern w:val="0"/>
          <w:sz w:val="28"/>
          <w:szCs w:val="28"/>
        </w:rPr>
        <w:t>元，其中财政拨款收入1080.54万元、其他收入66.82万元、上年结转结余3.35万元。本年支出总额为1147.35万元。</w:t>
      </w:r>
    </w:p>
    <w:p>
      <w:pPr>
        <w:widowControl/>
        <w:shd w:val="clear" w:color="auto" w:fill="FFFFFF"/>
        <w:ind w:firstLine="560" w:firstLineChars="200"/>
        <w:jc w:val="left"/>
        <w:rPr>
          <w:rFonts w:ascii="宋体" w:hAnsi="宋体" w:cs="宋体"/>
          <w:color w:val="333333"/>
          <w:kern w:val="0"/>
          <w:sz w:val="28"/>
          <w:szCs w:val="28"/>
        </w:rPr>
      </w:pPr>
      <w:r>
        <w:rPr>
          <w:rFonts w:hint="eastAsia" w:ascii="宋体" w:hAnsi="宋体" w:cs="宋体"/>
          <w:color w:val="333333"/>
          <w:kern w:val="0"/>
          <w:sz w:val="28"/>
          <w:szCs w:val="28"/>
        </w:rPr>
        <w:t>1、收入与预算对比分析</w:t>
      </w:r>
    </w:p>
    <w:p>
      <w:pPr>
        <w:snapToGrid w:val="0"/>
        <w:spacing w:line="520" w:lineRule="exact"/>
        <w:ind w:firstLine="560" w:firstLineChars="200"/>
        <w:rPr>
          <w:rFonts w:ascii="宋体" w:hAnsi="宋体" w:cs="宋体"/>
          <w:color w:val="333333"/>
          <w:kern w:val="0"/>
          <w:sz w:val="28"/>
          <w:szCs w:val="28"/>
        </w:rPr>
      </w:pPr>
      <w:r>
        <w:rPr>
          <w:rFonts w:hint="eastAsia" w:ascii="宋体" w:hAnsi="宋体" w:cs="宋体"/>
          <w:color w:val="333333"/>
          <w:kern w:val="0"/>
          <w:sz w:val="28"/>
          <w:szCs w:val="28"/>
        </w:rPr>
        <w:t>2020</w:t>
      </w:r>
      <w:r>
        <w:rPr>
          <w:rFonts w:ascii="宋体" w:hAnsi="宋体" w:cs="宋体"/>
          <w:color w:val="333333"/>
          <w:kern w:val="0"/>
          <w:sz w:val="28"/>
          <w:szCs w:val="28"/>
        </w:rPr>
        <w:t>年我</w:t>
      </w:r>
      <w:r>
        <w:rPr>
          <w:rFonts w:hint="eastAsia" w:ascii="宋体" w:hAnsi="宋体" w:cs="宋体"/>
          <w:color w:val="333333"/>
          <w:kern w:val="0"/>
          <w:sz w:val="28"/>
          <w:szCs w:val="28"/>
        </w:rPr>
        <w:t>单位年初</w:t>
      </w:r>
      <w:r>
        <w:rPr>
          <w:rFonts w:ascii="宋体" w:hAnsi="宋体" w:cs="宋体"/>
          <w:color w:val="333333"/>
          <w:kern w:val="0"/>
          <w:sz w:val="28"/>
          <w:szCs w:val="28"/>
        </w:rPr>
        <w:t>预算</w:t>
      </w:r>
      <w:r>
        <w:rPr>
          <w:rFonts w:hint="eastAsia" w:ascii="宋体" w:hAnsi="宋体" w:cs="宋体"/>
          <w:color w:val="333333"/>
          <w:kern w:val="0"/>
          <w:sz w:val="28"/>
          <w:szCs w:val="28"/>
        </w:rPr>
        <w:t>数610.48万元</w:t>
      </w:r>
      <w:r>
        <w:rPr>
          <w:rFonts w:ascii="宋体" w:hAnsi="宋体" w:cs="宋体"/>
          <w:color w:val="333333"/>
          <w:kern w:val="0"/>
          <w:sz w:val="28"/>
          <w:szCs w:val="28"/>
        </w:rPr>
        <w:t>元，</w:t>
      </w:r>
      <w:r>
        <w:rPr>
          <w:rFonts w:hint="eastAsia" w:ascii="宋体" w:hAnsi="宋体" w:cs="宋体"/>
          <w:color w:val="333333"/>
          <w:kern w:val="0"/>
          <w:sz w:val="28"/>
          <w:szCs w:val="28"/>
        </w:rPr>
        <w:t>全年实际总</w:t>
      </w:r>
      <w:r>
        <w:rPr>
          <w:rFonts w:ascii="宋体" w:hAnsi="宋体" w:cs="宋体"/>
          <w:color w:val="333333"/>
          <w:kern w:val="0"/>
          <w:sz w:val="28"/>
          <w:szCs w:val="28"/>
        </w:rPr>
        <w:t>支出</w:t>
      </w:r>
      <w:r>
        <w:rPr>
          <w:rFonts w:hint="eastAsia" w:ascii="宋体" w:hAnsi="宋体" w:cs="宋体"/>
          <w:color w:val="333333"/>
          <w:kern w:val="0"/>
          <w:sz w:val="28"/>
          <w:szCs w:val="28"/>
        </w:rPr>
        <w:t>1147.35万</w:t>
      </w:r>
      <w:r>
        <w:rPr>
          <w:rFonts w:ascii="宋体" w:hAnsi="宋体" w:cs="宋体"/>
          <w:color w:val="333333"/>
          <w:kern w:val="0"/>
          <w:sz w:val="28"/>
          <w:szCs w:val="28"/>
        </w:rPr>
        <w:t>元</w:t>
      </w:r>
      <w:r>
        <w:rPr>
          <w:rFonts w:hint="eastAsia" w:ascii="宋体" w:hAnsi="宋体" w:cs="宋体"/>
          <w:color w:val="333333"/>
          <w:kern w:val="0"/>
          <w:sz w:val="28"/>
          <w:szCs w:val="28"/>
        </w:rPr>
        <w:t>，其中财政拨款收入支出1080.54万元、其他资金支出66.82万元。</w:t>
      </w:r>
      <w:r>
        <w:rPr>
          <w:rFonts w:ascii="宋体" w:hAnsi="宋体" w:cs="宋体"/>
          <w:color w:val="333333"/>
          <w:kern w:val="0"/>
          <w:sz w:val="28"/>
          <w:szCs w:val="28"/>
        </w:rPr>
        <w:t>超出预算比例</w:t>
      </w:r>
      <w:r>
        <w:rPr>
          <w:rFonts w:hint="eastAsia" w:ascii="宋体" w:hAnsi="宋体" w:cs="宋体"/>
          <w:color w:val="333333"/>
          <w:kern w:val="0"/>
          <w:sz w:val="28"/>
          <w:szCs w:val="28"/>
        </w:rPr>
        <w:t>87.94</w:t>
      </w:r>
      <w:r>
        <w:rPr>
          <w:rFonts w:ascii="宋体" w:hAnsi="宋体" w:cs="宋体"/>
          <w:color w:val="333333"/>
          <w:kern w:val="0"/>
          <w:sz w:val="28"/>
          <w:szCs w:val="28"/>
        </w:rPr>
        <w:t>%。其中：人员经费预算</w:t>
      </w:r>
      <w:r>
        <w:rPr>
          <w:rFonts w:hint="eastAsia" w:ascii="宋体" w:hAnsi="宋体" w:cs="宋体"/>
          <w:color w:val="333333"/>
          <w:kern w:val="0"/>
          <w:sz w:val="28"/>
          <w:szCs w:val="28"/>
        </w:rPr>
        <w:t>461.84万</w:t>
      </w:r>
      <w:r>
        <w:rPr>
          <w:rFonts w:ascii="宋体" w:hAnsi="宋体" w:cs="宋体"/>
          <w:color w:val="333333"/>
          <w:kern w:val="0"/>
          <w:sz w:val="28"/>
          <w:szCs w:val="28"/>
        </w:rPr>
        <w:t>元（含工资福利支出、对个人及家庭补助支出），</w:t>
      </w:r>
      <w:r>
        <w:rPr>
          <w:rFonts w:hint="eastAsia" w:ascii="宋体" w:hAnsi="宋体" w:cs="宋体"/>
          <w:color w:val="333333"/>
          <w:kern w:val="0"/>
          <w:sz w:val="28"/>
          <w:szCs w:val="28"/>
        </w:rPr>
        <w:t>2020年人员</w:t>
      </w:r>
      <w:r>
        <w:rPr>
          <w:rFonts w:ascii="宋体" w:hAnsi="宋体" w:cs="宋体"/>
          <w:color w:val="333333"/>
          <w:kern w:val="0"/>
          <w:sz w:val="28"/>
          <w:szCs w:val="28"/>
        </w:rPr>
        <w:t>经费支出</w:t>
      </w:r>
      <w:r>
        <w:rPr>
          <w:rFonts w:hint="eastAsia" w:ascii="宋体" w:hAnsi="宋体" w:cs="宋体"/>
          <w:color w:val="333333"/>
          <w:kern w:val="0"/>
          <w:sz w:val="28"/>
          <w:szCs w:val="28"/>
        </w:rPr>
        <w:t>861.4万</w:t>
      </w:r>
      <w:r>
        <w:rPr>
          <w:rFonts w:ascii="宋体" w:hAnsi="宋体" w:cs="宋体"/>
          <w:color w:val="333333"/>
          <w:kern w:val="0"/>
          <w:sz w:val="28"/>
          <w:szCs w:val="28"/>
        </w:rPr>
        <w:t>元，</w:t>
      </w:r>
      <w:r>
        <w:rPr>
          <w:rFonts w:hint="eastAsia" w:ascii="宋体" w:hAnsi="宋体" w:cs="宋体"/>
          <w:color w:val="333333"/>
          <w:kern w:val="0"/>
          <w:sz w:val="28"/>
          <w:szCs w:val="28"/>
        </w:rPr>
        <w:t>超预算数399.57万元</w:t>
      </w:r>
      <w:r>
        <w:rPr>
          <w:rFonts w:ascii="宋体" w:hAnsi="宋体" w:cs="宋体"/>
          <w:color w:val="333333"/>
          <w:kern w:val="0"/>
          <w:sz w:val="28"/>
          <w:szCs w:val="28"/>
        </w:rPr>
        <w:t>；公用经费预算为</w:t>
      </w:r>
      <w:r>
        <w:rPr>
          <w:rFonts w:hint="eastAsia" w:ascii="宋体" w:hAnsi="宋体" w:cs="宋体"/>
          <w:color w:val="333333"/>
          <w:kern w:val="0"/>
          <w:sz w:val="28"/>
          <w:szCs w:val="28"/>
        </w:rPr>
        <w:t>148.64万</w:t>
      </w:r>
      <w:r>
        <w:rPr>
          <w:rFonts w:ascii="宋体" w:hAnsi="宋体" w:cs="宋体"/>
          <w:color w:val="333333"/>
          <w:kern w:val="0"/>
          <w:sz w:val="28"/>
          <w:szCs w:val="28"/>
        </w:rPr>
        <w:t>元</w:t>
      </w:r>
      <w:r>
        <w:rPr>
          <w:rFonts w:hint="eastAsia" w:ascii="宋体" w:hAnsi="宋体" w:cs="宋体"/>
          <w:color w:val="333333"/>
          <w:kern w:val="0"/>
          <w:sz w:val="28"/>
          <w:szCs w:val="28"/>
        </w:rPr>
        <w:t>，2020年公用经费实际</w:t>
      </w:r>
      <w:r>
        <w:rPr>
          <w:rFonts w:ascii="宋体" w:hAnsi="宋体" w:cs="宋体"/>
          <w:color w:val="333333"/>
          <w:kern w:val="0"/>
          <w:sz w:val="28"/>
          <w:szCs w:val="28"/>
        </w:rPr>
        <w:t>支出</w:t>
      </w:r>
      <w:r>
        <w:rPr>
          <w:rFonts w:hint="eastAsia" w:ascii="宋体" w:hAnsi="宋体" w:cs="宋体"/>
          <w:color w:val="333333"/>
          <w:kern w:val="0"/>
          <w:sz w:val="28"/>
          <w:szCs w:val="28"/>
        </w:rPr>
        <w:t>285.95万</w:t>
      </w:r>
      <w:r>
        <w:rPr>
          <w:rFonts w:ascii="宋体" w:hAnsi="宋体" w:cs="宋体"/>
          <w:color w:val="333333"/>
          <w:kern w:val="0"/>
          <w:sz w:val="28"/>
          <w:szCs w:val="28"/>
        </w:rPr>
        <w:t>元，</w:t>
      </w:r>
      <w:r>
        <w:rPr>
          <w:rFonts w:hint="eastAsia" w:ascii="宋体" w:hAnsi="宋体" w:cs="宋体"/>
          <w:color w:val="333333"/>
          <w:kern w:val="0"/>
          <w:sz w:val="28"/>
          <w:szCs w:val="28"/>
        </w:rPr>
        <w:t>超预算数137.31万元。超出预算原因为机构改革后人员调整较大，导致人员经费增加。</w:t>
      </w:r>
    </w:p>
    <w:p>
      <w:pPr>
        <w:snapToGrid w:val="0"/>
        <w:spacing w:line="520" w:lineRule="exact"/>
        <w:ind w:firstLine="560" w:firstLineChars="200"/>
        <w:rPr>
          <w:rFonts w:ascii="宋体" w:hAnsi="宋体" w:cs="宋体"/>
          <w:color w:val="333333"/>
          <w:kern w:val="0"/>
          <w:sz w:val="28"/>
          <w:szCs w:val="28"/>
        </w:rPr>
      </w:pP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2、收入结构分析</w:t>
      </w:r>
    </w:p>
    <w:p>
      <w:pPr>
        <w:snapToGrid w:val="0"/>
        <w:spacing w:line="520" w:lineRule="exact"/>
        <w:ind w:firstLine="560" w:firstLineChars="200"/>
        <w:rPr>
          <w:rFonts w:ascii="宋体" w:hAnsi="宋体" w:cs="宋体"/>
          <w:color w:val="333333"/>
          <w:kern w:val="0"/>
          <w:sz w:val="28"/>
          <w:szCs w:val="28"/>
        </w:rPr>
      </w:pPr>
      <w:r>
        <w:rPr>
          <w:rFonts w:hint="eastAsia" w:ascii="宋体" w:hAnsi="宋体" w:cs="宋体"/>
          <w:color w:val="333333"/>
          <w:kern w:val="0"/>
          <w:sz w:val="28"/>
          <w:szCs w:val="28"/>
        </w:rPr>
        <w:t>2020年总收入为1150.73万元，其中本年财政拨款收入1080.54万元，占总收入93.90%，其他收入66.82万元，占总收入5.81%，上年结转3.35万元，占总收入0.29%。</w:t>
      </w:r>
    </w:p>
    <w:p>
      <w:pPr>
        <w:snapToGrid w:val="0"/>
        <w:spacing w:line="520" w:lineRule="exact"/>
        <w:ind w:firstLine="560" w:firstLineChars="200"/>
        <w:rPr>
          <w:rFonts w:ascii="宋体" w:hAnsi="宋体" w:cs="宋体"/>
          <w:color w:val="333333"/>
          <w:kern w:val="0"/>
          <w:sz w:val="28"/>
          <w:szCs w:val="28"/>
        </w:rPr>
      </w:pPr>
      <w:r>
        <w:rPr>
          <w:rFonts w:hint="eastAsia" w:ascii="宋体" w:hAnsi="宋体" w:cs="宋体"/>
          <w:color w:val="333333"/>
          <w:kern w:val="0"/>
          <w:sz w:val="28"/>
          <w:szCs w:val="28"/>
        </w:rPr>
        <w:t>全年总支出为1147.35万元，其中人员经费支出861.40万元，占总支出75.08%，公用经费支出285.95万元，占总支出24.92%。支出按以下分类说明：</w:t>
      </w:r>
    </w:p>
    <w:p>
      <w:pPr>
        <w:widowControl/>
        <w:shd w:val="clear" w:color="auto" w:fill="FFFFFF"/>
        <w:ind w:firstLine="560" w:firstLineChars="200"/>
        <w:jc w:val="left"/>
        <w:rPr>
          <w:rFonts w:ascii="宋体" w:hAnsi="宋体" w:cs="宋体"/>
          <w:color w:val="333333"/>
          <w:kern w:val="0"/>
          <w:sz w:val="28"/>
          <w:szCs w:val="28"/>
        </w:rPr>
      </w:pPr>
      <w:r>
        <w:rPr>
          <w:rFonts w:ascii="宋体" w:hAnsi="宋体" w:cs="宋体"/>
          <w:color w:val="333333"/>
          <w:kern w:val="0"/>
          <w:sz w:val="28"/>
          <w:szCs w:val="28"/>
        </w:rPr>
        <w:t>①</w:t>
      </w:r>
      <w:r>
        <w:rPr>
          <w:rFonts w:hint="eastAsia" w:ascii="宋体" w:hAnsi="宋体" w:cs="宋体"/>
          <w:color w:val="333333"/>
          <w:kern w:val="0"/>
          <w:sz w:val="28"/>
          <w:szCs w:val="28"/>
        </w:rPr>
        <w:t>支出功能分类：1150.73万元，市场监督管理事务。</w:t>
      </w:r>
    </w:p>
    <w:p>
      <w:pPr>
        <w:widowControl/>
        <w:shd w:val="clear" w:color="auto" w:fill="FFFFFF"/>
        <w:ind w:firstLine="560" w:firstLineChars="200"/>
        <w:jc w:val="left"/>
        <w:rPr>
          <w:rFonts w:ascii="宋体" w:hAnsi="宋体" w:cs="宋体"/>
          <w:color w:val="333333"/>
          <w:kern w:val="0"/>
          <w:sz w:val="28"/>
          <w:szCs w:val="28"/>
        </w:rPr>
      </w:pPr>
      <w:r>
        <w:rPr>
          <w:rFonts w:ascii="宋体" w:hAnsi="宋体" w:cs="宋体"/>
          <w:color w:val="333333"/>
          <w:kern w:val="0"/>
          <w:sz w:val="28"/>
          <w:szCs w:val="28"/>
        </w:rPr>
        <w:t>②</w:t>
      </w:r>
      <w:r>
        <w:rPr>
          <w:rFonts w:hint="eastAsia" w:ascii="宋体" w:hAnsi="宋体" w:cs="宋体"/>
          <w:color w:val="333333"/>
          <w:kern w:val="0"/>
          <w:sz w:val="28"/>
          <w:szCs w:val="28"/>
        </w:rPr>
        <w:t>支出性质分类：1150.73万元，其中人员经费861.4万元，公用经费285.95万元。</w:t>
      </w:r>
    </w:p>
    <w:p>
      <w:pPr>
        <w:widowControl/>
        <w:shd w:val="clear" w:color="auto" w:fill="FFFFFF"/>
        <w:ind w:firstLine="560" w:firstLineChars="200"/>
        <w:jc w:val="left"/>
        <w:rPr>
          <w:rFonts w:ascii="宋体" w:hAnsi="宋体" w:cs="宋体"/>
          <w:color w:val="333333"/>
          <w:kern w:val="0"/>
          <w:sz w:val="28"/>
          <w:szCs w:val="28"/>
        </w:rPr>
      </w:pPr>
      <w:r>
        <w:rPr>
          <w:rFonts w:ascii="宋体" w:hAnsi="宋体" w:cs="宋体"/>
          <w:color w:val="333333"/>
          <w:kern w:val="0"/>
          <w:sz w:val="28"/>
          <w:szCs w:val="28"/>
        </w:rPr>
        <w:t>③</w:t>
      </w:r>
      <w:r>
        <w:rPr>
          <w:rFonts w:hint="eastAsia" w:ascii="宋体" w:hAnsi="宋体" w:cs="宋体"/>
          <w:color w:val="333333"/>
          <w:kern w:val="0"/>
          <w:sz w:val="28"/>
          <w:szCs w:val="28"/>
        </w:rPr>
        <w:t>支出经济分类：1150.73万元。其中工资福利861.4万元；商品服务支出445.44万元；资本性支出2.69万元。</w:t>
      </w:r>
    </w:p>
    <w:p>
      <w:pPr>
        <w:widowControl/>
        <w:shd w:val="clear" w:color="auto" w:fill="FFFFFF"/>
        <w:ind w:firstLine="480"/>
        <w:jc w:val="left"/>
        <w:rPr>
          <w:rFonts w:ascii="宋体" w:hAnsi="宋体" w:cs="宋体"/>
          <w:b/>
          <w:bCs/>
          <w:sz w:val="28"/>
          <w:szCs w:val="28"/>
        </w:rPr>
      </w:pPr>
      <w:r>
        <w:rPr>
          <w:rFonts w:hint="eastAsia" w:ascii="宋体" w:hAnsi="宋体" w:cs="宋体"/>
          <w:b/>
          <w:bCs/>
          <w:sz w:val="28"/>
          <w:szCs w:val="28"/>
        </w:rPr>
        <w:t>（二）关于“三公”经费支出说明</w:t>
      </w:r>
    </w:p>
    <w:p>
      <w:pPr>
        <w:snapToGrid w:val="0"/>
        <w:spacing w:line="520" w:lineRule="exact"/>
        <w:ind w:firstLine="560" w:firstLineChars="200"/>
        <w:rPr>
          <w:rFonts w:ascii="宋体" w:hAnsi="宋体" w:eastAsia="宋体" w:cs="宋体"/>
          <w:color w:val="333333"/>
          <w:kern w:val="0"/>
          <w:sz w:val="28"/>
          <w:szCs w:val="28"/>
        </w:rPr>
      </w:pPr>
      <w:r>
        <w:rPr>
          <w:rFonts w:hint="eastAsia" w:ascii="宋体" w:hAnsi="宋体" w:cs="宋体"/>
          <w:color w:val="333333"/>
          <w:kern w:val="0"/>
          <w:sz w:val="28"/>
          <w:szCs w:val="28"/>
        </w:rPr>
        <w:t xml:space="preserve">本年度 </w:t>
      </w:r>
      <w:r>
        <w:rPr>
          <w:rFonts w:hint="eastAsia" w:ascii="宋体" w:hAnsi="宋体" w:eastAsia="宋体" w:cs="宋体"/>
          <w:color w:val="333333"/>
          <w:kern w:val="0"/>
          <w:sz w:val="28"/>
          <w:szCs w:val="28"/>
        </w:rPr>
        <w:t>“三公”经费上年支出</w:t>
      </w:r>
      <w:r>
        <w:rPr>
          <w:rFonts w:hint="eastAsia" w:ascii="宋体" w:hAnsi="宋体" w:cs="宋体"/>
          <w:color w:val="333333"/>
          <w:kern w:val="0"/>
          <w:sz w:val="28"/>
          <w:szCs w:val="28"/>
        </w:rPr>
        <w:t>0.</w:t>
      </w:r>
      <w:r>
        <w:rPr>
          <w:rFonts w:hint="eastAsia" w:ascii="宋体" w:hAnsi="宋体" w:eastAsia="宋体" w:cs="宋体"/>
          <w:color w:val="333333"/>
          <w:kern w:val="0"/>
          <w:sz w:val="28"/>
          <w:szCs w:val="28"/>
        </w:rPr>
        <w:t>6</w:t>
      </w:r>
      <w:r>
        <w:rPr>
          <w:rFonts w:hint="eastAsia" w:ascii="宋体" w:hAnsi="宋体" w:cs="宋体"/>
          <w:color w:val="333333"/>
          <w:kern w:val="0"/>
          <w:sz w:val="28"/>
          <w:szCs w:val="28"/>
        </w:rPr>
        <w:t>8万</w:t>
      </w:r>
      <w:r>
        <w:rPr>
          <w:rFonts w:hint="eastAsia" w:ascii="宋体" w:hAnsi="宋体" w:eastAsia="宋体" w:cs="宋体"/>
          <w:color w:val="333333"/>
          <w:kern w:val="0"/>
          <w:sz w:val="28"/>
          <w:szCs w:val="28"/>
        </w:rPr>
        <w:t>元，为公务用车运行维护费。本年支出2</w:t>
      </w:r>
      <w:r>
        <w:rPr>
          <w:rFonts w:hint="eastAsia" w:ascii="宋体" w:hAnsi="宋体" w:cs="宋体"/>
          <w:color w:val="333333"/>
          <w:kern w:val="0"/>
          <w:sz w:val="28"/>
          <w:szCs w:val="28"/>
        </w:rPr>
        <w:t>.</w:t>
      </w:r>
      <w:r>
        <w:rPr>
          <w:rFonts w:hint="eastAsia" w:ascii="宋体" w:hAnsi="宋体" w:eastAsia="宋体" w:cs="宋体"/>
          <w:color w:val="333333"/>
          <w:kern w:val="0"/>
          <w:sz w:val="28"/>
          <w:szCs w:val="28"/>
        </w:rPr>
        <w:t>59</w:t>
      </w:r>
      <w:r>
        <w:rPr>
          <w:rFonts w:hint="eastAsia" w:ascii="宋体" w:hAnsi="宋体" w:cs="宋体"/>
          <w:color w:val="333333"/>
          <w:kern w:val="0"/>
          <w:sz w:val="28"/>
          <w:szCs w:val="28"/>
        </w:rPr>
        <w:t>万</w:t>
      </w:r>
      <w:r>
        <w:rPr>
          <w:rFonts w:hint="eastAsia" w:ascii="宋体" w:hAnsi="宋体" w:eastAsia="宋体" w:cs="宋体"/>
          <w:color w:val="333333"/>
          <w:kern w:val="0"/>
          <w:sz w:val="28"/>
          <w:szCs w:val="28"/>
        </w:rPr>
        <w:t>元，其中公务用车运行维护费2</w:t>
      </w:r>
      <w:r>
        <w:rPr>
          <w:rFonts w:hint="eastAsia" w:ascii="宋体" w:hAnsi="宋体" w:cs="宋体"/>
          <w:color w:val="333333"/>
          <w:kern w:val="0"/>
          <w:sz w:val="28"/>
          <w:szCs w:val="28"/>
        </w:rPr>
        <w:t>.</w:t>
      </w:r>
      <w:r>
        <w:rPr>
          <w:rFonts w:hint="eastAsia" w:ascii="宋体" w:hAnsi="宋体" w:eastAsia="宋体" w:cs="宋体"/>
          <w:color w:val="333333"/>
          <w:kern w:val="0"/>
          <w:sz w:val="28"/>
          <w:szCs w:val="28"/>
        </w:rPr>
        <w:t>2</w:t>
      </w:r>
      <w:r>
        <w:rPr>
          <w:rFonts w:hint="eastAsia" w:ascii="宋体" w:hAnsi="宋体" w:cs="宋体"/>
          <w:color w:val="333333"/>
          <w:kern w:val="0"/>
          <w:sz w:val="28"/>
          <w:szCs w:val="28"/>
        </w:rPr>
        <w:t>万</w:t>
      </w:r>
      <w:r>
        <w:rPr>
          <w:rFonts w:hint="eastAsia" w:ascii="宋体" w:hAnsi="宋体" w:eastAsia="宋体" w:cs="宋体"/>
          <w:color w:val="333333"/>
          <w:kern w:val="0"/>
          <w:sz w:val="28"/>
          <w:szCs w:val="28"/>
        </w:rPr>
        <w:t>元、公务接待费</w:t>
      </w:r>
      <w:r>
        <w:rPr>
          <w:rFonts w:hint="eastAsia" w:ascii="宋体" w:hAnsi="宋体" w:cs="宋体"/>
          <w:color w:val="333333"/>
          <w:kern w:val="0"/>
          <w:sz w:val="28"/>
          <w:szCs w:val="28"/>
        </w:rPr>
        <w:t>0.</w:t>
      </w:r>
      <w:r>
        <w:rPr>
          <w:rFonts w:hint="eastAsia" w:ascii="宋体" w:hAnsi="宋体" w:eastAsia="宋体" w:cs="宋体"/>
          <w:color w:val="333333"/>
          <w:kern w:val="0"/>
          <w:sz w:val="28"/>
          <w:szCs w:val="28"/>
        </w:rPr>
        <w:t>2</w:t>
      </w:r>
      <w:r>
        <w:rPr>
          <w:rFonts w:hint="eastAsia" w:ascii="宋体" w:hAnsi="宋体" w:cs="宋体"/>
          <w:color w:val="333333"/>
          <w:kern w:val="0"/>
          <w:sz w:val="28"/>
          <w:szCs w:val="28"/>
        </w:rPr>
        <w:t>6万</w:t>
      </w:r>
      <w:r>
        <w:rPr>
          <w:rFonts w:hint="eastAsia" w:ascii="宋体" w:hAnsi="宋体" w:eastAsia="宋体" w:cs="宋体"/>
          <w:color w:val="333333"/>
          <w:kern w:val="0"/>
          <w:sz w:val="28"/>
          <w:szCs w:val="28"/>
        </w:rPr>
        <w:t>元。本年公务用车运行维护费超出预算，原因是我局2018年购入检测车一辆，但本年度财政预算未列公务用车运行维护相关经费。实际本单位存在一辆检测车，本年度公务用车运行维护费实际开支2</w:t>
      </w:r>
      <w:r>
        <w:rPr>
          <w:rFonts w:hint="eastAsia" w:ascii="宋体" w:hAnsi="宋体" w:cs="宋体"/>
          <w:color w:val="333333"/>
          <w:kern w:val="0"/>
          <w:sz w:val="28"/>
          <w:szCs w:val="28"/>
        </w:rPr>
        <w:t>.</w:t>
      </w:r>
      <w:r>
        <w:rPr>
          <w:rFonts w:hint="eastAsia" w:ascii="宋体" w:hAnsi="宋体" w:eastAsia="宋体" w:cs="宋体"/>
          <w:color w:val="333333"/>
          <w:kern w:val="0"/>
          <w:sz w:val="28"/>
          <w:szCs w:val="28"/>
        </w:rPr>
        <w:t>2</w:t>
      </w:r>
      <w:r>
        <w:rPr>
          <w:rFonts w:hint="eastAsia" w:ascii="宋体" w:hAnsi="宋体" w:cs="宋体"/>
          <w:color w:val="333333"/>
          <w:kern w:val="0"/>
          <w:sz w:val="28"/>
          <w:szCs w:val="28"/>
        </w:rPr>
        <w:t>万</w:t>
      </w:r>
      <w:r>
        <w:rPr>
          <w:rFonts w:hint="eastAsia" w:ascii="宋体" w:hAnsi="宋体" w:eastAsia="宋体" w:cs="宋体"/>
          <w:color w:val="333333"/>
          <w:kern w:val="0"/>
          <w:sz w:val="28"/>
          <w:szCs w:val="28"/>
        </w:rPr>
        <w:t>元，主要是车辆维修费</w:t>
      </w:r>
      <w:r>
        <w:rPr>
          <w:rFonts w:hint="eastAsia" w:ascii="宋体" w:hAnsi="宋体" w:cs="宋体"/>
          <w:color w:val="333333"/>
          <w:kern w:val="0"/>
          <w:sz w:val="28"/>
          <w:szCs w:val="28"/>
        </w:rPr>
        <w:t>0.</w:t>
      </w:r>
      <w:r>
        <w:rPr>
          <w:rFonts w:hint="eastAsia" w:ascii="宋体" w:hAnsi="宋体" w:eastAsia="宋体" w:cs="宋体"/>
          <w:color w:val="333333"/>
          <w:kern w:val="0"/>
          <w:sz w:val="28"/>
          <w:szCs w:val="28"/>
        </w:rPr>
        <w:t>73</w:t>
      </w:r>
      <w:r>
        <w:rPr>
          <w:rFonts w:hint="eastAsia" w:ascii="宋体" w:hAnsi="宋体" w:cs="宋体"/>
          <w:color w:val="333333"/>
          <w:kern w:val="0"/>
          <w:sz w:val="28"/>
          <w:szCs w:val="28"/>
        </w:rPr>
        <w:t>万</w:t>
      </w:r>
      <w:r>
        <w:rPr>
          <w:rFonts w:hint="eastAsia" w:ascii="宋体" w:hAnsi="宋体" w:eastAsia="宋体" w:cs="宋体"/>
          <w:color w:val="333333"/>
          <w:kern w:val="0"/>
          <w:sz w:val="28"/>
          <w:szCs w:val="28"/>
        </w:rPr>
        <w:t>元、加油</w:t>
      </w:r>
      <w:r>
        <w:rPr>
          <w:rFonts w:hint="eastAsia" w:ascii="宋体" w:hAnsi="宋体" w:cs="宋体"/>
          <w:color w:val="333333"/>
          <w:kern w:val="0"/>
          <w:sz w:val="28"/>
          <w:szCs w:val="28"/>
        </w:rPr>
        <w:t>0.</w:t>
      </w:r>
      <w:r>
        <w:rPr>
          <w:rFonts w:hint="eastAsia" w:ascii="宋体" w:hAnsi="宋体" w:eastAsia="宋体" w:cs="宋体"/>
          <w:color w:val="333333"/>
          <w:kern w:val="0"/>
          <w:sz w:val="28"/>
          <w:szCs w:val="28"/>
        </w:rPr>
        <w:t>55</w:t>
      </w:r>
      <w:r>
        <w:rPr>
          <w:rFonts w:hint="eastAsia" w:ascii="宋体" w:hAnsi="宋体" w:cs="宋体"/>
          <w:color w:val="333333"/>
          <w:kern w:val="0"/>
          <w:sz w:val="28"/>
          <w:szCs w:val="28"/>
        </w:rPr>
        <w:t>万</w:t>
      </w:r>
      <w:r>
        <w:rPr>
          <w:rFonts w:hint="eastAsia" w:ascii="宋体" w:hAnsi="宋体" w:eastAsia="宋体" w:cs="宋体"/>
          <w:color w:val="333333"/>
          <w:kern w:val="0"/>
          <w:sz w:val="28"/>
          <w:szCs w:val="28"/>
        </w:rPr>
        <w:t>元、保险费</w:t>
      </w:r>
      <w:r>
        <w:rPr>
          <w:rFonts w:hint="eastAsia" w:ascii="宋体" w:hAnsi="宋体" w:cs="宋体"/>
          <w:color w:val="333333"/>
          <w:kern w:val="0"/>
          <w:sz w:val="28"/>
          <w:szCs w:val="28"/>
        </w:rPr>
        <w:t>0.</w:t>
      </w:r>
      <w:r>
        <w:rPr>
          <w:rFonts w:hint="eastAsia" w:ascii="宋体" w:hAnsi="宋体" w:eastAsia="宋体" w:cs="宋体"/>
          <w:color w:val="333333"/>
          <w:kern w:val="0"/>
          <w:sz w:val="28"/>
          <w:szCs w:val="28"/>
        </w:rPr>
        <w:t>59</w:t>
      </w:r>
      <w:r>
        <w:rPr>
          <w:rFonts w:hint="eastAsia" w:ascii="宋体" w:hAnsi="宋体" w:cs="宋体"/>
          <w:color w:val="333333"/>
          <w:kern w:val="0"/>
          <w:sz w:val="28"/>
          <w:szCs w:val="28"/>
        </w:rPr>
        <w:t>万</w:t>
      </w:r>
      <w:r>
        <w:rPr>
          <w:rFonts w:hint="eastAsia" w:ascii="宋体" w:hAnsi="宋体" w:eastAsia="宋体" w:cs="宋体"/>
          <w:color w:val="333333"/>
          <w:kern w:val="0"/>
          <w:sz w:val="28"/>
          <w:szCs w:val="28"/>
        </w:rPr>
        <w:t>元、其他费用</w:t>
      </w:r>
      <w:r>
        <w:rPr>
          <w:rFonts w:hint="eastAsia" w:ascii="宋体" w:hAnsi="宋体" w:cs="宋体"/>
          <w:color w:val="333333"/>
          <w:kern w:val="0"/>
          <w:sz w:val="28"/>
          <w:szCs w:val="28"/>
        </w:rPr>
        <w:t>0.</w:t>
      </w:r>
      <w:r>
        <w:rPr>
          <w:rFonts w:hint="eastAsia" w:ascii="宋体" w:hAnsi="宋体" w:eastAsia="宋体" w:cs="宋体"/>
          <w:color w:val="333333"/>
          <w:kern w:val="0"/>
          <w:sz w:val="28"/>
          <w:szCs w:val="28"/>
        </w:rPr>
        <w:t>36</w:t>
      </w:r>
      <w:r>
        <w:rPr>
          <w:rFonts w:hint="eastAsia" w:ascii="宋体" w:hAnsi="宋体" w:cs="宋体"/>
          <w:color w:val="333333"/>
          <w:kern w:val="0"/>
          <w:sz w:val="28"/>
          <w:szCs w:val="28"/>
        </w:rPr>
        <w:t>万</w:t>
      </w:r>
      <w:r>
        <w:rPr>
          <w:rFonts w:hint="eastAsia" w:ascii="宋体" w:hAnsi="宋体" w:eastAsia="宋体" w:cs="宋体"/>
          <w:color w:val="333333"/>
          <w:kern w:val="0"/>
          <w:sz w:val="28"/>
          <w:szCs w:val="28"/>
        </w:rPr>
        <w:t>元。2019年无培训费支出，2020年培训费支出</w:t>
      </w:r>
      <w:r>
        <w:rPr>
          <w:rFonts w:hint="eastAsia" w:ascii="宋体" w:hAnsi="宋体" w:cs="宋体"/>
          <w:color w:val="333333"/>
          <w:kern w:val="0"/>
          <w:sz w:val="28"/>
          <w:szCs w:val="28"/>
        </w:rPr>
        <w:t>0.1万</w:t>
      </w:r>
      <w:r>
        <w:rPr>
          <w:rFonts w:hint="eastAsia" w:ascii="宋体" w:hAnsi="宋体" w:eastAsia="宋体" w:cs="宋体"/>
          <w:color w:val="333333"/>
          <w:kern w:val="0"/>
          <w:sz w:val="28"/>
          <w:szCs w:val="28"/>
        </w:rPr>
        <w:t>元。</w:t>
      </w:r>
    </w:p>
    <w:p>
      <w:pPr>
        <w:snapToGrid w:val="0"/>
        <w:spacing w:line="520" w:lineRule="exact"/>
        <w:ind w:firstLine="560" w:firstLineChars="200"/>
        <w:rPr>
          <w:rFonts w:ascii="宋体" w:hAnsi="宋体" w:eastAsia="宋体" w:cs="宋体"/>
          <w:color w:val="333333"/>
          <w:kern w:val="0"/>
          <w:sz w:val="28"/>
          <w:szCs w:val="28"/>
        </w:rPr>
      </w:pPr>
    </w:p>
    <w:p>
      <w:pPr>
        <w:widowControl/>
        <w:shd w:val="clear" w:color="auto" w:fill="FFFFFF"/>
        <w:ind w:firstLine="480"/>
        <w:jc w:val="left"/>
        <w:rPr>
          <w:rFonts w:asciiTheme="minorEastAsia" w:hAnsiTheme="minorEastAsia" w:cstheme="minorEastAsia"/>
          <w:b/>
          <w:bCs/>
          <w:color w:val="333333"/>
          <w:kern w:val="0"/>
          <w:sz w:val="28"/>
          <w:szCs w:val="28"/>
        </w:rPr>
      </w:pPr>
      <w:r>
        <w:rPr>
          <w:rFonts w:hint="eastAsia" w:asciiTheme="minorEastAsia" w:hAnsiTheme="minorEastAsia" w:cstheme="minorEastAsia"/>
          <w:b/>
          <w:bCs/>
          <w:color w:val="333333"/>
          <w:kern w:val="0"/>
          <w:sz w:val="28"/>
          <w:szCs w:val="28"/>
        </w:rPr>
        <w:t>（三）关于机关运行经费支出说明</w:t>
      </w:r>
    </w:p>
    <w:p>
      <w:pPr>
        <w:widowControl/>
        <w:shd w:val="clear" w:color="auto" w:fill="FFFFFF"/>
        <w:ind w:firstLine="560" w:firstLineChars="200"/>
        <w:jc w:val="left"/>
        <w:rPr>
          <w:rFonts w:ascii="宋体" w:hAnsi="宋体" w:cs="宋体"/>
          <w:color w:val="333333"/>
          <w:kern w:val="0"/>
          <w:sz w:val="28"/>
          <w:szCs w:val="28"/>
        </w:rPr>
      </w:pPr>
      <w:r>
        <w:rPr>
          <w:rFonts w:hint="eastAsia" w:ascii="宋体" w:hAnsi="宋体" w:cs="宋体"/>
          <w:color w:val="333333"/>
          <w:kern w:val="0"/>
          <w:sz w:val="28"/>
          <w:szCs w:val="28"/>
        </w:rPr>
        <w:t>2020年度机关运行经费支出1080.53万元，其中：人员经费861.4万元；日常公用经费219.13万元；日常公用经费包括：办公费106.05万元、印刷费7.37元、水费0.59万元、电费5.34万元、邮电费0.76万元、差旅费0.36万元、维修（护）费1.57万元、劳务费29.64万元、委托业务费9.45万元、工会经费15.08万元、福利费6.74万元、公务用车运行维护费2.24万元、其他交通费0万元、其他商品服务支出24.15万元。2020年度机关运行经费支出1080.53万元比年初预算数610.48万元增加440.06万元，增长40.73%。主要原因是：机构改革，本单位由食药监局改为市场监督管理局，同时与工商行政管理局、质量技术监督局合并，导致经费增加。</w:t>
      </w:r>
    </w:p>
    <w:p>
      <w:pPr>
        <w:widowControl/>
        <w:shd w:val="clear" w:color="auto" w:fill="FFFFFF"/>
        <w:ind w:firstLine="480"/>
        <w:jc w:val="left"/>
        <w:rPr>
          <w:rFonts w:asciiTheme="minorEastAsia" w:hAnsiTheme="minorEastAsia" w:cstheme="minorEastAsia"/>
          <w:b/>
          <w:bCs/>
          <w:color w:val="333333"/>
          <w:kern w:val="0"/>
          <w:sz w:val="28"/>
          <w:szCs w:val="28"/>
        </w:rPr>
      </w:pPr>
      <w:r>
        <w:rPr>
          <w:rFonts w:hint="eastAsia" w:asciiTheme="minorEastAsia" w:hAnsiTheme="minorEastAsia" w:cstheme="minorEastAsia"/>
          <w:b/>
          <w:bCs/>
          <w:color w:val="333333"/>
          <w:kern w:val="0"/>
          <w:sz w:val="28"/>
          <w:szCs w:val="28"/>
        </w:rPr>
        <w:t>（四）关于政府采购支出说明</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本年政府采购支出8.62万元，其中用于购买办公家具2.19万元购置空调0.52万元法律服务费3.7万元办公费2.21万元等。</w:t>
      </w:r>
    </w:p>
    <w:p>
      <w:pPr>
        <w:widowControl/>
        <w:shd w:val="clear" w:color="auto" w:fill="FFFFFF"/>
        <w:ind w:firstLine="480"/>
        <w:jc w:val="left"/>
        <w:rPr>
          <w:rFonts w:asciiTheme="minorEastAsia" w:hAnsiTheme="minorEastAsia" w:cstheme="minorEastAsia"/>
          <w:b/>
          <w:bCs/>
          <w:color w:val="333333"/>
          <w:kern w:val="0"/>
          <w:sz w:val="28"/>
          <w:szCs w:val="28"/>
        </w:rPr>
      </w:pPr>
      <w:r>
        <w:rPr>
          <w:rFonts w:hint="eastAsia" w:asciiTheme="minorEastAsia" w:hAnsiTheme="minorEastAsia" w:cstheme="minorEastAsia"/>
          <w:b/>
          <w:bCs/>
          <w:color w:val="333333"/>
          <w:kern w:val="0"/>
          <w:sz w:val="28"/>
          <w:szCs w:val="28"/>
        </w:rPr>
        <w:t>（五）关于国有资产占用情况说明</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本单位截止2020年12月31日，车辆保有量1台，为东风检测车，用于执法执行，价值33.32万元。</w:t>
      </w:r>
    </w:p>
    <w:p>
      <w:pPr>
        <w:widowControl/>
        <w:shd w:val="clear" w:color="auto" w:fill="FFFFFF"/>
        <w:ind w:firstLine="562" w:firstLineChars="200"/>
        <w:jc w:val="left"/>
        <w:rPr>
          <w:rFonts w:asciiTheme="minorEastAsia" w:hAnsiTheme="minorEastAsia" w:cstheme="minorEastAsia"/>
          <w:b/>
          <w:bCs/>
          <w:sz w:val="28"/>
          <w:szCs w:val="28"/>
        </w:rPr>
      </w:pPr>
      <w:r>
        <w:rPr>
          <w:rFonts w:hint="eastAsia" w:asciiTheme="minorEastAsia" w:hAnsiTheme="minorEastAsia" w:cstheme="minorEastAsia"/>
          <w:b/>
          <w:bCs/>
          <w:sz w:val="28"/>
          <w:szCs w:val="28"/>
        </w:rPr>
        <w:t>（六）重点绩效评价结果等预算绩效情况说明</w:t>
      </w:r>
    </w:p>
    <w:p>
      <w:pPr>
        <w:pStyle w:val="12"/>
        <w:spacing w:line="540" w:lineRule="exact"/>
        <w:ind w:firstLine="560" w:firstLineChars="200"/>
        <w:rPr>
          <w:rFonts w:hint="eastAsia" w:asciiTheme="minorEastAsia" w:hAnsiTheme="minorEastAsia" w:cstheme="minorEastAsia"/>
          <w:kern w:val="0"/>
          <w:sz w:val="28"/>
          <w:szCs w:val="28"/>
        </w:rPr>
      </w:pPr>
      <w:r>
        <w:rPr>
          <w:rFonts w:hint="eastAsia" w:asciiTheme="minorEastAsia" w:hAnsiTheme="minorEastAsia" w:cstheme="minorEastAsia"/>
          <w:kern w:val="0"/>
          <w:sz w:val="28"/>
          <w:szCs w:val="28"/>
        </w:rPr>
        <w:t>2020年， 根据预算绩效管理要求，我单位组织2020年度一般公共预算项目支出全面开展绩效自评，共涉及项目1个，资金22.3万元。 2020年项目资金投入22.3万元，已使用22.3万元，使用率达100%。使用从评价结果看，项目立项程序完整、规范，预算执行及时、有效，绩效目标得到较好实现，绩效管理水平不断提高，绩效指标体系建设逐渐丰富和完善。</w:t>
      </w:r>
    </w:p>
    <w:p>
      <w:pPr>
        <w:spacing w:line="440" w:lineRule="exact"/>
        <w:ind w:firstLine="562" w:firstLineChars="200"/>
        <w:rPr>
          <w:rFonts w:hint="eastAsia" w:ascii="宋体" w:hAnsi="宋体"/>
          <w:b/>
          <w:color w:val="FF6600"/>
          <w:spacing w:val="2"/>
          <w:sz w:val="28"/>
          <w:szCs w:val="28"/>
        </w:rPr>
      </w:pPr>
      <w:r>
        <w:rPr>
          <w:rFonts w:hint="eastAsia" w:ascii="宋体" w:hAnsi="宋体" w:cs="宋体"/>
          <w:b/>
          <w:bCs/>
          <w:sz w:val="28"/>
          <w:szCs w:val="28"/>
          <w:lang w:val="en-US" w:eastAsia="zh-CN"/>
        </w:rPr>
        <w:t>（七）</w:t>
      </w:r>
      <w:r>
        <w:rPr>
          <w:rFonts w:hint="eastAsia" w:ascii="宋体" w:hAnsi="宋体"/>
          <w:b/>
          <w:spacing w:val="2"/>
          <w:sz w:val="28"/>
          <w:szCs w:val="28"/>
        </w:rPr>
        <w:t>决算收支增减变化情况</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1、收入增减变化情况</w:t>
      </w:r>
    </w:p>
    <w:p>
      <w:pPr>
        <w:widowControl/>
        <w:ind w:firstLine="568" w:firstLineChars="200"/>
        <w:rPr>
          <w:rFonts w:hint="eastAsia" w:ascii="宋体" w:hAnsi="宋体"/>
          <w:spacing w:val="2"/>
          <w:sz w:val="28"/>
          <w:szCs w:val="28"/>
        </w:rPr>
      </w:pPr>
      <w:r>
        <w:rPr>
          <w:rFonts w:hint="eastAsia" w:ascii="宋体" w:hAnsi="宋体"/>
          <w:spacing w:val="2"/>
          <w:sz w:val="28"/>
          <w:szCs w:val="28"/>
        </w:rPr>
        <w:t>2019年全年总收入</w:t>
      </w:r>
      <w:r>
        <w:rPr>
          <w:rFonts w:hint="eastAsia" w:ascii="宋体" w:hAnsi="宋体"/>
          <w:spacing w:val="2"/>
          <w:sz w:val="28"/>
          <w:szCs w:val="28"/>
          <w:lang w:val="en-US" w:eastAsia="zh-CN"/>
        </w:rPr>
        <w:t>1158.11万</w:t>
      </w:r>
      <w:r>
        <w:rPr>
          <w:rFonts w:hint="eastAsia" w:ascii="宋体" w:hAnsi="宋体"/>
          <w:spacing w:val="2"/>
          <w:sz w:val="28"/>
          <w:szCs w:val="28"/>
        </w:rPr>
        <w:t>元,2020年全年总收入</w:t>
      </w:r>
      <w:r>
        <w:rPr>
          <w:rFonts w:hint="eastAsia" w:ascii="宋体" w:hAnsi="宋体"/>
          <w:spacing w:val="2"/>
          <w:sz w:val="28"/>
          <w:szCs w:val="28"/>
          <w:lang w:val="en-US" w:eastAsia="zh-CN"/>
        </w:rPr>
        <w:t>1150.7万</w:t>
      </w:r>
      <w:r>
        <w:rPr>
          <w:rFonts w:hint="eastAsia" w:ascii="宋体" w:hAnsi="宋体"/>
          <w:spacing w:val="2"/>
          <w:sz w:val="28"/>
          <w:szCs w:val="28"/>
        </w:rPr>
        <w:t>元，同比上年</w:t>
      </w:r>
      <w:r>
        <w:rPr>
          <w:rFonts w:hint="eastAsia" w:ascii="宋体" w:hAnsi="宋体"/>
          <w:spacing w:val="2"/>
          <w:sz w:val="28"/>
          <w:szCs w:val="28"/>
          <w:lang w:eastAsia="zh-CN"/>
        </w:rPr>
        <w:t>减少</w:t>
      </w:r>
      <w:r>
        <w:rPr>
          <w:rFonts w:hint="eastAsia" w:ascii="宋体" w:hAnsi="宋体"/>
          <w:spacing w:val="2"/>
          <w:sz w:val="28"/>
          <w:szCs w:val="28"/>
          <w:lang w:val="en-US" w:eastAsia="zh-CN"/>
        </w:rPr>
        <w:t>7.41万</w:t>
      </w:r>
      <w:r>
        <w:rPr>
          <w:rFonts w:hint="eastAsia" w:ascii="宋体" w:hAnsi="宋体"/>
          <w:spacing w:val="2"/>
          <w:sz w:val="28"/>
          <w:szCs w:val="28"/>
        </w:rPr>
        <w:t>元，</w:t>
      </w:r>
      <w:r>
        <w:rPr>
          <w:rFonts w:hint="eastAsia" w:ascii="宋体" w:hAnsi="宋体"/>
          <w:spacing w:val="2"/>
          <w:sz w:val="28"/>
          <w:szCs w:val="28"/>
          <w:lang w:eastAsia="zh-CN"/>
        </w:rPr>
        <w:t>降低</w:t>
      </w:r>
      <w:r>
        <w:rPr>
          <w:rFonts w:hint="eastAsia" w:ascii="宋体" w:hAnsi="宋体"/>
          <w:spacing w:val="2"/>
          <w:sz w:val="28"/>
          <w:szCs w:val="28"/>
        </w:rPr>
        <w:t>幅度为</w:t>
      </w:r>
      <w:r>
        <w:rPr>
          <w:rFonts w:hint="eastAsia" w:ascii="宋体" w:hAnsi="宋体"/>
          <w:spacing w:val="2"/>
          <w:sz w:val="28"/>
          <w:szCs w:val="28"/>
          <w:lang w:val="en-US" w:eastAsia="zh-CN"/>
        </w:rPr>
        <w:t>0.64</w:t>
      </w:r>
      <w:r>
        <w:rPr>
          <w:rFonts w:hint="eastAsia" w:ascii="宋体" w:hAnsi="宋体"/>
          <w:spacing w:val="2"/>
          <w:sz w:val="28"/>
          <w:szCs w:val="28"/>
        </w:rPr>
        <w:t>%，原因是业务量</w:t>
      </w:r>
      <w:r>
        <w:rPr>
          <w:rFonts w:hint="eastAsia" w:ascii="宋体" w:hAnsi="宋体"/>
          <w:spacing w:val="2"/>
          <w:sz w:val="28"/>
          <w:szCs w:val="28"/>
          <w:lang w:eastAsia="zh-CN"/>
        </w:rPr>
        <w:t>减少</w:t>
      </w:r>
      <w:r>
        <w:rPr>
          <w:rFonts w:hint="eastAsia" w:ascii="宋体" w:hAnsi="宋体"/>
          <w:spacing w:val="2"/>
          <w:sz w:val="28"/>
          <w:szCs w:val="28"/>
        </w:rPr>
        <w:t>。</w:t>
      </w:r>
    </w:p>
    <w:p>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2、支出增减变化情况</w:t>
      </w:r>
    </w:p>
    <w:p>
      <w:pPr>
        <w:widowControl/>
        <w:ind w:firstLine="568" w:firstLineChars="200"/>
        <w:rPr>
          <w:rFonts w:hint="eastAsia" w:ascii="宋体" w:hAnsi="宋体"/>
          <w:spacing w:val="2"/>
          <w:sz w:val="28"/>
          <w:szCs w:val="28"/>
        </w:rPr>
      </w:pPr>
      <w:r>
        <w:rPr>
          <w:rFonts w:hint="eastAsia" w:ascii="宋体" w:hAnsi="宋体"/>
          <w:spacing w:val="2"/>
          <w:sz w:val="28"/>
          <w:szCs w:val="28"/>
        </w:rPr>
        <w:t>2019年全年总</w:t>
      </w:r>
      <w:r>
        <w:rPr>
          <w:rFonts w:hint="eastAsia" w:ascii="宋体" w:hAnsi="宋体"/>
          <w:spacing w:val="2"/>
          <w:sz w:val="28"/>
          <w:szCs w:val="28"/>
          <w:lang w:eastAsia="zh-CN"/>
        </w:rPr>
        <w:t>支出</w:t>
      </w:r>
      <w:r>
        <w:rPr>
          <w:rFonts w:hint="eastAsia" w:ascii="宋体" w:hAnsi="宋体"/>
          <w:spacing w:val="2"/>
          <w:sz w:val="28"/>
          <w:szCs w:val="28"/>
          <w:lang w:val="en-US" w:eastAsia="zh-CN"/>
        </w:rPr>
        <w:t>1158.11万</w:t>
      </w:r>
      <w:r>
        <w:rPr>
          <w:rFonts w:hint="eastAsia" w:ascii="宋体" w:hAnsi="宋体"/>
          <w:spacing w:val="2"/>
          <w:sz w:val="28"/>
          <w:szCs w:val="28"/>
        </w:rPr>
        <w:t>元,2020年全年总</w:t>
      </w:r>
      <w:r>
        <w:rPr>
          <w:rFonts w:hint="eastAsia" w:ascii="宋体" w:hAnsi="宋体"/>
          <w:spacing w:val="2"/>
          <w:sz w:val="28"/>
          <w:szCs w:val="28"/>
          <w:lang w:eastAsia="zh-CN"/>
        </w:rPr>
        <w:t>支出</w:t>
      </w:r>
      <w:bookmarkStart w:id="0" w:name="_GoBack"/>
      <w:bookmarkEnd w:id="0"/>
      <w:r>
        <w:rPr>
          <w:rFonts w:hint="eastAsia" w:ascii="宋体" w:hAnsi="宋体"/>
          <w:spacing w:val="2"/>
          <w:sz w:val="28"/>
          <w:szCs w:val="28"/>
          <w:lang w:val="en-US" w:eastAsia="zh-CN"/>
        </w:rPr>
        <w:t>1150.7万</w:t>
      </w:r>
      <w:r>
        <w:rPr>
          <w:rFonts w:hint="eastAsia" w:ascii="宋体" w:hAnsi="宋体"/>
          <w:spacing w:val="2"/>
          <w:sz w:val="28"/>
          <w:szCs w:val="28"/>
        </w:rPr>
        <w:t>元，同比上年</w:t>
      </w:r>
      <w:r>
        <w:rPr>
          <w:rFonts w:hint="eastAsia" w:ascii="宋体" w:hAnsi="宋体"/>
          <w:spacing w:val="2"/>
          <w:sz w:val="28"/>
          <w:szCs w:val="28"/>
          <w:lang w:eastAsia="zh-CN"/>
        </w:rPr>
        <w:t>减少</w:t>
      </w:r>
      <w:r>
        <w:rPr>
          <w:rFonts w:hint="eastAsia" w:ascii="宋体" w:hAnsi="宋体"/>
          <w:spacing w:val="2"/>
          <w:sz w:val="28"/>
          <w:szCs w:val="28"/>
          <w:lang w:val="en-US" w:eastAsia="zh-CN"/>
        </w:rPr>
        <w:t>7.41万</w:t>
      </w:r>
      <w:r>
        <w:rPr>
          <w:rFonts w:hint="eastAsia" w:ascii="宋体" w:hAnsi="宋体"/>
          <w:spacing w:val="2"/>
          <w:sz w:val="28"/>
          <w:szCs w:val="28"/>
        </w:rPr>
        <w:t>元，</w:t>
      </w:r>
      <w:r>
        <w:rPr>
          <w:rFonts w:hint="eastAsia" w:ascii="宋体" w:hAnsi="宋体"/>
          <w:spacing w:val="2"/>
          <w:sz w:val="28"/>
          <w:szCs w:val="28"/>
          <w:lang w:eastAsia="zh-CN"/>
        </w:rPr>
        <w:t>降低</w:t>
      </w:r>
      <w:r>
        <w:rPr>
          <w:rFonts w:hint="eastAsia" w:ascii="宋体" w:hAnsi="宋体"/>
          <w:spacing w:val="2"/>
          <w:sz w:val="28"/>
          <w:szCs w:val="28"/>
        </w:rPr>
        <w:t>幅度为</w:t>
      </w:r>
      <w:r>
        <w:rPr>
          <w:rFonts w:hint="eastAsia" w:ascii="宋体" w:hAnsi="宋体"/>
          <w:spacing w:val="2"/>
          <w:sz w:val="28"/>
          <w:szCs w:val="28"/>
          <w:lang w:val="en-US" w:eastAsia="zh-CN"/>
        </w:rPr>
        <w:t>0.64</w:t>
      </w:r>
      <w:r>
        <w:rPr>
          <w:rFonts w:hint="eastAsia" w:ascii="宋体" w:hAnsi="宋体"/>
          <w:spacing w:val="2"/>
          <w:sz w:val="28"/>
          <w:szCs w:val="28"/>
        </w:rPr>
        <w:t>%，原因是业务量</w:t>
      </w:r>
      <w:r>
        <w:rPr>
          <w:rFonts w:hint="eastAsia" w:ascii="宋体" w:hAnsi="宋体"/>
          <w:spacing w:val="2"/>
          <w:sz w:val="28"/>
          <w:szCs w:val="28"/>
          <w:lang w:eastAsia="zh-CN"/>
        </w:rPr>
        <w:t>减少</w:t>
      </w:r>
      <w:r>
        <w:rPr>
          <w:rFonts w:hint="eastAsia" w:ascii="宋体" w:hAnsi="宋体"/>
          <w:spacing w:val="2"/>
          <w:sz w:val="28"/>
          <w:szCs w:val="28"/>
        </w:rPr>
        <w:t>。</w:t>
      </w:r>
    </w:p>
    <w:p>
      <w:pPr>
        <w:pStyle w:val="12"/>
        <w:spacing w:line="540" w:lineRule="exact"/>
        <w:rPr>
          <w:rFonts w:hint="eastAsia" w:ascii="仿宋_GB2312" w:hAnsi="宋体" w:eastAsia="仿宋_GB2312" w:cs="Times New Roman"/>
          <w:lang w:val="en-US" w:eastAsia="zh-CN"/>
        </w:rPr>
      </w:pPr>
    </w:p>
    <w:p>
      <w:pPr>
        <w:pStyle w:val="12"/>
        <w:spacing w:line="540" w:lineRule="exact"/>
        <w:ind w:firstLine="560" w:firstLineChars="200"/>
        <w:rPr>
          <w:rFonts w:hint="eastAsia" w:asciiTheme="minorEastAsia" w:hAnsiTheme="minorEastAsia" w:cstheme="minorEastAsia"/>
          <w:kern w:val="0"/>
          <w:sz w:val="28"/>
          <w:szCs w:val="28"/>
        </w:rPr>
      </w:pPr>
    </w:p>
    <w:p>
      <w:pPr>
        <w:widowControl/>
        <w:numPr>
          <w:ilvl w:val="0"/>
          <w:numId w:val="2"/>
        </w:numPr>
        <w:shd w:val="clear" w:color="auto" w:fill="FFFFFF"/>
        <w:jc w:val="left"/>
        <w:rPr>
          <w:rFonts w:ascii="微软雅黑" w:hAnsi="微软雅黑" w:eastAsia="微软雅黑" w:cs="微软雅黑"/>
          <w:b/>
          <w:bCs/>
          <w:color w:val="333333"/>
          <w:kern w:val="0"/>
          <w:sz w:val="24"/>
        </w:rPr>
      </w:pPr>
      <w:r>
        <w:rPr>
          <w:rFonts w:hint="eastAsia" w:ascii="微软雅黑" w:hAnsi="微软雅黑" w:eastAsia="微软雅黑" w:cs="微软雅黑"/>
          <w:b/>
          <w:bCs/>
          <w:color w:val="333333"/>
          <w:kern w:val="0"/>
          <w:sz w:val="24"/>
        </w:rPr>
        <w:t>名词解释</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一、财政补助收入：指县级财政当年拨付的资金。</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二、其他收入：指除“财政拨款收入”、“上级补助收入”、“事业收入”、“经营收入”等以外的收入。主要是存款利息收入等。</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三、年初结转和结余：指以前年度尚未完成、结转到本年按有关规定继续使用的资金。</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四、一般公共服务（类）行政运行（项）：指县行政单位及参照公务员管理事业单位用于保障机构正常运行、开展日常工作的基本支出。</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六、一般公共服务（类）机关服务（项）：指县黄石港区人大服务中心为机关提供办公楼日常维修、维护等后勤保障服务的支出。</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七、一般公共服务（类）其他一般公共服务支出（款）其他一般公共服务支出（项）：指黄石港区人大用于其他一般公共服务方面的支出。</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八、教育（类）普通教育（款）高等教育（项）：指黄石港区人大厅支持地方高校的重点发展和特色办学，组织专家对省属院校申报的建设规划和项目预算进行评审等相关工作的支出。</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九、社会保障和就业(类)行政事业单位离退休（款）归口管理的行政单位离退休（项）：指黄石港区人大用于离退休人员的支出、退休人员支出，以及提供管理服务工作的离退休干部处的支出。</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十、社会保障和就业(类)行政事业单位离退休（款）其他行政事业单位离退休支出（项）：指黄石港区人大用于离退休方面的其他支出。</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十一、医疗卫生与计划生育（类）医疗保障（款）行政单位医疗（项）：指黄石港区人大用于机关干部职工及离退休人员医疗方面的支出。</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十二、住房保障（类）住房改革支出（款）购房补贴（项）：指按照相关住房分配货币化改革的政策规定和标准，对无房和住房未达标职工发放的住房分配货币化补贴资金。</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十三、年末结转和结余：指本年度或以前年度预算安排、因客观条件发生变化无法按原计划实施，需要延迟到以后年度按有关规定继续使用的资金。</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十四、基本支出：指为保障机构正常运转、完成日常工作任务而发生的人员支出（包括基本工资、津贴补贴等）和公用支出（包括办公费、水电费、邮电费、交通费、差旅费等）。</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十五、项目支出：指在基本支出之外为完成特定行政任务和事业发展目标所发生的支出。</w:t>
      </w:r>
    </w:p>
    <w:p>
      <w:pPr>
        <w:widowControl/>
        <w:shd w:val="clear" w:color="auto" w:fill="FFFFFF"/>
        <w:ind w:firstLine="480"/>
        <w:jc w:val="left"/>
        <w:rPr>
          <w:rFonts w:ascii="宋体" w:hAnsi="宋体" w:cs="宋体"/>
          <w:color w:val="333333"/>
          <w:kern w:val="0"/>
          <w:sz w:val="28"/>
          <w:szCs w:val="28"/>
        </w:rPr>
      </w:pPr>
      <w:r>
        <w:rPr>
          <w:rFonts w:hint="eastAsia" w:ascii="宋体" w:hAnsi="宋体" w:cs="宋体"/>
          <w:color w:val="333333"/>
          <w:kern w:val="0"/>
          <w:sz w:val="28"/>
          <w:szCs w:val="28"/>
        </w:rPr>
        <w:t>十六、“三公”经费：是指用财政拨款安排的因公出国（境）费、公务用车购置及运行维护费、公务接待费。</w:t>
      </w:r>
    </w:p>
    <w:p>
      <w:pPr>
        <w:widowControl/>
        <w:shd w:val="clear" w:color="auto" w:fill="FFFFFF"/>
        <w:spacing w:line="560" w:lineRule="exact"/>
        <w:ind w:firstLine="560" w:firstLineChars="200"/>
        <w:jc w:val="left"/>
        <w:rPr>
          <w:rFonts w:asciiTheme="minorEastAsia" w:hAnsiTheme="minorEastAsia" w:cstheme="minorEastAsia"/>
          <w:color w:val="333333"/>
          <w:kern w:val="0"/>
          <w:sz w:val="28"/>
          <w:szCs w:val="28"/>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C0D7B1E"/>
    <w:multiLevelType w:val="singleLevel"/>
    <w:tmpl w:val="9C0D7B1E"/>
    <w:lvl w:ilvl="0" w:tentative="0">
      <w:start w:val="2"/>
      <w:numFmt w:val="chineseCounting"/>
      <w:suff w:val="space"/>
      <w:lvlText w:val="第%1部分"/>
      <w:lvlJc w:val="left"/>
      <w:rPr>
        <w:rFonts w:hint="eastAsia"/>
      </w:rPr>
    </w:lvl>
  </w:abstractNum>
  <w:abstractNum w:abstractNumId="1">
    <w:nsid w:val="77E940AA"/>
    <w:multiLevelType w:val="singleLevel"/>
    <w:tmpl w:val="77E940AA"/>
    <w:lvl w:ilvl="0" w:tentative="0">
      <w:start w:val="4"/>
      <w:numFmt w:val="chineseCounting"/>
      <w:suff w:val="space"/>
      <w:lvlText w:val="第%1部分"/>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2D34"/>
    <w:rsid w:val="00023DFD"/>
    <w:rsid w:val="000370D4"/>
    <w:rsid w:val="00097F1A"/>
    <w:rsid w:val="000B7F93"/>
    <w:rsid w:val="000E14A9"/>
    <w:rsid w:val="000F6697"/>
    <w:rsid w:val="00155259"/>
    <w:rsid w:val="00156C31"/>
    <w:rsid w:val="001721AC"/>
    <w:rsid w:val="0019493B"/>
    <w:rsid w:val="002B5A1F"/>
    <w:rsid w:val="00354FCB"/>
    <w:rsid w:val="00383330"/>
    <w:rsid w:val="003B5246"/>
    <w:rsid w:val="004426EE"/>
    <w:rsid w:val="00442F7A"/>
    <w:rsid w:val="00456D95"/>
    <w:rsid w:val="00460591"/>
    <w:rsid w:val="004B2D34"/>
    <w:rsid w:val="00521E3D"/>
    <w:rsid w:val="005A096B"/>
    <w:rsid w:val="005A66A5"/>
    <w:rsid w:val="005C3B1A"/>
    <w:rsid w:val="006103B8"/>
    <w:rsid w:val="006153D3"/>
    <w:rsid w:val="00616D8B"/>
    <w:rsid w:val="00625407"/>
    <w:rsid w:val="00665B90"/>
    <w:rsid w:val="006C282C"/>
    <w:rsid w:val="006D4AE6"/>
    <w:rsid w:val="00726D6F"/>
    <w:rsid w:val="007F7971"/>
    <w:rsid w:val="00801862"/>
    <w:rsid w:val="00821486"/>
    <w:rsid w:val="0093363D"/>
    <w:rsid w:val="009E00F7"/>
    <w:rsid w:val="00A01BF7"/>
    <w:rsid w:val="00A704FE"/>
    <w:rsid w:val="00A84A8D"/>
    <w:rsid w:val="00B14379"/>
    <w:rsid w:val="00BB02D6"/>
    <w:rsid w:val="00C04EF2"/>
    <w:rsid w:val="00C2523D"/>
    <w:rsid w:val="00C6166E"/>
    <w:rsid w:val="00D02C6F"/>
    <w:rsid w:val="00D254FB"/>
    <w:rsid w:val="00D55410"/>
    <w:rsid w:val="00D873C1"/>
    <w:rsid w:val="00DC4FDE"/>
    <w:rsid w:val="00DF6650"/>
    <w:rsid w:val="00E10959"/>
    <w:rsid w:val="00E52CE5"/>
    <w:rsid w:val="00EB3B95"/>
    <w:rsid w:val="00EC1535"/>
    <w:rsid w:val="00ED7790"/>
    <w:rsid w:val="00EE6F9C"/>
    <w:rsid w:val="00F82EAB"/>
    <w:rsid w:val="00F967AB"/>
    <w:rsid w:val="00FA344C"/>
    <w:rsid w:val="00FB0D2A"/>
    <w:rsid w:val="00FC15C7"/>
    <w:rsid w:val="01956809"/>
    <w:rsid w:val="01BA2E7D"/>
    <w:rsid w:val="03E13881"/>
    <w:rsid w:val="04002347"/>
    <w:rsid w:val="041203B1"/>
    <w:rsid w:val="053B7BEB"/>
    <w:rsid w:val="0664587B"/>
    <w:rsid w:val="082D2354"/>
    <w:rsid w:val="08CA51BE"/>
    <w:rsid w:val="091E0D73"/>
    <w:rsid w:val="094B23EE"/>
    <w:rsid w:val="09FF39B4"/>
    <w:rsid w:val="0B0853F6"/>
    <w:rsid w:val="0B821CB6"/>
    <w:rsid w:val="0F243B6C"/>
    <w:rsid w:val="0F580F62"/>
    <w:rsid w:val="10157CA5"/>
    <w:rsid w:val="11411182"/>
    <w:rsid w:val="11B81420"/>
    <w:rsid w:val="11CE5DA7"/>
    <w:rsid w:val="12205D9B"/>
    <w:rsid w:val="13FA6E94"/>
    <w:rsid w:val="185C3B25"/>
    <w:rsid w:val="1A0D67D9"/>
    <w:rsid w:val="1D3216D7"/>
    <w:rsid w:val="1D823756"/>
    <w:rsid w:val="200A43EF"/>
    <w:rsid w:val="219E41B4"/>
    <w:rsid w:val="22565B06"/>
    <w:rsid w:val="255E033E"/>
    <w:rsid w:val="27272230"/>
    <w:rsid w:val="27390172"/>
    <w:rsid w:val="295F56C2"/>
    <w:rsid w:val="2ACE323E"/>
    <w:rsid w:val="2CCE2491"/>
    <w:rsid w:val="2D3B2CC0"/>
    <w:rsid w:val="2F081AB6"/>
    <w:rsid w:val="2F77436B"/>
    <w:rsid w:val="2FAC0088"/>
    <w:rsid w:val="2FDC7747"/>
    <w:rsid w:val="33B74977"/>
    <w:rsid w:val="35840005"/>
    <w:rsid w:val="386174B5"/>
    <w:rsid w:val="39092A06"/>
    <w:rsid w:val="3C145B31"/>
    <w:rsid w:val="3DB74DB1"/>
    <w:rsid w:val="400B561B"/>
    <w:rsid w:val="401A2F36"/>
    <w:rsid w:val="408F5EDF"/>
    <w:rsid w:val="44064590"/>
    <w:rsid w:val="44B72F6C"/>
    <w:rsid w:val="457D21A1"/>
    <w:rsid w:val="46583570"/>
    <w:rsid w:val="486A3980"/>
    <w:rsid w:val="49D83A19"/>
    <w:rsid w:val="4A187DA8"/>
    <w:rsid w:val="4CC36F4D"/>
    <w:rsid w:val="4D642AF6"/>
    <w:rsid w:val="4E192D09"/>
    <w:rsid w:val="4FCC39E6"/>
    <w:rsid w:val="502F6272"/>
    <w:rsid w:val="507C1CF5"/>
    <w:rsid w:val="53FA08DA"/>
    <w:rsid w:val="57193076"/>
    <w:rsid w:val="5B082596"/>
    <w:rsid w:val="5D19252C"/>
    <w:rsid w:val="5DA67D92"/>
    <w:rsid w:val="5EF27DB1"/>
    <w:rsid w:val="5F966E19"/>
    <w:rsid w:val="613D3FD0"/>
    <w:rsid w:val="61773BFF"/>
    <w:rsid w:val="621B3808"/>
    <w:rsid w:val="67E4782B"/>
    <w:rsid w:val="68DF4503"/>
    <w:rsid w:val="69BC7058"/>
    <w:rsid w:val="6A5F0092"/>
    <w:rsid w:val="6FC62DF1"/>
    <w:rsid w:val="746766E2"/>
    <w:rsid w:val="74EA7B66"/>
    <w:rsid w:val="78186405"/>
    <w:rsid w:val="784C1E5B"/>
    <w:rsid w:val="793C0EA7"/>
    <w:rsid w:val="796F54E7"/>
    <w:rsid w:val="7D417A4A"/>
    <w:rsid w:val="7FC942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Autospacing="1" w:afterAutospacing="1"/>
      <w:jc w:val="left"/>
      <w:outlineLvl w:val="4"/>
    </w:pPr>
    <w:rPr>
      <w:rFonts w:hint="eastAsia" w:ascii="宋体" w:hAnsi="宋体" w:eastAsia="宋体" w:cs="Times New Roman"/>
      <w:b/>
      <w:kern w:val="0"/>
      <w:sz w:val="20"/>
      <w:szCs w:val="20"/>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Body Text Indent"/>
    <w:basedOn w:val="1"/>
    <w:qFormat/>
    <w:uiPriority w:val="0"/>
    <w:pPr>
      <w:spacing w:line="500" w:lineRule="exact"/>
      <w:ind w:firstLine="640" w:firstLineChars="200"/>
    </w:pPr>
    <w:rPr>
      <w:rFonts w:ascii="宋体"/>
      <w:sz w:val="32"/>
    </w:rPr>
  </w:style>
  <w:style w:type="paragraph" w:styleId="4">
    <w:name w:val="Plain Text"/>
    <w:basedOn w:val="1"/>
    <w:qFormat/>
    <w:uiPriority w:val="0"/>
    <w:rPr>
      <w:rFonts w:ascii="宋体" w:hAnsi="Courier New" w:cs="Courier New"/>
      <w:szCs w:val="21"/>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Autospacing="1" w:afterAutospacing="1"/>
      <w:jc w:val="left"/>
    </w:pPr>
    <w:rPr>
      <w:rFonts w:cs="Times New Roman"/>
      <w:kern w:val="0"/>
      <w:sz w:val="24"/>
    </w:rPr>
  </w:style>
  <w:style w:type="table" w:styleId="9">
    <w:name w:val="Table Grid"/>
    <w:basedOn w:val="8"/>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Strong"/>
    <w:basedOn w:val="10"/>
    <w:qFormat/>
    <w:uiPriority w:val="0"/>
    <w:rPr>
      <w:b/>
    </w:rPr>
  </w:style>
  <w:style w:type="paragraph" w:customStyle="1" w:styleId="12">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3">
    <w:name w:val="ca-2"/>
    <w:basedOn w:val="10"/>
    <w:qFormat/>
    <w:uiPriority w:val="0"/>
  </w:style>
  <w:style w:type="paragraph" w:customStyle="1" w:styleId="14">
    <w:name w:val="普通(网站)1"/>
    <w:basedOn w:val="1"/>
    <w:qFormat/>
    <w:uiPriority w:val="0"/>
    <w:pPr>
      <w:widowControl/>
      <w:spacing w:before="100" w:beforeAutospacing="1" w:after="100" w:afterAutospacing="1"/>
      <w:jc w:val="left"/>
    </w:pPr>
    <w:rPr>
      <w:rFonts w:ascii="宋体" w:hAnsi="宋体" w:cs="宋体"/>
      <w:kern w:val="0"/>
      <w:sz w:val="24"/>
    </w:rPr>
  </w:style>
  <w:style w:type="character" w:customStyle="1" w:styleId="15">
    <w:name w:val="ca-3"/>
    <w:basedOn w:val="10"/>
    <w:qFormat/>
    <w:uiPriority w:val="0"/>
  </w:style>
  <w:style w:type="character" w:customStyle="1" w:styleId="16">
    <w:name w:val="apple-converted-space"/>
    <w:basedOn w:val="10"/>
    <w:qFormat/>
    <w:uiPriority w:val="99"/>
  </w:style>
  <w:style w:type="paragraph" w:customStyle="1" w:styleId="17">
    <w:name w:val="pa-1"/>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19</Pages>
  <Words>1517</Words>
  <Characters>8651</Characters>
  <Lines>72</Lines>
  <Paragraphs>20</Paragraphs>
  <TotalTime>1</TotalTime>
  <ScaleCrop>false</ScaleCrop>
  <LinksUpToDate>false</LinksUpToDate>
  <CharactersWithSpaces>10148</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2021-09-01T01:46:00Z</dcterms:created>
  <dc:creator>gg</dc:creator>
  <cp:lastModifiedBy>盼</cp:lastModifiedBy>
  <dcterms:modified xsi:type="dcterms:W3CDTF">2021-09-15T03:04:19Z</dcterms:modified>
  <cp:revision>60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ies>
</file>