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060000" w:fill="FFFFFF"/>
        <w:spacing w:beforeAutospacing="0" w:after="375" w:afterAutospacing="0" w:line="450" w:lineRule="atLeast"/>
        <w:jc w:val="center"/>
        <w:rPr>
          <w:rFonts w:hint="default" w:ascii="微软雅黑" w:hAnsi="微软雅黑" w:eastAsia="微软雅黑" w:cs="微软雅黑"/>
          <w:color w:val="BC1010"/>
          <w:sz w:val="40"/>
          <w:szCs w:val="40"/>
        </w:rPr>
      </w:pPr>
      <w:r>
        <w:rPr>
          <w:rFonts w:ascii="微软雅黑" w:hAnsi="微软雅黑" w:eastAsia="微软雅黑" w:cs="微软雅黑"/>
          <w:color w:val="BC1010"/>
          <w:sz w:val="40"/>
          <w:szCs w:val="40"/>
          <w:shd w:val="clear" w:color="080000" w:fill="FFFFFF"/>
        </w:rPr>
        <w:t>司法局2020年决算公开</w:t>
      </w:r>
    </w:p>
    <w:p>
      <w:pPr>
        <w:pStyle w:val="13"/>
        <w:spacing w:before="76" w:beforeAutospacing="0" w:after="76" w:afterAutospacing="0" w:line="450" w:lineRule="atLeast"/>
        <w:ind w:firstLine="420"/>
        <w:rPr>
          <w:color w:val="333333"/>
        </w:rPr>
      </w:pPr>
      <w:r>
        <w:rPr>
          <w:rStyle w:val="9"/>
          <w:rFonts w:hint="eastAsia" w:ascii="微软雅黑" w:hAnsi="微软雅黑" w:eastAsia="微软雅黑" w:cs="微软雅黑"/>
          <w:color w:val="333333"/>
          <w:shd w:val="clear" w:color="080000" w:fill="FFFFFF"/>
        </w:rPr>
        <w:t xml:space="preserve">                                       黄石港区司法局2020年决算公开</w:t>
      </w:r>
    </w:p>
    <w:p>
      <w:pPr>
        <w:pStyle w:val="13"/>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080000" w:fill="FFFFFF"/>
        </w:rPr>
        <w:t>目  录</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第一部分:部门基本情况</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一、部门主要职责</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二、部门决算单位构成</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第二部分: 部门2020年部门决算表</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一、收入支出决算总表（表1）</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二、收入决算表（表2）</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三、支出决算表（表3）</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四、财政拨款收入支出决算总表（表4）</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五、一般公共预算财政拨款支出决算表（表5）</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六、一般公共预算财政拨款基本支出决算表（表6）</w:t>
      </w:r>
    </w:p>
    <w:p>
      <w:pPr>
        <w:pStyle w:val="13"/>
        <w:spacing w:before="76" w:beforeAutospacing="0" w:after="76" w:afterAutospacing="0" w:line="450" w:lineRule="atLeast"/>
        <w:ind w:firstLine="420"/>
        <w:rPr>
          <w:rFonts w:hint="eastAsia" w:ascii="微软雅黑" w:hAnsi="微软雅黑" w:eastAsia="微软雅黑" w:cs="微软雅黑"/>
          <w:color w:val="333333"/>
          <w:shd w:val="clear" w:color="090000" w:fill="FFFFFF"/>
        </w:rPr>
      </w:pPr>
      <w:r>
        <w:rPr>
          <w:rFonts w:hint="eastAsia" w:ascii="微软雅黑" w:hAnsi="微软雅黑" w:eastAsia="微软雅黑" w:cs="微软雅黑"/>
          <w:color w:val="333333"/>
          <w:shd w:val="clear" w:color="090000" w:fill="FFFFFF"/>
        </w:rPr>
        <w:t>七、一般公共预算财政拨款“三公”经费支出决算表（表7）</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default"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八、政府性基金预算财政拨款收入支出决算表（表8）</w:t>
      </w:r>
    </w:p>
    <w:p>
      <w:pPr>
        <w:pStyle w:val="13"/>
        <w:spacing w:before="76" w:beforeAutospacing="0" w:after="76" w:afterAutospacing="0" w:line="450" w:lineRule="atLeast"/>
        <w:ind w:firstLine="480" w:firstLineChars="200"/>
        <w:rPr>
          <w:color w:val="333333"/>
        </w:rPr>
      </w:pPr>
      <w:r>
        <w:rPr>
          <w:rFonts w:hint="eastAsia" w:ascii="微软雅黑" w:hAnsi="微软雅黑" w:eastAsia="微软雅黑" w:cs="微软雅黑"/>
          <w:color w:val="333333"/>
          <w:shd w:val="clear" w:color="090000" w:fill="FFFFFF"/>
        </w:rPr>
        <w:t>第三部分：部门2020年部门决算情况说明</w:t>
      </w:r>
    </w:p>
    <w:p>
      <w:pPr>
        <w:pStyle w:val="13"/>
        <w:spacing w:before="76" w:beforeAutospacing="0" w:after="76" w:afterAutospacing="0" w:line="450" w:lineRule="atLeast"/>
        <w:ind w:firstLine="420"/>
        <w:rPr>
          <w:rFonts w:ascii="微软雅黑" w:hAnsi="微软雅黑" w:eastAsia="微软雅黑" w:cs="微软雅黑"/>
          <w:color w:val="333333"/>
          <w:shd w:val="clear" w:color="080000" w:fill="FFFFFF"/>
        </w:rPr>
      </w:pPr>
      <w:r>
        <w:rPr>
          <w:rFonts w:hint="eastAsia" w:ascii="微软雅黑" w:hAnsi="微软雅黑" w:eastAsia="微软雅黑" w:cs="微软雅黑"/>
          <w:color w:val="333333"/>
          <w:shd w:val="clear" w:color="080000" w:fill="FFFFFF"/>
        </w:rPr>
        <w:t>一、预算执行情况分析</w:t>
      </w:r>
    </w:p>
    <w:p>
      <w:pPr>
        <w:pStyle w:val="13"/>
        <w:spacing w:before="76" w:beforeAutospacing="0" w:after="76" w:afterAutospacing="0" w:line="450" w:lineRule="atLeast"/>
        <w:ind w:firstLine="420"/>
        <w:rPr>
          <w:rFonts w:ascii="微软雅黑" w:hAnsi="微软雅黑" w:eastAsia="微软雅黑" w:cs="微软雅黑"/>
          <w:color w:val="333333"/>
          <w:shd w:val="clear" w:color="080000" w:fill="FFFFFF"/>
        </w:rPr>
      </w:pPr>
      <w:r>
        <w:rPr>
          <w:rFonts w:hint="eastAsia" w:ascii="微软雅黑" w:hAnsi="微软雅黑" w:eastAsia="微软雅黑" w:cs="微软雅黑"/>
          <w:color w:val="333333"/>
          <w:shd w:val="clear" w:color="080000" w:fill="FFFFFF"/>
        </w:rPr>
        <w:t>二、关于“三公”经费支出说明</w:t>
      </w:r>
    </w:p>
    <w:p>
      <w:pPr>
        <w:pStyle w:val="13"/>
        <w:spacing w:before="76" w:beforeAutospacing="0" w:after="76" w:afterAutospacing="0" w:line="450" w:lineRule="atLeast"/>
        <w:ind w:firstLine="420"/>
        <w:rPr>
          <w:rFonts w:ascii="微软雅黑" w:hAnsi="微软雅黑" w:eastAsia="微软雅黑" w:cs="微软雅黑"/>
          <w:color w:val="333333"/>
          <w:shd w:val="clear" w:color="080000" w:fill="FFFFFF"/>
        </w:rPr>
      </w:pPr>
      <w:r>
        <w:rPr>
          <w:rFonts w:hint="eastAsia" w:ascii="微软雅黑" w:hAnsi="微软雅黑" w:eastAsia="微软雅黑" w:cs="微软雅黑"/>
          <w:color w:val="333333"/>
          <w:shd w:val="clear" w:color="080000" w:fill="FFFFFF"/>
        </w:rPr>
        <w:t>三、关于机关运行经费支出说明</w:t>
      </w:r>
    </w:p>
    <w:p>
      <w:pPr>
        <w:pStyle w:val="13"/>
        <w:spacing w:before="76" w:beforeAutospacing="0" w:after="76" w:afterAutospacing="0" w:line="450" w:lineRule="atLeast"/>
        <w:ind w:firstLine="420"/>
        <w:rPr>
          <w:rFonts w:ascii="微软雅黑" w:hAnsi="微软雅黑" w:eastAsia="微软雅黑" w:cs="微软雅黑"/>
          <w:color w:val="333333"/>
          <w:shd w:val="clear" w:color="080000" w:fill="FFFFFF"/>
        </w:rPr>
      </w:pPr>
      <w:r>
        <w:rPr>
          <w:rFonts w:hint="eastAsia" w:ascii="微软雅黑" w:hAnsi="微软雅黑" w:eastAsia="微软雅黑" w:cs="微软雅黑"/>
          <w:color w:val="333333"/>
          <w:shd w:val="clear" w:color="080000" w:fill="FFFFFF"/>
        </w:rPr>
        <w:t>四、关于政府采购支出说明</w:t>
      </w:r>
    </w:p>
    <w:p>
      <w:pPr>
        <w:pStyle w:val="13"/>
        <w:spacing w:before="76" w:beforeAutospacing="0" w:after="76" w:afterAutospacing="0" w:line="450" w:lineRule="atLeast"/>
        <w:ind w:firstLine="420"/>
        <w:rPr>
          <w:rFonts w:ascii="微软雅黑" w:hAnsi="微软雅黑" w:eastAsia="微软雅黑" w:cs="微软雅黑"/>
          <w:color w:val="333333"/>
          <w:shd w:val="clear" w:color="080000" w:fill="FFFFFF"/>
        </w:rPr>
      </w:pPr>
      <w:r>
        <w:rPr>
          <w:rFonts w:hint="eastAsia" w:ascii="微软雅黑" w:hAnsi="微软雅黑" w:eastAsia="微软雅黑" w:cs="微软雅黑"/>
          <w:color w:val="333333"/>
          <w:shd w:val="clear" w:color="080000" w:fill="FFFFFF"/>
        </w:rPr>
        <w:t>五、关于国有资产占用情况说明</w:t>
      </w:r>
    </w:p>
    <w:p>
      <w:pPr>
        <w:pStyle w:val="6"/>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六、重点绩效评价结果等预算绩效情况说明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七、决算收支增减变化情况</w:t>
      </w:r>
    </w:p>
    <w:p>
      <w:pPr>
        <w:pStyle w:val="6"/>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第四部分：名词解释 </w:t>
      </w:r>
    </w:p>
    <w:p>
      <w:pPr>
        <w:pStyle w:val="13"/>
        <w:spacing w:before="76" w:beforeAutospacing="0" w:after="76" w:afterAutospacing="0" w:line="450" w:lineRule="atLeast"/>
        <w:rPr>
          <w:rStyle w:val="9"/>
          <w:rFonts w:ascii="微软雅黑" w:hAnsi="微软雅黑" w:eastAsia="微软雅黑" w:cs="微软雅黑"/>
          <w:color w:val="333333"/>
          <w:shd w:val="clear" w:color="080000" w:fill="FFFFFF"/>
        </w:rPr>
      </w:pPr>
    </w:p>
    <w:p>
      <w:pPr>
        <w:pStyle w:val="13"/>
        <w:spacing w:before="76" w:beforeAutospacing="0" w:after="76" w:afterAutospacing="0" w:line="450" w:lineRule="atLeast"/>
        <w:ind w:firstLine="420"/>
        <w:jc w:val="center"/>
        <w:rPr>
          <w:rStyle w:val="9"/>
          <w:rFonts w:ascii="微软雅黑" w:hAnsi="微软雅黑" w:eastAsia="微软雅黑" w:cs="微软雅黑"/>
          <w:shd w:val="clear" w:color="080000" w:fill="FFFFFF"/>
        </w:rPr>
      </w:pPr>
      <w:r>
        <w:rPr>
          <w:rStyle w:val="9"/>
          <w:rFonts w:hint="eastAsia" w:ascii="微软雅黑" w:hAnsi="微软雅黑" w:eastAsia="微软雅黑" w:cs="微软雅黑"/>
          <w:color w:val="333333"/>
          <w:shd w:val="clear" w:color="080000" w:fill="FFFFFF"/>
        </w:rPr>
        <w:t>2020年部门决算</w:t>
      </w:r>
    </w:p>
    <w:p>
      <w:pPr>
        <w:pStyle w:val="13"/>
        <w:spacing w:before="76" w:beforeAutospacing="0" w:after="76" w:afterAutospacing="0" w:line="450" w:lineRule="atLeast"/>
        <w:ind w:firstLine="420"/>
        <w:rPr>
          <w:color w:val="333333"/>
        </w:rPr>
      </w:pPr>
      <w:r>
        <w:rPr>
          <w:rStyle w:val="9"/>
          <w:rFonts w:hint="eastAsia" w:ascii="微软雅黑" w:hAnsi="微软雅黑" w:eastAsia="微软雅黑" w:cs="微软雅黑"/>
          <w:color w:val="333333"/>
          <w:shd w:val="clear" w:color="080000" w:fill="FFFFFF"/>
        </w:rPr>
        <w:t>第一部分：部门基本情况</w:t>
      </w:r>
    </w:p>
    <w:p>
      <w:pPr>
        <w:spacing w:line="560" w:lineRule="exact"/>
        <w:ind w:firstLine="480" w:firstLineChars="200"/>
        <w:rPr>
          <w:rFonts w:ascii="微软雅黑" w:hAnsi="微软雅黑" w:eastAsia="微软雅黑" w:cs="微软雅黑"/>
          <w:b/>
          <w:color w:val="333333"/>
          <w:kern w:val="0"/>
          <w:sz w:val="24"/>
          <w:shd w:val="clear" w:color="080000" w:fill="FFFFFF"/>
        </w:rPr>
      </w:pPr>
      <w:r>
        <w:rPr>
          <w:rFonts w:hint="eastAsia" w:ascii="微软雅黑" w:hAnsi="微软雅黑" w:eastAsia="微软雅黑" w:cs="微软雅黑"/>
          <w:b/>
          <w:color w:val="333333"/>
          <w:kern w:val="0"/>
          <w:sz w:val="24"/>
          <w:shd w:val="clear" w:color="080000" w:fill="FFFFFF"/>
        </w:rPr>
        <w:t>（一）部门主要职责</w:t>
      </w:r>
    </w:p>
    <w:p>
      <w:pPr>
        <w:spacing w:line="560" w:lineRule="exact"/>
        <w:rPr>
          <w:rFonts w:ascii="微软雅黑" w:hAnsi="微软雅黑" w:eastAsia="微软雅黑" w:cs="微软雅黑"/>
          <w:color w:val="333333"/>
          <w:kern w:val="0"/>
          <w:sz w:val="24"/>
          <w:shd w:val="clear" w:color="080000" w:fill="FFFFFF"/>
        </w:rPr>
      </w:pPr>
      <w:r>
        <w:rPr>
          <w:rFonts w:hint="eastAsia" w:ascii="微软雅黑" w:hAnsi="微软雅黑" w:eastAsia="微软雅黑" w:cs="微软雅黑"/>
          <w:color w:val="333333"/>
          <w:kern w:val="0"/>
          <w:sz w:val="24"/>
          <w:shd w:val="clear" w:color="080000" w:fill="FFFFFF"/>
        </w:rPr>
        <w:t xml:space="preserve">    区司法局是区政府主管全区司法行政工作的职能部门，其主要职责有三项：一是履行法治宣传职能作用，开展普法依法治理工作；二是履行法律保障职能作用，开展人民调解、社区矫正、帮教安置工作；三是履行法律服务职能作用，开展依法治区、律师、基层法律服务、法律援助工作。</w:t>
      </w:r>
    </w:p>
    <w:p>
      <w:pPr>
        <w:spacing w:line="560" w:lineRule="exact"/>
        <w:ind w:firstLine="360" w:firstLineChars="150"/>
        <w:rPr>
          <w:rFonts w:ascii="微软雅黑" w:hAnsi="微软雅黑" w:eastAsia="微软雅黑" w:cs="微软雅黑"/>
          <w:b/>
          <w:color w:val="333333"/>
          <w:kern w:val="0"/>
          <w:sz w:val="24"/>
          <w:shd w:val="clear" w:color="080000" w:fill="FFFFFF"/>
        </w:rPr>
      </w:pPr>
      <w:r>
        <w:rPr>
          <w:rFonts w:hint="eastAsia" w:ascii="微软雅黑" w:hAnsi="微软雅黑" w:eastAsia="微软雅黑" w:cs="微软雅黑"/>
          <w:b/>
          <w:color w:val="333333"/>
          <w:kern w:val="0"/>
          <w:sz w:val="24"/>
          <w:shd w:val="clear" w:color="080000" w:fill="FFFFFF"/>
        </w:rPr>
        <w:t>（二）单位基本信息(机构设置等)</w:t>
      </w:r>
    </w:p>
    <w:p>
      <w:pPr>
        <w:pStyle w:val="6"/>
        <w:spacing w:beforeAutospacing="0" w:afterAutospacing="0" w:line="540" w:lineRule="exact"/>
        <w:ind w:left="420" w:leftChars="200"/>
        <w:jc w:val="both"/>
        <w:rPr>
          <w:rFonts w:ascii="微软雅黑" w:hAnsi="微软雅黑" w:eastAsia="微软雅黑" w:cs="微软雅黑"/>
          <w:color w:val="333333"/>
          <w:shd w:val="clear" w:color="080000" w:fill="FFFFFF"/>
        </w:rPr>
      </w:pPr>
      <w:r>
        <w:rPr>
          <w:rFonts w:hint="eastAsia" w:ascii="微软雅黑" w:hAnsi="微软雅黑" w:eastAsia="微软雅黑" w:cs="微软雅黑"/>
          <w:color w:val="333333"/>
          <w:shd w:val="clear" w:color="080000" w:fill="FFFFFF"/>
        </w:rPr>
        <w:t>（一）加强政治机关建设</w:t>
      </w:r>
    </w:p>
    <w:p>
      <w:pPr>
        <w:pStyle w:val="6"/>
        <w:spacing w:beforeAutospacing="0" w:afterAutospacing="0" w:line="540" w:lineRule="exact"/>
        <w:ind w:firstLine="480" w:firstLineChars="200"/>
        <w:jc w:val="both"/>
        <w:rPr>
          <w:rFonts w:ascii="微软雅黑" w:hAnsi="微软雅黑" w:eastAsia="微软雅黑" w:cs="微软雅黑"/>
          <w:color w:val="333333"/>
          <w:shd w:val="clear" w:color="080000" w:fill="FFFFFF"/>
        </w:rPr>
      </w:pPr>
      <w:r>
        <w:rPr>
          <w:rFonts w:hint="eastAsia" w:ascii="微软雅黑" w:hAnsi="微软雅黑" w:eastAsia="微软雅黑" w:cs="微软雅黑"/>
          <w:color w:val="333333"/>
          <w:shd w:val="clear" w:color="080000" w:fill="FFFFFF"/>
        </w:rPr>
        <w:t>1.强化政治理论学习。一是加强党组学习。制定了《中共黄石港区司法局党组2020年党组理论学习中心组（扩大）学习安排》，坚持个人学习与集中学习相结合、辅导讲座与专题讨论相结合，先后围绕习近平在决战决胜脱贫攻坚座谈会上的讲话，中共十九届五中全会精神，中共中央关于制定国民经济和社会发展第十四个五年规划和二0三五年远景目标的建议等主题组织9次专题学习。二是利用每周一夜学和每月第一个周六的主题党日活动，领导班子宣讲学、座谈交流研讨学等形式，深入学习习近平总书记新时代中国特色社会主义思想，重点学习习近平总书记系列讲话精神。截止目前累计组织夜学35次，开展主题党日学习教育活动11次。</w:t>
      </w:r>
    </w:p>
    <w:p>
      <w:pPr>
        <w:pStyle w:val="6"/>
        <w:spacing w:beforeAutospacing="0" w:afterAutospacing="0" w:line="540" w:lineRule="exact"/>
        <w:ind w:firstLine="480" w:firstLineChars="200"/>
        <w:jc w:val="both"/>
        <w:rPr>
          <w:rFonts w:ascii="微软雅黑" w:hAnsi="微软雅黑" w:eastAsia="微软雅黑" w:cs="微软雅黑"/>
          <w:color w:val="333333"/>
          <w:shd w:val="clear" w:color="080000" w:fill="FFFFFF"/>
        </w:rPr>
      </w:pPr>
      <w:r>
        <w:rPr>
          <w:rFonts w:hint="eastAsia" w:ascii="微软雅黑" w:hAnsi="微软雅黑" w:eastAsia="微软雅黑" w:cs="微软雅黑"/>
          <w:color w:val="333333"/>
          <w:shd w:val="clear" w:color="080000" w:fill="FFFFFF"/>
        </w:rPr>
        <w:t>2.加强党建责任落实。实行“一岗双责”，党组书记切实履行第一责任人职责，班子成员带头履行抓党建的工作责任。认真落实以“三会一课”为主要内容的组织生活制度，把“主题党日活动”作为落实“三会一课”的有效途径，截止目前局党组书记带头讲党课5次。落实党员领导干部参加双重组织生活会制度，坚持高质量地召开民主生活会和专题组织生活会.5月11日份召开了局党组扩大会议和党支部班子会议，就整改工作和巡察整改专题组织生活会进行了全面安排部署，并于5月22日召开了巡查整改专题组织生活会。局党组针对区委巡查组巡察反馈存在的5方面12大类18个具体问题，分别落实到责任领导和责任个人，明确了整改完成时限，将巡察反馈的问题清单建立整改台账，针对存在的问题逐一对账销号，确保件件有落实、件件有回音。通过对区委巡察组巡察反馈意见的整改，制定整改措施18条，追责问责18人次。</w:t>
      </w:r>
    </w:p>
    <w:p>
      <w:pPr>
        <w:spacing w:line="540" w:lineRule="exact"/>
        <w:ind w:firstLine="480" w:firstLineChars="200"/>
        <w:rPr>
          <w:rFonts w:ascii="微软雅黑" w:hAnsi="微软雅黑" w:eastAsia="微软雅黑" w:cs="微软雅黑"/>
          <w:color w:val="333333"/>
          <w:kern w:val="0"/>
          <w:sz w:val="24"/>
          <w:shd w:val="clear" w:color="080000" w:fill="FFFFFF"/>
        </w:rPr>
      </w:pPr>
      <w:r>
        <w:rPr>
          <w:rFonts w:hint="eastAsia" w:ascii="微软雅黑" w:hAnsi="微软雅黑" w:eastAsia="微软雅黑" w:cs="微软雅黑"/>
          <w:color w:val="333333"/>
          <w:kern w:val="0"/>
          <w:sz w:val="24"/>
          <w:shd w:val="clear" w:color="080000" w:fill="FFFFFF"/>
        </w:rPr>
        <w:t>3.强化党风廉政建设。充分利用“周一夜学”、支部主题党日、学习强国、黄石E党建APP等，组织全局党员干部开展党章党规党纪和法律法规有关知识测试。9月，组织全局党员干部参加全省“楚韵清风”党纪法规知识线上测试活动。全体党员干部认真学习严肃考试成绩优秀，平均分达到了94分，全局形成了全员“学法、遵法、守法、用法”的浓厚氛围。8月10日，局党组书记华成东同志利用夜学时间，组织全体党员干听取《牢记司法行政廉政风险点，坚持反腐倡廉》的廉政党课。进一步提高全局党员干部的思想认识，以实际行动来推进黄石港区司法局党风廉政建设的顺利开展。11月，根据省市纪委监委和政法委关于2020年“宣教月”活动安排，黄石港区司法局组织全体党员干部围绕正风肃纪反腐观看警示教育片《刮骨疗毒，淬炼铁军》《权利之刃，滥用成殇》，观看完后，司法局全体党员干部开展了专题交流研讨，强化学习教育。</w:t>
      </w:r>
    </w:p>
    <w:p>
      <w:pPr>
        <w:pStyle w:val="6"/>
        <w:spacing w:beforeAutospacing="0" w:afterAutospacing="0" w:line="540" w:lineRule="exact"/>
        <w:ind w:firstLine="480" w:firstLineChars="200"/>
        <w:jc w:val="both"/>
        <w:rPr>
          <w:rFonts w:ascii="微软雅黑" w:hAnsi="微软雅黑" w:eastAsia="微软雅黑" w:cs="微软雅黑"/>
          <w:color w:val="333333"/>
          <w:shd w:val="clear" w:color="080000" w:fill="FFFFFF"/>
        </w:rPr>
      </w:pPr>
      <w:r>
        <w:rPr>
          <w:rFonts w:hint="eastAsia" w:ascii="微软雅黑" w:hAnsi="微软雅黑" w:eastAsia="微软雅黑" w:cs="微软雅黑"/>
          <w:color w:val="333333"/>
          <w:shd w:val="clear" w:color="080000" w:fill="FFFFFF"/>
        </w:rPr>
        <w:t>（二）多措多举，全力做好疫情防控工作。</w:t>
      </w:r>
    </w:p>
    <w:p>
      <w:pPr>
        <w:pStyle w:val="6"/>
        <w:spacing w:beforeAutospacing="0" w:afterAutospacing="0" w:line="540" w:lineRule="exact"/>
        <w:ind w:firstLine="480" w:firstLineChars="200"/>
        <w:jc w:val="both"/>
        <w:rPr>
          <w:rFonts w:ascii="微软雅黑" w:hAnsi="微软雅黑" w:eastAsia="微软雅黑" w:cs="微软雅黑"/>
          <w:color w:val="333333"/>
          <w:shd w:val="clear" w:color="080000" w:fill="FFFFFF"/>
        </w:rPr>
      </w:pPr>
      <w:r>
        <w:rPr>
          <w:rFonts w:hint="eastAsia" w:ascii="微软雅黑" w:hAnsi="微软雅黑" w:eastAsia="微软雅黑" w:cs="微软雅黑"/>
          <w:color w:val="333333"/>
          <w:shd w:val="clear" w:color="080000" w:fill="FFFFFF"/>
        </w:rPr>
        <w:t>一是扎实做好安排部署工作。按照上级部门要求进行人员分组，安排3人负责武黄高速路口北大凯旋门哨卡的值守工作，6人在包保社区桂花湾社区参与防疫、值守等工作，并动员党员干部要积极发挥先锋模范带头作用。二是积极开展防疫排查。通过地毯式摸排的方式，到包保责任小区开展信息摸排工作，重点排查“四类”人员，确保“楼不漏户，户不漏人”。并向群众讲解疫情防护知识，呼吁群众做好隔离，减少外出活动，做好个人的疫情防范工作，形成了家喻户晓、群防群控的良好局面。三是持续加强疫情防控。坚持“疫情不解除、防控不结束”的原则，在包保责任小区门口设立检查站，配合社区严格落实值班制度，详细了解进出包保责任小区人员的出行史、接触史，对进出小区人员进行体温测量。</w:t>
      </w:r>
    </w:p>
    <w:p>
      <w:pPr>
        <w:spacing w:line="540" w:lineRule="exact"/>
        <w:ind w:firstLine="480" w:firstLineChars="200"/>
        <w:rPr>
          <w:rFonts w:ascii="微软雅黑" w:hAnsi="微软雅黑" w:eastAsia="微软雅黑" w:cs="微软雅黑"/>
          <w:color w:val="333333"/>
          <w:kern w:val="0"/>
          <w:sz w:val="24"/>
          <w:shd w:val="clear" w:color="080000" w:fill="FFFFFF"/>
        </w:rPr>
      </w:pPr>
      <w:r>
        <w:rPr>
          <w:rFonts w:hint="eastAsia" w:ascii="微软雅黑" w:hAnsi="微软雅黑" w:eastAsia="微软雅黑" w:cs="微软雅黑"/>
          <w:color w:val="333333"/>
          <w:kern w:val="0"/>
          <w:sz w:val="24"/>
          <w:shd w:val="clear" w:color="080000" w:fill="FFFFFF"/>
        </w:rPr>
        <w:t>（三）严格开展社区矫正和安置帮教工作</w:t>
      </w:r>
    </w:p>
    <w:p>
      <w:pPr>
        <w:spacing w:line="540" w:lineRule="exact"/>
        <w:ind w:firstLine="480" w:firstLineChars="200"/>
        <w:rPr>
          <w:rFonts w:ascii="微软雅黑" w:hAnsi="微软雅黑" w:eastAsia="微软雅黑" w:cs="微软雅黑"/>
          <w:color w:val="333333"/>
          <w:kern w:val="0"/>
          <w:sz w:val="24"/>
          <w:shd w:val="clear" w:color="080000" w:fill="FFFFFF"/>
        </w:rPr>
      </w:pPr>
      <w:r>
        <w:rPr>
          <w:rFonts w:hint="eastAsia" w:ascii="微软雅黑" w:hAnsi="微软雅黑" w:eastAsia="微软雅黑" w:cs="微软雅黑"/>
          <w:color w:val="333333"/>
          <w:kern w:val="0"/>
          <w:sz w:val="24"/>
          <w:shd w:val="clear" w:color="080000" w:fill="FFFFFF"/>
        </w:rPr>
        <w:t>1.做好疫情防控期间对社区矫正对象的管控工作</w:t>
      </w:r>
    </w:p>
    <w:p>
      <w:pPr>
        <w:spacing w:line="540" w:lineRule="exact"/>
        <w:ind w:firstLine="480" w:firstLineChars="200"/>
        <w:rPr>
          <w:rFonts w:ascii="微软雅黑" w:hAnsi="微软雅黑" w:eastAsia="微软雅黑" w:cs="微软雅黑"/>
          <w:color w:val="333333"/>
          <w:kern w:val="0"/>
          <w:sz w:val="24"/>
          <w:shd w:val="clear" w:color="080000" w:fill="FFFFFF"/>
        </w:rPr>
      </w:pPr>
      <w:r>
        <w:rPr>
          <w:rFonts w:hint="eastAsia" w:ascii="微软雅黑" w:hAnsi="微软雅黑" w:eastAsia="微软雅黑" w:cs="微软雅黑"/>
          <w:color w:val="333333"/>
          <w:kern w:val="0"/>
          <w:sz w:val="24"/>
          <w:shd w:val="clear" w:color="080000" w:fill="FFFFFF"/>
        </w:rPr>
        <w:t>疫情防控期间，我局强化信息化监管手段，取消开展集中性活动，取消请假审批和居住地变更审批，利用微信“位置实时共享”功能，每天与社区矫正对象一对一发起“位置共享”，实时准确掌握社区矫正对象位置。对矫正对象实行24小时随时查控，掌握其基本信息，报告记载动态情况，切实保证社区矫正对象不脱管、不漏管、不失控。组织矫正对象学习疫情防控相关知识及法律法规等，通过微信、QQ给社区矫正对象发送《给社区矫正对象的一份信》、《新冠状病毒感染肺炎防控工作有关法律知识问答》，让矫正人员通过加强自身学习，努力做到不恐慌、不焦虑、不传谣、不造谣、不信谣，遵纪守法，科学防控。截止目前矫正人员中无新冠肺炎病例和疑似病例。</w:t>
      </w:r>
    </w:p>
    <w:p>
      <w:pPr>
        <w:spacing w:line="540" w:lineRule="exact"/>
        <w:ind w:firstLine="480" w:firstLineChars="200"/>
        <w:rPr>
          <w:rFonts w:ascii="微软雅黑" w:hAnsi="微软雅黑" w:eastAsia="微软雅黑" w:cs="微软雅黑"/>
          <w:color w:val="333333"/>
          <w:kern w:val="0"/>
          <w:sz w:val="24"/>
          <w:shd w:val="clear" w:color="080000" w:fill="FFFFFF"/>
        </w:rPr>
      </w:pPr>
      <w:r>
        <w:rPr>
          <w:rFonts w:hint="eastAsia" w:ascii="微软雅黑" w:hAnsi="微软雅黑" w:eastAsia="微软雅黑" w:cs="微软雅黑"/>
          <w:color w:val="333333"/>
          <w:kern w:val="0"/>
          <w:sz w:val="24"/>
          <w:shd w:val="clear" w:color="080000" w:fill="FFFFFF"/>
        </w:rPr>
        <w:t>2.加强重点人员和重点时段防控，做好节假日和重点敏感时期的安全稳定工作</w:t>
      </w:r>
    </w:p>
    <w:p>
      <w:pPr>
        <w:spacing w:line="540" w:lineRule="exact"/>
        <w:ind w:firstLine="480" w:firstLineChars="200"/>
        <w:rPr>
          <w:rFonts w:ascii="微软雅黑" w:hAnsi="微软雅黑" w:eastAsia="微软雅黑" w:cs="微软雅黑"/>
          <w:color w:val="333333"/>
          <w:kern w:val="0"/>
          <w:sz w:val="24"/>
          <w:shd w:val="clear" w:color="080000" w:fill="FFFFFF"/>
        </w:rPr>
      </w:pPr>
      <w:r>
        <w:rPr>
          <w:rFonts w:hint="eastAsia" w:ascii="微软雅黑" w:hAnsi="微软雅黑" w:eastAsia="微软雅黑" w:cs="微软雅黑"/>
          <w:color w:val="333333"/>
          <w:kern w:val="0"/>
          <w:sz w:val="24"/>
          <w:shd w:val="clear" w:color="080000" w:fill="FFFFFF"/>
        </w:rPr>
        <w:t>围绕“五一”、“国庆”和“两会”期间的维稳工作要求，全面落实每日巡查、上门走访跟踪监管和手机定位管理，实时准确掌握社区矫正对象位置。切实保证社区矫正对象不脱管、不漏管、不失控，坚决杜绝社区矫正对象赴省进京上访和参加群体性活动，切实维护社会稳定。今年“两会”前，我局组织司法所、街道综治部门、社区网格员开展了一次社区矫正安全稳定大排查，通过入户走访、现场核查、电话询问以及走访社区矫正人员等方式，进一步掌握了社区矫正人员的家庭情况、生活工作状况、思想动态和现实表现。针对政治重点人、涉黑涉恶、涉邪教、涉恐涉爆、涉重大敏感案件等社区矫正对象，摸清了重点人员底数情况，做好了排查登记和造册备案等工作。我局现有涉邪教类矫正对象1人，针对该邪教类社区矫正对象个人情况、现实表现、心理特点等，落实“一人一策”，制定了个性化教育矫正方案，采取了有针对性的管控教育矫治措施，目前该邪教类社区矫正对象情况正常。截止目前，全区在册社区矫正对象82人，其中缓刑对象76人，暂予监外执行4人，假释2人。无一人出现脱管漏管重新犯罪，未发生任何有社会影响的重大案件。</w:t>
      </w:r>
    </w:p>
    <w:p>
      <w:pPr>
        <w:spacing w:line="540" w:lineRule="exact"/>
        <w:ind w:firstLine="480" w:firstLineChars="200"/>
        <w:rPr>
          <w:rFonts w:ascii="微软雅黑" w:hAnsi="微软雅黑" w:eastAsia="微软雅黑" w:cs="微软雅黑"/>
          <w:color w:val="333333"/>
          <w:kern w:val="0"/>
          <w:sz w:val="24"/>
          <w:shd w:val="clear" w:color="080000" w:fill="FFFFFF"/>
        </w:rPr>
      </w:pPr>
      <w:r>
        <w:rPr>
          <w:rFonts w:hint="eastAsia" w:ascii="微软雅黑" w:hAnsi="微软雅黑" w:eastAsia="微软雅黑" w:cs="微软雅黑"/>
          <w:color w:val="333333"/>
          <w:kern w:val="0"/>
          <w:sz w:val="24"/>
          <w:shd w:val="clear" w:color="080000" w:fill="FFFFFF"/>
        </w:rPr>
        <w:t>3.开展专项活动，促进社区矫正工作健康发展</w:t>
      </w:r>
    </w:p>
    <w:p>
      <w:pPr>
        <w:spacing w:line="540" w:lineRule="exact"/>
        <w:ind w:firstLine="480" w:firstLineChars="200"/>
        <w:rPr>
          <w:rFonts w:ascii="微软雅黑" w:hAnsi="微软雅黑" w:eastAsia="微软雅黑" w:cs="微软雅黑"/>
          <w:color w:val="333333"/>
          <w:kern w:val="0"/>
          <w:sz w:val="24"/>
          <w:shd w:val="clear" w:color="080000" w:fill="FFFFFF"/>
        </w:rPr>
      </w:pPr>
      <w:r>
        <w:rPr>
          <w:rFonts w:hint="eastAsia" w:ascii="微软雅黑" w:hAnsi="微软雅黑" w:eastAsia="微软雅黑" w:cs="微软雅黑"/>
          <w:color w:val="333333"/>
          <w:kern w:val="0"/>
          <w:sz w:val="24"/>
          <w:shd w:val="clear" w:color="080000" w:fill="FFFFFF"/>
        </w:rPr>
        <w:t>一是《社区矫正法》宣传贯彻落实情况。《中华人民共和国社区矫正法》于今年7月1日起全面施行，我局为推进贯彻落实《社区矫正法》，向区委、区政府领导进行了专题汇报，并呈报设立社区矫正管理局的请示报告。以全区普法依法治理办公室文件向全区各级各部门进行发文，组织开展《社区矫正法》学习培训活动，购买了《社区矫正法》及《社区矫正法释义》学习培训读本资料50套，营造良好的学习宣传氛围。今年以来，累计在社区矫正对象中开展《社区矫正法》学习宣传活动11场次共计274人次，在社区矫正工作人员中开展《社区矫正法》学习宣传活动5场次共计109人次，累计张贴《社区矫正法》宣传标语31条，悬挂横幅7条，发放《社区矫正法》宣传资料（书）254份。二是“中华魂”主题专项教育活动开展情况。7月7日，我局召开“中华魂”主题专项教育活动动员会及工作布置会，对“中华魂”主题教育读书演讲比赛活动进行安排部署。统一订购《科技托起强国梦》（青年读本）30本，为辖区内在册的35岁以下社区矫正对象每人发放一本。活动开展以来，我区各司法所利用每月集中学习时间，组织35岁以下社区矫正对象反复阅读、学习《科技托起强国梦》读本，先后开展“中华魂”主题专项教育16场次，社区矫正对象撰写心得体会60篇。</w:t>
      </w:r>
    </w:p>
    <w:p>
      <w:pPr>
        <w:spacing w:line="540" w:lineRule="exact"/>
        <w:ind w:firstLine="480" w:firstLineChars="200"/>
        <w:rPr>
          <w:rFonts w:ascii="微软雅黑" w:hAnsi="微软雅黑" w:eastAsia="微软雅黑" w:cs="微软雅黑"/>
          <w:color w:val="333333"/>
          <w:kern w:val="0"/>
          <w:sz w:val="24"/>
          <w:shd w:val="clear" w:color="080000" w:fill="FFFFFF"/>
        </w:rPr>
      </w:pPr>
      <w:r>
        <w:rPr>
          <w:rFonts w:hint="eastAsia" w:ascii="微软雅黑" w:hAnsi="微软雅黑" w:eastAsia="微软雅黑" w:cs="微软雅黑"/>
          <w:color w:val="333333"/>
          <w:kern w:val="0"/>
          <w:sz w:val="24"/>
          <w:shd w:val="clear" w:color="080000" w:fill="FFFFFF"/>
        </w:rPr>
        <w:t>4.组织开展“扫黑除恶”专项工作</w:t>
      </w:r>
    </w:p>
    <w:p>
      <w:pPr>
        <w:spacing w:line="540" w:lineRule="exact"/>
        <w:ind w:firstLine="480" w:firstLineChars="200"/>
        <w:rPr>
          <w:rFonts w:ascii="微软雅黑" w:hAnsi="微软雅黑" w:eastAsia="微软雅黑" w:cs="微软雅黑"/>
          <w:color w:val="333333"/>
          <w:kern w:val="0"/>
          <w:sz w:val="24"/>
          <w:shd w:val="clear" w:color="080000" w:fill="FFFFFF"/>
        </w:rPr>
      </w:pPr>
      <w:r>
        <w:rPr>
          <w:rFonts w:hint="eastAsia" w:ascii="微软雅黑" w:hAnsi="微软雅黑" w:eastAsia="微软雅黑" w:cs="微软雅黑"/>
          <w:color w:val="333333"/>
          <w:kern w:val="0"/>
          <w:sz w:val="24"/>
          <w:shd w:val="clear" w:color="080000" w:fill="FFFFFF"/>
        </w:rPr>
        <w:t>一是我局多次召开扫黑除恶工作动员会及工作布置会，传达上级扫黑除恶专项斗争工作会议精神，对扫黑除恶专项斗争工作进行安排部署。二是对辖区内82名在册社区矫正对象进行集中梳理，全面排查涉黑涉恶人员，及时掌握社区矫正对象动态，及时填写《社区矫正对象涉黑涉恶线索摸排登记表》和制作谈话笔录，确保社区矫正领域安全稳定；联系区政法委、公安分局等部门，对五年内监狱释放和三年内社区矫正解矫的刑满释放人员进行专项排查，核实刑满释放人员中有无重新违法犯罪、参加恶势力的情况，并建立对应台账，以防刑满释放人员被黑恶势力引诱、拉拢、发生重新违法犯罪。三是向社区矫正人员传达各级关于开展扫黑除恶专项斗争指示精神，告诫矫正对象要积极进行学习改造，坚决不参与黑恶势力，努力提高自身法律意识。今年以来，累计对社区矫正对象进行涉黑涉恶线索摸排谈话88人次。累计签订扫黑除恶专项责任书（承诺书）88份。开展社区矫正扫黑除恶专项斗争学习教育活动9场次共计156人次。</w:t>
      </w:r>
    </w:p>
    <w:p>
      <w:pPr>
        <w:spacing w:line="540" w:lineRule="exact"/>
        <w:ind w:firstLine="480" w:firstLineChars="200"/>
        <w:rPr>
          <w:rFonts w:ascii="微软雅黑" w:hAnsi="微软雅黑" w:eastAsia="微软雅黑" w:cs="微软雅黑"/>
          <w:color w:val="333333"/>
          <w:kern w:val="0"/>
          <w:sz w:val="24"/>
          <w:shd w:val="clear" w:color="080000" w:fill="FFFFFF"/>
        </w:rPr>
      </w:pPr>
      <w:r>
        <w:rPr>
          <w:rFonts w:hint="eastAsia" w:ascii="微软雅黑" w:hAnsi="微软雅黑" w:eastAsia="微软雅黑" w:cs="微软雅黑"/>
          <w:color w:val="333333"/>
          <w:kern w:val="0"/>
          <w:sz w:val="24"/>
          <w:shd w:val="clear" w:color="080000" w:fill="FFFFFF"/>
        </w:rPr>
        <w:t>（四）积极做好依法治区工作</w:t>
      </w:r>
    </w:p>
    <w:p>
      <w:pPr>
        <w:spacing w:line="540" w:lineRule="exact"/>
        <w:ind w:firstLine="480" w:firstLineChars="200"/>
        <w:rPr>
          <w:rFonts w:ascii="微软雅黑" w:hAnsi="微软雅黑" w:eastAsia="微软雅黑" w:cs="微软雅黑"/>
          <w:color w:val="333333"/>
          <w:kern w:val="0"/>
          <w:sz w:val="24"/>
          <w:shd w:val="clear" w:color="080000" w:fill="FFFFFF"/>
        </w:rPr>
      </w:pPr>
      <w:r>
        <w:rPr>
          <w:rFonts w:hint="eastAsia" w:ascii="微软雅黑" w:hAnsi="微软雅黑" w:eastAsia="微软雅黑" w:cs="微软雅黑"/>
          <w:color w:val="333333"/>
          <w:kern w:val="0"/>
          <w:sz w:val="24"/>
          <w:shd w:val="clear" w:color="080000" w:fill="FFFFFF"/>
        </w:rPr>
        <w:t>1.严格落实政府规范性文件合法性审查备案制度。坚持把合法化审查作为重大决策前置程序，2020年共对5件政府文件进行了合法性审查，并提出修改意见，其中政府规范性文件1件，回复区政府办征求意见4件，向市政府报备1件。完成全区18家规范性文件制定主体资格确认备案工作。为规范政府合同管理，对2018年1月1日至2020年7月30日期间签订的政府合同进行了清理，提出26个审核意见，并出具分析报告。开展涉及政府职能转变、民法典涉及行政法规规章、“放管服”改革、优化营商环境、野生动物保护、食品药品安全相关的规范性文件清理修订工作。涉及修改的规范性文件1件。</w:t>
      </w:r>
    </w:p>
    <w:p>
      <w:pPr>
        <w:spacing w:line="540" w:lineRule="exact"/>
        <w:ind w:firstLine="480" w:firstLineChars="200"/>
        <w:rPr>
          <w:rFonts w:ascii="微软雅黑" w:hAnsi="微软雅黑" w:eastAsia="微软雅黑" w:cs="微软雅黑"/>
          <w:color w:val="333333"/>
          <w:kern w:val="0"/>
          <w:sz w:val="24"/>
          <w:shd w:val="clear" w:color="080000" w:fill="FFFFFF"/>
        </w:rPr>
      </w:pPr>
      <w:r>
        <w:rPr>
          <w:rFonts w:hint="eastAsia" w:ascii="微软雅黑" w:hAnsi="微软雅黑" w:eastAsia="微软雅黑" w:cs="微软雅黑"/>
          <w:color w:val="333333"/>
          <w:kern w:val="0"/>
          <w:sz w:val="24"/>
          <w:shd w:val="clear" w:color="080000" w:fill="FFFFFF"/>
        </w:rPr>
        <w:t>2.</w:t>
      </w:r>
      <w:r>
        <w:rPr>
          <w:rFonts w:ascii="微软雅黑" w:hAnsi="微软雅黑" w:eastAsia="微软雅黑" w:cs="微软雅黑"/>
          <w:color w:val="333333"/>
          <w:kern w:val="0"/>
          <w:sz w:val="24"/>
          <w:shd w:val="clear" w:color="080000" w:fill="FFFFFF"/>
        </w:rPr>
        <w:t>全面推行行政执法“三项制度”</w:t>
      </w:r>
      <w:r>
        <w:rPr>
          <w:rFonts w:hint="eastAsia" w:ascii="微软雅黑" w:hAnsi="微软雅黑" w:eastAsia="微软雅黑" w:cs="微软雅黑"/>
          <w:color w:val="333333"/>
          <w:kern w:val="0"/>
          <w:sz w:val="24"/>
          <w:shd w:val="clear" w:color="080000" w:fill="FFFFFF"/>
        </w:rPr>
        <w:t>。指导和督促辖区行政执法部门全面推行行政执法“三项制度”落实到位，</w:t>
      </w:r>
      <w:r>
        <w:rPr>
          <w:rFonts w:ascii="微软雅黑" w:hAnsi="微软雅黑" w:eastAsia="微软雅黑" w:cs="微软雅黑"/>
          <w:color w:val="333333"/>
          <w:kern w:val="0"/>
          <w:sz w:val="24"/>
          <w:shd w:val="clear" w:color="080000" w:fill="FFFFFF"/>
        </w:rPr>
        <w:t>组织召开</w:t>
      </w:r>
      <w:r>
        <w:rPr>
          <w:rFonts w:hint="eastAsia" w:ascii="微软雅黑" w:hAnsi="微软雅黑" w:eastAsia="微软雅黑" w:cs="微软雅黑"/>
          <w:color w:val="333333"/>
          <w:kern w:val="0"/>
          <w:sz w:val="24"/>
          <w:shd w:val="clear" w:color="080000" w:fill="FFFFFF"/>
        </w:rPr>
        <w:t>区</w:t>
      </w:r>
      <w:r>
        <w:rPr>
          <w:rFonts w:ascii="微软雅黑" w:hAnsi="微软雅黑" w:eastAsia="微软雅黑" w:cs="微软雅黑"/>
          <w:color w:val="333333"/>
          <w:kern w:val="0"/>
          <w:sz w:val="24"/>
          <w:shd w:val="clear" w:color="080000" w:fill="FFFFFF"/>
        </w:rPr>
        <w:t>直单位法治联络员会议，定期在我</w:t>
      </w:r>
      <w:r>
        <w:rPr>
          <w:rFonts w:hint="eastAsia" w:ascii="微软雅黑" w:hAnsi="微软雅黑" w:eastAsia="微软雅黑" w:cs="微软雅黑"/>
          <w:color w:val="333333"/>
          <w:kern w:val="0"/>
          <w:sz w:val="24"/>
          <w:shd w:val="clear" w:color="080000" w:fill="FFFFFF"/>
        </w:rPr>
        <w:t>区</w:t>
      </w:r>
      <w:r>
        <w:rPr>
          <w:rFonts w:ascii="微软雅黑" w:hAnsi="微软雅黑" w:eastAsia="微软雅黑" w:cs="微软雅黑"/>
          <w:color w:val="333333"/>
          <w:kern w:val="0"/>
          <w:sz w:val="24"/>
          <w:shd w:val="clear" w:color="080000" w:fill="FFFFFF"/>
        </w:rPr>
        <w:t>“</w:t>
      </w:r>
      <w:r>
        <w:rPr>
          <w:rFonts w:hint="eastAsia" w:ascii="微软雅黑" w:hAnsi="微软雅黑" w:eastAsia="微软雅黑" w:cs="微软雅黑"/>
          <w:color w:val="333333"/>
          <w:kern w:val="0"/>
          <w:sz w:val="24"/>
          <w:shd w:val="clear" w:color="080000" w:fill="FFFFFF"/>
        </w:rPr>
        <w:t>法治</w:t>
      </w:r>
      <w:r>
        <w:rPr>
          <w:rFonts w:ascii="微软雅黑" w:hAnsi="微软雅黑" w:eastAsia="微软雅黑" w:cs="微软雅黑"/>
          <w:color w:val="333333"/>
          <w:kern w:val="0"/>
          <w:sz w:val="24"/>
          <w:shd w:val="clear" w:color="080000" w:fill="FFFFFF"/>
        </w:rPr>
        <w:t>工作群”上传《</w:t>
      </w:r>
      <w:r>
        <w:rPr>
          <w:rFonts w:hint="eastAsia" w:ascii="微软雅黑" w:hAnsi="微软雅黑" w:eastAsia="微软雅黑" w:cs="微软雅黑"/>
          <w:color w:val="333333"/>
          <w:kern w:val="0"/>
          <w:sz w:val="24"/>
          <w:shd w:val="clear" w:color="080000" w:fill="FFFFFF"/>
        </w:rPr>
        <w:t>区</w:t>
      </w:r>
      <w:r>
        <w:rPr>
          <w:rFonts w:ascii="微软雅黑" w:hAnsi="微软雅黑" w:eastAsia="微软雅黑" w:cs="微软雅黑"/>
          <w:color w:val="333333"/>
          <w:kern w:val="0"/>
          <w:sz w:val="24"/>
          <w:shd w:val="clear" w:color="080000" w:fill="FFFFFF"/>
        </w:rPr>
        <w:t>直单位行政执法“三项制度”清单、制度报送情况统计表》，通报行政执法“三项制度”推行情况</w:t>
      </w:r>
      <w:r>
        <w:rPr>
          <w:rFonts w:hint="eastAsia" w:ascii="微软雅黑" w:hAnsi="微软雅黑" w:eastAsia="微软雅黑" w:cs="微软雅黑"/>
          <w:color w:val="333333"/>
          <w:kern w:val="0"/>
          <w:sz w:val="24"/>
          <w:shd w:val="clear" w:color="080000" w:fill="FFFFFF"/>
        </w:rPr>
        <w:t>。</w:t>
      </w:r>
      <w:r>
        <w:rPr>
          <w:rFonts w:ascii="微软雅黑" w:hAnsi="微软雅黑" w:eastAsia="微软雅黑" w:cs="微软雅黑"/>
          <w:color w:val="333333"/>
          <w:kern w:val="0"/>
          <w:sz w:val="24"/>
          <w:shd w:val="clear" w:color="080000" w:fill="FFFFFF"/>
        </w:rPr>
        <w:t>为保证行政执法“三项制度”的全面推行，</w:t>
      </w:r>
      <w:r>
        <w:rPr>
          <w:rFonts w:hint="eastAsia" w:ascii="微软雅黑" w:hAnsi="微软雅黑" w:eastAsia="微软雅黑" w:cs="微软雅黑"/>
          <w:color w:val="333333"/>
          <w:kern w:val="0"/>
          <w:sz w:val="24"/>
          <w:shd w:val="clear" w:color="080000" w:fill="FFFFFF"/>
        </w:rPr>
        <w:t>由区委法治办牵头开展检查活动，抽调区司法局及区政府办机关人员组成检查组,对辖区23</w:t>
      </w:r>
      <w:r>
        <w:rPr>
          <w:rFonts w:ascii="微软雅黑" w:hAnsi="微软雅黑" w:eastAsia="微软雅黑" w:cs="微软雅黑"/>
          <w:color w:val="333333"/>
          <w:kern w:val="0"/>
          <w:sz w:val="24"/>
          <w:shd w:val="clear" w:color="080000" w:fill="FFFFFF"/>
        </w:rPr>
        <w:t>家行政执法单位开展行政执法“三项制度”推行情况的</w:t>
      </w:r>
      <w:r>
        <w:rPr>
          <w:rFonts w:hint="eastAsia" w:ascii="微软雅黑" w:hAnsi="微软雅黑" w:eastAsia="微软雅黑" w:cs="微软雅黑"/>
          <w:color w:val="333333"/>
          <w:kern w:val="0"/>
          <w:sz w:val="24"/>
          <w:shd w:val="clear" w:color="080000" w:fill="FFFFFF"/>
        </w:rPr>
        <w:t>检查</w:t>
      </w:r>
      <w:r>
        <w:rPr>
          <w:rFonts w:ascii="微软雅黑" w:hAnsi="微软雅黑" w:eastAsia="微软雅黑" w:cs="微软雅黑"/>
          <w:color w:val="333333"/>
          <w:kern w:val="0"/>
          <w:sz w:val="24"/>
          <w:shd w:val="clear" w:color="080000" w:fill="FFFFFF"/>
        </w:rPr>
        <w:t>。了解相关单位推行行政执法“三项制度”的情况，</w:t>
      </w:r>
      <w:r>
        <w:rPr>
          <w:rFonts w:hint="eastAsia" w:ascii="微软雅黑" w:hAnsi="微软雅黑" w:eastAsia="微软雅黑" w:cs="微软雅黑"/>
          <w:color w:val="333333"/>
          <w:kern w:val="0"/>
          <w:sz w:val="24"/>
          <w:shd w:val="clear" w:color="080000" w:fill="FFFFFF"/>
        </w:rPr>
        <w:t>现场检查督导。</w:t>
      </w:r>
      <w:r>
        <w:rPr>
          <w:rFonts w:ascii="微软雅黑" w:hAnsi="微软雅黑" w:eastAsia="微软雅黑" w:cs="微软雅黑"/>
          <w:color w:val="333333"/>
          <w:kern w:val="0"/>
          <w:sz w:val="24"/>
          <w:shd w:val="clear" w:color="080000" w:fill="FFFFFF"/>
        </w:rPr>
        <w:t>将发现的问题及时向相关单位反馈，督促相关单位改进工作，推动“三项制度”的进一步落实。</w:t>
      </w:r>
    </w:p>
    <w:p>
      <w:pPr>
        <w:spacing w:line="540" w:lineRule="exact"/>
        <w:ind w:firstLine="480" w:firstLineChars="200"/>
        <w:rPr>
          <w:rFonts w:ascii="微软雅黑" w:hAnsi="微软雅黑" w:eastAsia="微软雅黑" w:cs="微软雅黑"/>
          <w:color w:val="333333"/>
          <w:kern w:val="0"/>
          <w:sz w:val="24"/>
          <w:shd w:val="clear" w:color="080000" w:fill="FFFFFF"/>
        </w:rPr>
      </w:pPr>
      <w:r>
        <w:rPr>
          <w:rFonts w:hint="eastAsia" w:ascii="微软雅黑" w:hAnsi="微软雅黑" w:eastAsia="微软雅黑" w:cs="微软雅黑"/>
          <w:color w:val="333333"/>
          <w:kern w:val="0"/>
          <w:sz w:val="24"/>
          <w:shd w:val="clear" w:color="080000" w:fill="FFFFFF"/>
        </w:rPr>
        <w:t>3.严格规范公正文明执法。一是加强行政执法人员资格和证件管理。严格持证上岗，对执法资格进行严格审查，并且启动2020年领（换）发执法证件考试，目前已完成证件申报工作。二是全面清理权责清单。以规范执法为工作导向，以“法无授权不可为、法律授权必须为”为原则，对区级23个行权单位的行政权责清单进行了重新梳理规范，同时督促指导相关单位做好行政权责清单的动态管理工作。三是开展依法行政督查。对全区25家行政单位开展了依法行政督查。紧盯疫情防控中暴露出的执法薄弱环节，加强食品药品、公共卫生与安全、野生动物保护等重点领域执法监督工作，提升行政执法规范化水平。四是开展涉企执法行为专项检查工作。重点针对涉企行政许可、行政处罚、行政强制、行政确认、行政检查等执法过程中存在执法不严格、不公正、不规范、不廉洁、不文明行为情况进行专项检查。进一步了规范行政执法行为。</w:t>
      </w:r>
    </w:p>
    <w:p>
      <w:pPr>
        <w:spacing w:line="540" w:lineRule="exact"/>
        <w:ind w:firstLine="480" w:firstLineChars="200"/>
        <w:rPr>
          <w:rFonts w:ascii="微软雅黑" w:hAnsi="微软雅黑" w:eastAsia="微软雅黑" w:cs="微软雅黑"/>
          <w:color w:val="333333"/>
          <w:kern w:val="0"/>
          <w:sz w:val="24"/>
          <w:shd w:val="clear" w:color="080000" w:fill="FFFFFF"/>
        </w:rPr>
      </w:pPr>
      <w:r>
        <w:rPr>
          <w:rFonts w:hint="eastAsia" w:ascii="微软雅黑" w:hAnsi="微软雅黑" w:eastAsia="微软雅黑" w:cs="微软雅黑"/>
          <w:color w:val="333333"/>
          <w:kern w:val="0"/>
          <w:sz w:val="24"/>
          <w:shd w:val="clear" w:color="080000" w:fill="FFFFFF"/>
        </w:rPr>
        <w:t>4.做好行政复议应诉工作。推进行政复议体制改革，依法及时办理涉疫行政复议案件，上半年收到行政复议申请3起，其中出具行政复议申请告知书1件，调解处理2起。完善行政复议和行政诉讼、信访处理的衔接机制，推动行政机关依法履行行政应诉职责，全年出庭应诉率100％。</w:t>
      </w:r>
    </w:p>
    <w:p>
      <w:pPr>
        <w:spacing w:line="540" w:lineRule="exact"/>
        <w:ind w:firstLine="480" w:firstLineChars="200"/>
        <w:rPr>
          <w:rFonts w:ascii="微软雅黑" w:hAnsi="微软雅黑" w:eastAsia="微软雅黑" w:cs="微软雅黑"/>
          <w:color w:val="333333"/>
          <w:kern w:val="0"/>
          <w:sz w:val="24"/>
          <w:shd w:val="clear" w:color="080000" w:fill="FFFFFF"/>
        </w:rPr>
      </w:pPr>
      <w:r>
        <w:rPr>
          <w:rFonts w:hint="eastAsia" w:ascii="微软雅黑" w:hAnsi="微软雅黑" w:eastAsia="微软雅黑" w:cs="微软雅黑"/>
          <w:color w:val="333333"/>
          <w:kern w:val="0"/>
          <w:sz w:val="24"/>
          <w:shd w:val="clear" w:color="080000" w:fill="FFFFFF"/>
        </w:rPr>
        <w:t>5.进一步提升法治化营商环境。深入实施《优化营商环境条例》，制定开展提升法治化营商环境专项行动方案及在相关推动机制，以专项行动为载体，项目化推进为手段，落实29项工作任务，在全区部署开展提升法治化营商环境专项行动，为全区经济发展提供强有力的法治保障。</w:t>
      </w:r>
    </w:p>
    <w:p>
      <w:pPr>
        <w:spacing w:line="540" w:lineRule="exact"/>
        <w:ind w:firstLine="360" w:firstLineChars="150"/>
        <w:rPr>
          <w:rFonts w:ascii="微软雅黑" w:hAnsi="微软雅黑" w:eastAsia="微软雅黑" w:cs="微软雅黑"/>
          <w:color w:val="333333"/>
          <w:kern w:val="0"/>
          <w:sz w:val="24"/>
          <w:shd w:val="clear" w:color="080000" w:fill="FFFFFF"/>
        </w:rPr>
      </w:pPr>
      <w:r>
        <w:rPr>
          <w:rFonts w:hint="eastAsia" w:ascii="微软雅黑" w:hAnsi="微软雅黑" w:eastAsia="微软雅黑" w:cs="微软雅黑"/>
          <w:color w:val="333333"/>
          <w:kern w:val="0"/>
          <w:sz w:val="24"/>
          <w:shd w:val="clear" w:color="080000" w:fill="FFFFFF"/>
        </w:rPr>
        <w:t>（五）着力推进普法依法治理工作</w:t>
      </w:r>
    </w:p>
    <w:p>
      <w:pPr>
        <w:spacing w:line="540" w:lineRule="exact"/>
        <w:ind w:firstLine="480" w:firstLineChars="200"/>
        <w:rPr>
          <w:rFonts w:ascii="微软雅黑" w:hAnsi="微软雅黑" w:eastAsia="微软雅黑" w:cs="微软雅黑"/>
          <w:color w:val="333333"/>
          <w:kern w:val="0"/>
          <w:sz w:val="24"/>
          <w:shd w:val="clear" w:color="080000" w:fill="FFFFFF"/>
        </w:rPr>
      </w:pPr>
      <w:r>
        <w:rPr>
          <w:rFonts w:hint="eastAsia" w:ascii="微软雅黑" w:hAnsi="微软雅黑" w:eastAsia="微软雅黑" w:cs="微软雅黑"/>
          <w:color w:val="333333"/>
          <w:kern w:val="0"/>
          <w:sz w:val="24"/>
          <w:shd w:val="clear" w:color="080000" w:fill="FFFFFF"/>
        </w:rPr>
        <w:t>1.全面部署“七五”普法末期考核迎检工作。一是对照标准查漏补缺。4月下旬,根据市普法办印发的《关于开展全市“七五”普法依法治理末期考核工作的预通知》精神相关要求和考核标准，认真进行自查整改；二是做好迎检准备工作。7月份根据市普法办迎检工作要求，进一步做好迎检方案、多媒体汇报材料、汇报专题片制作等各项准备工作，同时抓好辖区单位普法迎检的督导工作；三是按时上报电子台帐。7月份根据最新的“七五”普法依法治理末期考核指导标准，将迎检资料分门别类进行整理归档，9月底按市普法办要求汇总上报“七五”末期考核迎检电子台账。</w:t>
      </w:r>
    </w:p>
    <w:p>
      <w:pPr>
        <w:autoSpaceDE w:val="0"/>
        <w:spacing w:line="520" w:lineRule="exact"/>
        <w:ind w:firstLine="480" w:firstLineChars="200"/>
        <w:jc w:val="left"/>
        <w:rPr>
          <w:rFonts w:ascii="微软雅黑" w:hAnsi="微软雅黑" w:eastAsia="微软雅黑" w:cs="微软雅黑"/>
          <w:color w:val="333333"/>
          <w:kern w:val="0"/>
          <w:sz w:val="24"/>
          <w:shd w:val="clear" w:color="080000" w:fill="FFFFFF"/>
        </w:rPr>
      </w:pPr>
      <w:r>
        <w:rPr>
          <w:rFonts w:hint="eastAsia" w:ascii="微软雅黑" w:hAnsi="微软雅黑" w:eastAsia="微软雅黑" w:cs="微软雅黑"/>
          <w:color w:val="333333"/>
          <w:kern w:val="0"/>
          <w:sz w:val="24"/>
          <w:shd w:val="clear" w:color="080000" w:fill="FFFFFF"/>
        </w:rPr>
        <w:t>2.深入开展《国家安全法》等法制宣传活动。一是开展集中宣传活动。4月15日上午，黄石港区2020年全民国家安全教育日集中宣传活动，在黄石港区南岳社区举行。区领导及区直部门、各街道、社区负责人和南岳社区居民代表等参加活动。二是开展支部主题党日和党员夜学活动。4月份区委组织部部署安排，要求基层党组织结合新冠肺炎疫情防控工作，开展“以人民安全为宗旨，叩问初心使命、激励担当作为”的支部主题党日活动，学习贯彻习近平总书记赴湖北武汉考察新冠肺炎疫情防控工作时的重要讲话精神和关于生命安全、公共卫生安全的重要讲话指示。同时在4月13日周一党员夜学活动中，要求各单位各部门组织全体党员观看“4·15”国家安全日视频，学习《中华人民共和国密码法》有关政策法规。三是广泛营造宣传氛围。辖区各单位，通过传统方式张贴“4·15”全民国家安全教育日宣传海报和悬挂宣传横幅进行宣传造势，同时借助新媒体等形式进行宣传造势，辖区单位利用电子显示屏播放“4·15”全民国家安全教育日宣传标语、“两微一端”推送国家安全法相关法律法规学习内容。截止目前，全区各单位共开展专项法治宣传和普法宣讲等活动320余场，发放宣传资料16万余份，普法总人数15万余人次。</w:t>
      </w:r>
    </w:p>
    <w:p>
      <w:pPr>
        <w:spacing w:line="540" w:lineRule="exact"/>
        <w:ind w:firstLine="480" w:firstLineChars="200"/>
        <w:rPr>
          <w:rFonts w:ascii="微软雅黑" w:hAnsi="微软雅黑" w:eastAsia="微软雅黑" w:cs="微软雅黑"/>
          <w:color w:val="333333"/>
          <w:kern w:val="0"/>
          <w:sz w:val="24"/>
          <w:shd w:val="clear" w:color="080000" w:fill="FFFFFF"/>
        </w:rPr>
      </w:pPr>
      <w:r>
        <w:rPr>
          <w:rFonts w:hint="eastAsia" w:ascii="微软雅黑" w:hAnsi="微软雅黑" w:eastAsia="微软雅黑" w:cs="微软雅黑"/>
          <w:color w:val="333333"/>
          <w:kern w:val="0"/>
          <w:sz w:val="24"/>
          <w:shd w:val="clear" w:color="080000" w:fill="FFFFFF"/>
        </w:rPr>
        <w:t>3.深入开展《民法典》学习宣传活动。为深入贯彻落实习近平总书记关于广泛开展民法典普法工作的重要指示精神,黄石港区普法办认真研究制定活动方案，整合辖区专家学者、律师等社会资源，组建了我区民法典普法宣讲团，结合“法律六进”活动，深入辖区机关、社区、学校、企业广泛开展《中华人民共和国民法典》宣讲活动，目前已开展学习宣讲活动6场次，发放宣传读本200册。11月份根据省、市普法办关于组织开展《民法典》专题考试的通知，认真组织辖区单位参加无纸化学法平台的《民法典》知识学习和考试，根据“法宣在线”学法平台数据查询显示，11月2日至11日考试期间，全区共有107家单位2512人参加考试。</w:t>
      </w:r>
    </w:p>
    <w:p>
      <w:pPr>
        <w:spacing w:line="540" w:lineRule="exact"/>
        <w:ind w:firstLine="480" w:firstLineChars="200"/>
        <w:rPr>
          <w:rFonts w:ascii="微软雅黑" w:hAnsi="微软雅黑" w:eastAsia="微软雅黑" w:cs="微软雅黑"/>
          <w:color w:val="333333"/>
          <w:kern w:val="0"/>
          <w:sz w:val="24"/>
          <w:shd w:val="clear" w:color="080000" w:fill="FFFFFF"/>
        </w:rPr>
      </w:pPr>
      <w:r>
        <w:rPr>
          <w:rFonts w:hint="eastAsia" w:ascii="微软雅黑" w:hAnsi="微软雅黑" w:eastAsia="微软雅黑" w:cs="微软雅黑"/>
          <w:color w:val="333333"/>
          <w:kern w:val="0"/>
          <w:sz w:val="24"/>
          <w:shd w:val="clear" w:color="080000" w:fill="FFFFFF"/>
        </w:rPr>
        <w:t>（六）全面做好基层基础工作</w:t>
      </w:r>
    </w:p>
    <w:p>
      <w:pPr>
        <w:widowControl/>
        <w:adjustRightInd w:val="0"/>
        <w:snapToGrid w:val="0"/>
        <w:spacing w:line="540" w:lineRule="exact"/>
        <w:ind w:firstLine="480" w:firstLineChars="200"/>
        <w:rPr>
          <w:rFonts w:ascii="微软雅黑" w:hAnsi="微软雅黑" w:eastAsia="微软雅黑" w:cs="微软雅黑"/>
          <w:color w:val="333333"/>
          <w:kern w:val="0"/>
          <w:sz w:val="24"/>
          <w:shd w:val="clear" w:color="080000" w:fill="FFFFFF"/>
        </w:rPr>
      </w:pPr>
      <w:r>
        <w:rPr>
          <w:rFonts w:hint="eastAsia" w:ascii="微软雅黑" w:hAnsi="微软雅黑" w:eastAsia="微软雅黑" w:cs="微软雅黑"/>
          <w:color w:val="333333"/>
          <w:kern w:val="0"/>
          <w:sz w:val="24"/>
          <w:shd w:val="clear" w:color="080000" w:fill="FFFFFF"/>
        </w:rPr>
        <w:t>1.完善基层公共法律服务平台建设和管理。黄石港区公共法律服务中心、五个街道（管理区）公共法律服务站、33个社区公共法律服务工作室均按照要求完成建设，标识牌、各项制度均已上墙，并开展各项服务工作。通过法律援助和人民调解对接，在征得受援人同意的情况下，由受援人决定是由社区调解人员、法律工作者或是由律师来主持调解来解决矛盾纠纷。建设以局机关、街道、社区三级调解工作体系，成立了33个法律援助工作站。</w:t>
      </w:r>
    </w:p>
    <w:p>
      <w:pPr>
        <w:spacing w:line="560" w:lineRule="exact"/>
        <w:ind w:firstLine="480" w:firstLineChars="200"/>
        <w:rPr>
          <w:rFonts w:ascii="微软雅黑" w:hAnsi="微软雅黑" w:eastAsia="微软雅黑" w:cs="微软雅黑"/>
          <w:color w:val="333333"/>
          <w:kern w:val="0"/>
          <w:sz w:val="24"/>
          <w:shd w:val="clear" w:color="080000" w:fill="FFFFFF"/>
        </w:rPr>
      </w:pPr>
      <w:r>
        <w:rPr>
          <w:rFonts w:hint="eastAsia" w:ascii="微软雅黑" w:hAnsi="微软雅黑" w:eastAsia="微软雅黑" w:cs="微软雅黑"/>
          <w:color w:val="333333"/>
          <w:kern w:val="0"/>
          <w:sz w:val="24"/>
          <w:shd w:val="clear" w:color="080000" w:fill="FFFFFF"/>
        </w:rPr>
        <w:t>2.加强规范化人民调解网络建设。黄石港区目前共有人民调解委员会101个，其中区调解中心一个，街道（管理区）调解委员会5个，社区调解委员会33个，专业性调解委员会2个，共有人民调解员381人。黄石港、青山湖、王家里、南岳、桂花湾等多个社区的个人调解工作室发挥了积极作用。全年个人调解工作室共调年矛盾纠纷126起，有效的缓解社区纠纷调解压力。截止目前，各级调解组织开展矛盾纠纷大排查，共排查矛盾纠纷785起，调解成功781起，涉及金额1695.2万元，调解率100%，调解成功率达到99%，筑牢了“社会治安”第一道防线，维护了辖区社会和谐稳定。</w:t>
      </w:r>
    </w:p>
    <w:p>
      <w:pPr>
        <w:pStyle w:val="17"/>
        <w:spacing w:line="540" w:lineRule="exact"/>
        <w:ind w:firstLine="480"/>
        <w:rPr>
          <w:rFonts w:ascii="微软雅黑" w:hAnsi="微软雅黑" w:eastAsia="微软雅黑" w:cs="微软雅黑"/>
          <w:color w:val="333333"/>
          <w:kern w:val="0"/>
          <w:sz w:val="24"/>
          <w:szCs w:val="24"/>
          <w:shd w:val="clear" w:color="080000" w:fill="FFFFFF"/>
        </w:rPr>
      </w:pPr>
      <w:r>
        <w:rPr>
          <w:rFonts w:hint="eastAsia" w:ascii="微软雅黑" w:hAnsi="微软雅黑" w:eastAsia="微软雅黑" w:cs="微软雅黑"/>
          <w:color w:val="333333"/>
          <w:kern w:val="0"/>
          <w:sz w:val="24"/>
          <w:szCs w:val="24"/>
          <w:shd w:val="clear" w:color="080000" w:fill="FFFFFF"/>
        </w:rPr>
        <w:t>（七）切实履行法律援助服务职能</w:t>
      </w:r>
    </w:p>
    <w:p>
      <w:pPr>
        <w:pStyle w:val="2"/>
        <w:shd w:val="clear" w:color="auto" w:fill="FFFFFF"/>
        <w:spacing w:before="0" w:beforeAutospacing="0" w:after="0" w:afterAutospacing="0" w:line="540" w:lineRule="exact"/>
        <w:ind w:firstLine="480" w:firstLineChars="200"/>
        <w:jc w:val="both"/>
        <w:rPr>
          <w:rFonts w:ascii="微软雅黑" w:hAnsi="微软雅黑" w:eastAsia="微软雅黑" w:cs="微软雅黑"/>
          <w:b w:val="0"/>
          <w:bCs w:val="0"/>
          <w:color w:val="333333"/>
          <w:kern w:val="0"/>
          <w:sz w:val="24"/>
          <w:szCs w:val="24"/>
          <w:shd w:val="clear" w:color="080000" w:fill="FFFFFF"/>
        </w:rPr>
      </w:pPr>
      <w:r>
        <w:rPr>
          <w:rFonts w:hint="eastAsia" w:ascii="微软雅黑" w:hAnsi="微软雅黑" w:eastAsia="微软雅黑" w:cs="微软雅黑"/>
          <w:b w:val="0"/>
          <w:bCs w:val="0"/>
          <w:color w:val="333333"/>
          <w:kern w:val="0"/>
          <w:sz w:val="24"/>
          <w:szCs w:val="24"/>
          <w:shd w:val="clear" w:color="080000" w:fill="FFFFFF"/>
        </w:rPr>
        <w:t>1.法律援助民生工作有序进行。黄石港区法律援助中心及5个司法所全体干部职工，以人为本，服务于民，为市民提供法律援助服务，为维护弱势群体的合法权益提供优质、高效的法律援助服务，取得了良好的社会效果。截止目前，我区法援中心共办理援助案件415件，其中诉讼类415件，刑事案件400件，民事15件；接待来访咨询共2163件，其中民事2151件，刑事12件。有力地维护了辖区内社会公平正义，促进了社会稳定和谐。</w:t>
      </w:r>
    </w:p>
    <w:p>
      <w:pPr>
        <w:pStyle w:val="17"/>
        <w:spacing w:line="540" w:lineRule="exact"/>
        <w:ind w:firstLine="480"/>
        <w:rPr>
          <w:rFonts w:ascii="微软雅黑" w:hAnsi="微软雅黑" w:eastAsia="微软雅黑" w:cs="微软雅黑"/>
          <w:color w:val="333333"/>
          <w:kern w:val="0"/>
          <w:sz w:val="24"/>
          <w:szCs w:val="24"/>
          <w:shd w:val="clear" w:color="080000" w:fill="FFFFFF"/>
        </w:rPr>
      </w:pPr>
      <w:r>
        <w:rPr>
          <w:rFonts w:hint="eastAsia" w:ascii="微软雅黑" w:hAnsi="微软雅黑" w:eastAsia="微软雅黑" w:cs="微软雅黑"/>
          <w:color w:val="333333"/>
          <w:kern w:val="0"/>
          <w:sz w:val="24"/>
          <w:szCs w:val="24"/>
          <w:shd w:val="clear" w:color="080000" w:fill="FFFFFF"/>
        </w:rPr>
        <w:t>2.加强工作站建设，完善法律援助网络。自2018年6月建成黄石港区公共法律服务中心驻人民法院工作站以来，法院工作站共接待来访群众6166人次。2019年2月增设的黄石港区法律援助中心驻黄石港区人民检察院工作站，截止目前，共办理刑事案件认罪认罚401件。法律援助工作站的建设，不仅方便基层群众和特殊群众就近申请获得法律援助，也构筑了一条法律援助机构的保障线。</w:t>
      </w:r>
    </w:p>
    <w:p>
      <w:pPr>
        <w:pStyle w:val="17"/>
        <w:spacing w:line="540" w:lineRule="exact"/>
        <w:ind w:firstLine="480"/>
        <w:rPr>
          <w:rFonts w:ascii="微软雅黑" w:hAnsi="微软雅黑" w:eastAsia="微软雅黑" w:cs="微软雅黑"/>
          <w:color w:val="333333"/>
          <w:kern w:val="0"/>
          <w:sz w:val="24"/>
          <w:szCs w:val="24"/>
          <w:shd w:val="clear" w:color="080000" w:fill="FFFFFF"/>
        </w:rPr>
      </w:pPr>
      <w:r>
        <w:rPr>
          <w:rFonts w:hint="eastAsia" w:ascii="微软雅黑" w:hAnsi="微软雅黑" w:eastAsia="微软雅黑" w:cs="微软雅黑"/>
          <w:color w:val="333333"/>
          <w:kern w:val="0"/>
          <w:sz w:val="24"/>
          <w:szCs w:val="24"/>
          <w:shd w:val="clear" w:color="080000" w:fill="FFFFFF"/>
        </w:rPr>
        <w:t>3.开展刑事案件法援工作，促进司法公正。黄石港区法律援助中心自2018年3月份开始全省刑事案件法律援助律师辩护全覆盖试点工作以来，截止目前今年刑事通知类案件395件，占今年诉讼类案件的95.18%，其中公安局阶段案件2件，占刑事通知类案件的0.51%；检察院阶段案件197件（包含认罪认罚从宽案件），占刑事通知类案件的49.87%；法院阶段案件196件，占刑事通知类案件的49.62%。申请刑事法律援助案件的条件不再局限，在以最大程度上保护被告人和嫌疑人的辩护权益，加强了司法保障，促进了司法公正，充分发挥律师在刑事案件审判中的辩护作用。</w:t>
      </w:r>
    </w:p>
    <w:p>
      <w:pPr>
        <w:spacing w:line="540" w:lineRule="exact"/>
        <w:ind w:firstLine="480" w:firstLineChars="200"/>
        <w:rPr>
          <w:rFonts w:ascii="微软雅黑" w:hAnsi="微软雅黑" w:eastAsia="微软雅黑" w:cs="微软雅黑"/>
          <w:color w:val="333333"/>
          <w:kern w:val="0"/>
          <w:sz w:val="24"/>
          <w:shd w:val="clear" w:color="080000" w:fill="FFFFFF"/>
        </w:rPr>
      </w:pPr>
      <w:r>
        <w:rPr>
          <w:rFonts w:hint="eastAsia" w:ascii="微软雅黑" w:hAnsi="微软雅黑" w:eastAsia="微软雅黑" w:cs="微软雅黑"/>
          <w:color w:val="333333"/>
          <w:kern w:val="0"/>
          <w:sz w:val="24"/>
          <w:shd w:val="clear" w:color="080000" w:fill="FFFFFF"/>
        </w:rPr>
        <w:t>（八)统筹开展“双千”、社区包保和扶贫攻坚等工作</w:t>
      </w:r>
    </w:p>
    <w:p>
      <w:pPr>
        <w:tabs>
          <w:tab w:val="left" w:pos="4670"/>
        </w:tabs>
        <w:spacing w:line="540" w:lineRule="exact"/>
        <w:ind w:firstLine="480" w:firstLineChars="200"/>
        <w:rPr>
          <w:rFonts w:ascii="微软雅黑" w:hAnsi="微软雅黑" w:eastAsia="微软雅黑" w:cs="微软雅黑"/>
          <w:color w:val="333333"/>
          <w:kern w:val="0"/>
          <w:sz w:val="24"/>
          <w:shd w:val="clear" w:color="080000" w:fill="FFFFFF"/>
        </w:rPr>
      </w:pPr>
      <w:r>
        <w:rPr>
          <w:rFonts w:hint="eastAsia" w:ascii="微软雅黑" w:hAnsi="微软雅黑" w:eastAsia="微软雅黑" w:cs="微软雅黑"/>
          <w:color w:val="333333"/>
          <w:kern w:val="0"/>
          <w:sz w:val="24"/>
          <w:shd w:val="clear" w:color="080000" w:fill="FFFFFF"/>
        </w:rPr>
        <w:t xml:space="preserve">1．“双千”活动。今年4月，为全面落实黄石港区疫情防控和企业复工复产工作部署，按照“谁联系，谁负责”原则，各包保干部做到一企一策、定向包保，确保不落一企。黄石港区司法局共线下实地走访企业5家、10次，收集企业反馈问题12条。坚持用优质服务化解企业发展面临的问题，先后帮助湖北佳境建筑设计公司联系相关业务、催收应收款，帮助公司逐步恢复正常运营；为华信工程监理有限公司向相关部门咨询税收减免政策，帮助公司成功减免了3个月普税。 </w:t>
      </w:r>
    </w:p>
    <w:p>
      <w:pPr>
        <w:spacing w:line="540" w:lineRule="exact"/>
        <w:ind w:firstLine="480" w:firstLineChars="200"/>
        <w:rPr>
          <w:rFonts w:ascii="微软雅黑" w:hAnsi="微软雅黑" w:eastAsia="微软雅黑" w:cs="微软雅黑"/>
          <w:color w:val="333333"/>
          <w:kern w:val="0"/>
          <w:sz w:val="24"/>
          <w:shd w:val="clear" w:color="080000" w:fill="FFFFFF"/>
        </w:rPr>
      </w:pPr>
      <w:r>
        <w:rPr>
          <w:rFonts w:hint="eastAsia" w:ascii="微软雅黑" w:hAnsi="微软雅黑" w:eastAsia="微软雅黑" w:cs="微软雅黑"/>
          <w:color w:val="333333"/>
          <w:kern w:val="0"/>
          <w:sz w:val="24"/>
          <w:shd w:val="clear" w:color="080000" w:fill="FFFFFF"/>
        </w:rPr>
        <w:t>2．创文工作。按照区文明办统一安排，工作日或周末全体干警到包保社区和路段开展创卫创文活动，帮助捡拾垃圾，清理楼道小广告和物品，参加志愿者服务约200余人次。</w:t>
      </w:r>
    </w:p>
    <w:p>
      <w:pPr>
        <w:spacing w:line="540" w:lineRule="exact"/>
        <w:ind w:firstLine="537" w:firstLineChars="224"/>
        <w:rPr>
          <w:rFonts w:ascii="微软雅黑" w:hAnsi="微软雅黑" w:eastAsia="微软雅黑" w:cs="微软雅黑"/>
          <w:color w:val="333333"/>
          <w:kern w:val="0"/>
          <w:sz w:val="24"/>
          <w:shd w:val="clear" w:color="080000" w:fill="FFFFFF"/>
        </w:rPr>
      </w:pPr>
      <w:r>
        <w:rPr>
          <w:rFonts w:hint="eastAsia" w:ascii="微软雅黑" w:hAnsi="微软雅黑" w:eastAsia="微软雅黑" w:cs="微软雅黑"/>
          <w:color w:val="333333"/>
          <w:kern w:val="0"/>
          <w:sz w:val="24"/>
          <w:shd w:val="clear" w:color="080000" w:fill="FFFFFF"/>
        </w:rPr>
        <w:t>3．精准扶贫。黄石港区司法局开展了与阳新县龙港镇石下村5户贫困户的精准扶贫结对帮扶工作。每月坚持看望5户贫困户，春节等传统节日期间5名干部送困难户慰问物质人均1000余元。</w:t>
      </w:r>
    </w:p>
    <w:p>
      <w:pPr>
        <w:spacing w:line="620" w:lineRule="exact"/>
        <w:ind w:firstLine="480" w:firstLineChars="200"/>
        <w:jc w:val="left"/>
        <w:rPr>
          <w:rFonts w:ascii="微软雅黑" w:hAnsi="微软雅黑" w:eastAsia="微软雅黑" w:cs="微软雅黑"/>
          <w:b/>
          <w:color w:val="333333"/>
          <w:kern w:val="0"/>
          <w:sz w:val="24"/>
          <w:shd w:val="clear" w:color="080000" w:fill="FFFFFF"/>
        </w:rPr>
      </w:pPr>
    </w:p>
    <w:p>
      <w:pPr>
        <w:spacing w:line="620" w:lineRule="exact"/>
        <w:ind w:firstLine="480" w:firstLineChars="200"/>
        <w:jc w:val="left"/>
        <w:rPr>
          <w:rFonts w:ascii="微软雅黑" w:hAnsi="微软雅黑" w:eastAsia="微软雅黑" w:cs="微软雅黑"/>
          <w:b/>
          <w:color w:val="333333"/>
          <w:kern w:val="0"/>
          <w:sz w:val="24"/>
          <w:shd w:val="clear" w:color="080000" w:fill="FFFFFF"/>
        </w:rPr>
      </w:pPr>
      <w:r>
        <w:rPr>
          <w:rFonts w:hint="eastAsia" w:ascii="微软雅黑" w:hAnsi="微软雅黑" w:eastAsia="微软雅黑" w:cs="微软雅黑"/>
          <w:b/>
          <w:color w:val="333333"/>
          <w:kern w:val="0"/>
          <w:sz w:val="24"/>
          <w:shd w:val="clear" w:color="080000" w:fill="FFFFFF"/>
        </w:rPr>
        <w:t>（三）人员情况</w:t>
      </w:r>
    </w:p>
    <w:p>
      <w:pPr>
        <w:pStyle w:val="13"/>
        <w:spacing w:before="76" w:beforeAutospacing="0" w:after="76" w:afterAutospacing="0" w:line="450" w:lineRule="atLeast"/>
        <w:ind w:firstLine="420"/>
        <w:rPr>
          <w:rFonts w:ascii="微软雅黑" w:hAnsi="微软雅黑" w:eastAsia="微软雅黑" w:cs="微软雅黑"/>
          <w:color w:val="333333"/>
          <w:shd w:val="clear" w:color="080000" w:fill="FFFFFF"/>
        </w:rPr>
      </w:pPr>
      <w:r>
        <w:rPr>
          <w:rFonts w:hint="eastAsia" w:ascii="微软雅黑" w:hAnsi="微软雅黑" w:eastAsia="微软雅黑" w:cs="微软雅黑"/>
          <w:color w:val="333333"/>
          <w:shd w:val="clear" w:color="080000" w:fill="FFFFFF"/>
        </w:rPr>
        <w:t xml:space="preserve"> 区司法局核定司法行编制人数共计26人，其中行政编制23个，事业编3个；年末实有人数共计10人，其中行政编6人，事业编4人。</w:t>
      </w:r>
    </w:p>
    <w:p>
      <w:pPr>
        <w:pStyle w:val="13"/>
        <w:spacing w:before="76" w:beforeAutospacing="0" w:after="76" w:afterAutospacing="0" w:line="450" w:lineRule="atLeast"/>
      </w:pPr>
    </w:p>
    <w:p>
      <w:pPr>
        <w:pStyle w:val="13"/>
        <w:spacing w:before="76" w:beforeAutospacing="0" w:after="76" w:afterAutospacing="0" w:line="450" w:lineRule="atLeast"/>
      </w:pPr>
    </w:p>
    <w:p>
      <w:pPr>
        <w:pStyle w:val="13"/>
        <w:spacing w:before="76" w:beforeAutospacing="0" w:after="76" w:afterAutospacing="0" w:line="450" w:lineRule="atLeast"/>
      </w:pPr>
    </w:p>
    <w:p>
      <w:pPr>
        <w:pStyle w:val="13"/>
        <w:spacing w:before="76" w:beforeAutospacing="0" w:after="76" w:afterAutospacing="0" w:line="450" w:lineRule="atLeast"/>
      </w:pPr>
    </w:p>
    <w:p>
      <w:pPr>
        <w:pStyle w:val="13"/>
        <w:spacing w:before="76" w:beforeAutospacing="0" w:after="76" w:afterAutospacing="0" w:line="450" w:lineRule="atLeast"/>
      </w:pPr>
    </w:p>
    <w:p>
      <w:pPr>
        <w:pStyle w:val="13"/>
        <w:spacing w:before="76" w:beforeAutospacing="0" w:after="76" w:afterAutospacing="0" w:line="450" w:lineRule="atLeast"/>
      </w:pPr>
    </w:p>
    <w:p>
      <w:pPr>
        <w:pStyle w:val="13"/>
        <w:spacing w:before="76" w:beforeAutospacing="0" w:after="76" w:afterAutospacing="0" w:line="450" w:lineRule="atLeast"/>
      </w:pPr>
    </w:p>
    <w:p>
      <w:pPr>
        <w:pStyle w:val="13"/>
        <w:spacing w:before="76" w:beforeAutospacing="0" w:after="76" w:afterAutospacing="0" w:line="450" w:lineRule="atLeast"/>
      </w:pPr>
    </w:p>
    <w:p>
      <w:pPr>
        <w:pStyle w:val="13"/>
        <w:spacing w:before="76" w:beforeAutospacing="0" w:after="76" w:afterAutospacing="0" w:line="450" w:lineRule="atLeast"/>
      </w:pPr>
    </w:p>
    <w:p>
      <w:pPr>
        <w:pStyle w:val="13"/>
        <w:spacing w:before="76" w:beforeAutospacing="0" w:after="76" w:afterAutospacing="0" w:line="450" w:lineRule="atLeast"/>
      </w:pPr>
    </w:p>
    <w:p>
      <w:pPr>
        <w:pStyle w:val="13"/>
        <w:spacing w:before="76" w:beforeAutospacing="0" w:after="76" w:afterAutospacing="0" w:line="450" w:lineRule="atLeast"/>
      </w:pPr>
    </w:p>
    <w:p>
      <w:pPr>
        <w:pStyle w:val="13"/>
        <w:spacing w:before="76" w:beforeAutospacing="0" w:after="76" w:afterAutospacing="0" w:line="450" w:lineRule="atLeast"/>
      </w:pPr>
    </w:p>
    <w:p>
      <w:pPr>
        <w:pStyle w:val="13"/>
        <w:spacing w:before="76" w:beforeAutospacing="0" w:after="76" w:afterAutospacing="0" w:line="450" w:lineRule="atLeast"/>
        <w:rPr>
          <w:rFonts w:ascii="微软雅黑" w:hAnsi="微软雅黑" w:eastAsia="微软雅黑" w:cs="微软雅黑"/>
          <w:b/>
          <w:bCs/>
        </w:rPr>
      </w:pPr>
      <w:r>
        <w:rPr>
          <w:rFonts w:hint="eastAsia" w:ascii="微软雅黑" w:hAnsi="微软雅黑" w:eastAsia="微软雅黑" w:cs="微软雅黑"/>
          <w:b/>
          <w:bCs/>
        </w:rPr>
        <w:t>第二部分：部门2020年部门决算表</w:t>
      </w:r>
    </w:p>
    <w:tbl>
      <w:tblPr>
        <w:tblStyle w:val="7"/>
        <w:tblW w:w="14143" w:type="dxa"/>
        <w:tblInd w:w="0" w:type="dxa"/>
        <w:tblLayout w:type="fixed"/>
        <w:tblCellMar>
          <w:top w:w="0" w:type="dxa"/>
          <w:left w:w="108" w:type="dxa"/>
          <w:bottom w:w="0" w:type="dxa"/>
          <w:right w:w="108" w:type="dxa"/>
        </w:tblCellMar>
      </w:tblPr>
      <w:tblGrid>
        <w:gridCol w:w="3416"/>
        <w:gridCol w:w="616"/>
        <w:gridCol w:w="4116"/>
        <w:gridCol w:w="3216"/>
        <w:gridCol w:w="616"/>
        <w:gridCol w:w="2163"/>
      </w:tblGrid>
      <w:tr>
        <w:tblPrEx>
          <w:tblCellMar>
            <w:top w:w="0" w:type="dxa"/>
            <w:left w:w="108" w:type="dxa"/>
            <w:bottom w:w="0" w:type="dxa"/>
            <w:right w:w="108" w:type="dxa"/>
          </w:tblCellMar>
        </w:tblPrEx>
        <w:trPr>
          <w:trHeight w:val="375" w:hRule="atLeast"/>
        </w:trPr>
        <w:tc>
          <w:tcPr>
            <w:tcW w:w="3416" w:type="dxa"/>
            <w:tcBorders>
              <w:top w:val="nil"/>
              <w:left w:val="nil"/>
              <w:bottom w:val="nil"/>
              <w:right w:val="nil"/>
            </w:tcBorders>
            <w:shd w:val="clear" w:color="000000" w:fill="FFFFFF"/>
            <w:noWrap/>
            <w:vAlign w:val="center"/>
          </w:tcPr>
          <w:p>
            <w:pPr>
              <w:shd w:val="solid" w:color="FFFFFF" w:fill="auto"/>
              <w:autoSpaceDN w:val="0"/>
              <w:jc w:val="center"/>
              <w:textAlignment w:val="center"/>
              <w:rPr>
                <w:rFonts w:ascii="黑体" w:hAnsi="黑体" w:eastAsia="黑体"/>
                <w:color w:val="000000"/>
                <w:sz w:val="30"/>
                <w:shd w:val="clear" w:color="auto" w:fill="FFFFFF"/>
              </w:rPr>
            </w:pPr>
          </w:p>
        </w:tc>
        <w:tc>
          <w:tcPr>
            <w:tcW w:w="616" w:type="dxa"/>
            <w:tcBorders>
              <w:top w:val="nil"/>
              <w:left w:val="nil"/>
              <w:bottom w:val="nil"/>
              <w:right w:val="nil"/>
            </w:tcBorders>
            <w:shd w:val="clear" w:color="000000" w:fill="FFFFFF"/>
            <w:noWrap/>
            <w:vAlign w:val="center"/>
          </w:tcPr>
          <w:p>
            <w:pPr>
              <w:shd w:val="solid" w:color="FFFFFF" w:fill="auto"/>
              <w:autoSpaceDN w:val="0"/>
              <w:jc w:val="center"/>
              <w:textAlignment w:val="center"/>
              <w:rPr>
                <w:rFonts w:ascii="黑体" w:hAnsi="黑体" w:eastAsia="黑体"/>
                <w:color w:val="000000"/>
                <w:sz w:val="30"/>
                <w:shd w:val="clear" w:color="auto" w:fill="FFFFFF"/>
              </w:rPr>
            </w:pPr>
          </w:p>
        </w:tc>
        <w:tc>
          <w:tcPr>
            <w:tcW w:w="4116" w:type="dxa"/>
            <w:tcBorders>
              <w:top w:val="nil"/>
              <w:left w:val="nil"/>
              <w:bottom w:val="nil"/>
              <w:right w:val="nil"/>
            </w:tcBorders>
            <w:shd w:val="clear" w:color="000000" w:fill="FFFFFF"/>
            <w:noWrap/>
            <w:vAlign w:val="center"/>
          </w:tcPr>
          <w:p>
            <w:pPr>
              <w:shd w:val="solid" w:color="FFFFFF" w:fill="auto"/>
              <w:autoSpaceDN w:val="0"/>
              <w:jc w:val="center"/>
              <w:textAlignment w:val="center"/>
              <w:rPr>
                <w:rFonts w:ascii="黑体" w:hAnsi="黑体" w:eastAsia="黑体"/>
                <w:color w:val="000000"/>
                <w:sz w:val="30"/>
                <w:shd w:val="clear" w:color="auto" w:fill="FFFFFF"/>
              </w:rPr>
            </w:pPr>
            <w:r>
              <w:rPr>
                <w:rFonts w:hint="eastAsia" w:ascii="黑体" w:hAnsi="黑体" w:eastAsia="黑体"/>
                <w:color w:val="000000"/>
                <w:sz w:val="30"/>
                <w:shd w:val="clear" w:color="auto" w:fill="FFFFFF"/>
              </w:rPr>
              <w:t xml:space="preserve">          收入支出决算总表</w:t>
            </w:r>
          </w:p>
        </w:tc>
        <w:tc>
          <w:tcPr>
            <w:tcW w:w="3216" w:type="dxa"/>
            <w:tcBorders>
              <w:top w:val="nil"/>
              <w:left w:val="nil"/>
              <w:bottom w:val="nil"/>
              <w:right w:val="nil"/>
            </w:tcBorders>
            <w:shd w:val="clear" w:color="000000" w:fill="FFFFFF"/>
            <w:noWrap/>
            <w:vAlign w:val="center"/>
          </w:tcPr>
          <w:p>
            <w:pPr>
              <w:shd w:val="solid" w:color="FFFFFF" w:fill="auto"/>
              <w:autoSpaceDN w:val="0"/>
              <w:jc w:val="center"/>
              <w:textAlignment w:val="center"/>
              <w:rPr>
                <w:rFonts w:ascii="黑体" w:hAnsi="黑体" w:eastAsia="黑体"/>
                <w:color w:val="000000"/>
                <w:sz w:val="30"/>
                <w:shd w:val="clear" w:color="auto" w:fill="FFFFFF"/>
              </w:rPr>
            </w:pPr>
          </w:p>
        </w:tc>
        <w:tc>
          <w:tcPr>
            <w:tcW w:w="616" w:type="dxa"/>
            <w:tcBorders>
              <w:top w:val="nil"/>
              <w:left w:val="nil"/>
              <w:bottom w:val="nil"/>
              <w:right w:val="nil"/>
            </w:tcBorders>
            <w:shd w:val="clear" w:color="000000" w:fill="FFFFFF"/>
            <w:noWrap/>
            <w:vAlign w:val="center"/>
          </w:tcPr>
          <w:p>
            <w:pPr>
              <w:shd w:val="solid" w:color="FFFFFF" w:fill="auto"/>
              <w:autoSpaceDN w:val="0"/>
              <w:jc w:val="center"/>
              <w:textAlignment w:val="center"/>
              <w:rPr>
                <w:rFonts w:ascii="黑体" w:hAnsi="黑体" w:eastAsia="黑体"/>
                <w:color w:val="000000"/>
                <w:sz w:val="30"/>
                <w:shd w:val="clear" w:color="auto" w:fill="FFFFFF"/>
              </w:rPr>
            </w:pPr>
          </w:p>
        </w:tc>
        <w:tc>
          <w:tcPr>
            <w:tcW w:w="2163" w:type="dxa"/>
            <w:tcBorders>
              <w:top w:val="nil"/>
              <w:left w:val="nil"/>
              <w:bottom w:val="nil"/>
              <w:right w:val="nil"/>
            </w:tcBorders>
            <w:shd w:val="clear" w:color="000000" w:fill="FFFFFF"/>
            <w:noWrap/>
            <w:vAlign w:val="center"/>
          </w:tcPr>
          <w:p>
            <w:pPr>
              <w:shd w:val="solid" w:color="FFFFFF" w:fill="auto"/>
              <w:autoSpaceDN w:val="0"/>
              <w:jc w:val="center"/>
              <w:textAlignment w:val="center"/>
              <w:rPr>
                <w:rFonts w:ascii="黑体" w:hAnsi="黑体" w:eastAsia="黑体"/>
                <w:color w:val="000000"/>
                <w:sz w:val="30"/>
                <w:shd w:val="clear" w:color="auto" w:fill="FFFFFF"/>
              </w:rPr>
            </w:pPr>
          </w:p>
        </w:tc>
      </w:tr>
      <w:tr>
        <w:tblPrEx>
          <w:tblCellMar>
            <w:top w:w="0" w:type="dxa"/>
            <w:left w:w="108" w:type="dxa"/>
            <w:bottom w:w="0" w:type="dxa"/>
            <w:right w:w="108" w:type="dxa"/>
          </w:tblCellMar>
        </w:tblPrEx>
        <w:trPr>
          <w:trHeight w:val="300" w:hRule="atLeast"/>
        </w:trPr>
        <w:tc>
          <w:tcPr>
            <w:tcW w:w="3416"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616"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4116"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3216"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616"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2163" w:type="dxa"/>
            <w:tcBorders>
              <w:top w:val="nil"/>
              <w:left w:val="nil"/>
              <w:bottom w:val="nil"/>
              <w:right w:val="nil"/>
            </w:tcBorders>
            <w:shd w:val="clear" w:color="000000" w:fill="FFFFFF"/>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公开01表</w:t>
            </w:r>
          </w:p>
        </w:tc>
      </w:tr>
      <w:tr>
        <w:tblPrEx>
          <w:tblCellMar>
            <w:top w:w="0" w:type="dxa"/>
            <w:left w:w="108" w:type="dxa"/>
            <w:bottom w:w="0" w:type="dxa"/>
            <w:right w:w="108" w:type="dxa"/>
          </w:tblCellMar>
        </w:tblPrEx>
        <w:trPr>
          <w:trHeight w:val="300" w:hRule="atLeast"/>
        </w:trPr>
        <w:tc>
          <w:tcPr>
            <w:tcW w:w="3416" w:type="dxa"/>
            <w:tcBorders>
              <w:top w:val="nil"/>
              <w:left w:val="nil"/>
              <w:bottom w:val="single" w:color="000000" w:sz="4" w:space="0"/>
              <w:right w:val="nil"/>
            </w:tcBorders>
            <w:shd w:val="clear" w:color="000000" w:fill="FFFFFF"/>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部门：黄石市黄石港区司法局</w:t>
            </w:r>
          </w:p>
        </w:tc>
        <w:tc>
          <w:tcPr>
            <w:tcW w:w="616" w:type="dxa"/>
            <w:tcBorders>
              <w:top w:val="nil"/>
              <w:left w:val="nil"/>
              <w:bottom w:val="single" w:color="000000" w:sz="4" w:space="0"/>
              <w:right w:val="nil"/>
            </w:tcBorders>
            <w:shd w:val="clear" w:color="000000" w:fill="FFFFFF"/>
            <w:noWrap/>
            <w:vAlign w:val="center"/>
          </w:tcPr>
          <w:p>
            <w:pPr>
              <w:widowControl/>
              <w:jc w:val="center"/>
              <w:rPr>
                <w:rFonts w:ascii="宋体" w:hAnsi="宋体" w:cs="Arial"/>
                <w:kern w:val="0"/>
                <w:sz w:val="18"/>
                <w:szCs w:val="18"/>
              </w:rPr>
            </w:pPr>
            <w:r>
              <w:rPr>
                <w:rFonts w:hint="eastAsia" w:ascii="宋体" w:hAnsi="宋体" w:cs="Arial"/>
                <w:kern w:val="0"/>
                <w:sz w:val="18"/>
                <w:szCs w:val="18"/>
              </w:rPr>
              <w:t>　</w:t>
            </w:r>
          </w:p>
        </w:tc>
        <w:tc>
          <w:tcPr>
            <w:tcW w:w="4116" w:type="dxa"/>
            <w:tcBorders>
              <w:top w:val="nil"/>
              <w:left w:val="nil"/>
              <w:bottom w:val="single" w:color="000000" w:sz="4" w:space="0"/>
              <w:right w:val="nil"/>
            </w:tcBorders>
            <w:shd w:val="clear" w:color="000000" w:fill="FFFFFF"/>
            <w:noWrap/>
            <w:vAlign w:val="center"/>
          </w:tcPr>
          <w:p>
            <w:pPr>
              <w:widowControl/>
              <w:jc w:val="center"/>
              <w:rPr>
                <w:rFonts w:ascii="宋体" w:hAnsi="宋体" w:cs="Arial"/>
                <w:color w:val="000000"/>
                <w:kern w:val="0"/>
                <w:sz w:val="24"/>
              </w:rPr>
            </w:pPr>
            <w:r>
              <w:rPr>
                <w:rFonts w:hint="eastAsia" w:ascii="宋体" w:hAnsi="宋体" w:cs="Arial"/>
                <w:color w:val="000000"/>
                <w:kern w:val="0"/>
                <w:sz w:val="24"/>
              </w:rPr>
              <w:t xml:space="preserve">            2020年度</w:t>
            </w:r>
          </w:p>
        </w:tc>
        <w:tc>
          <w:tcPr>
            <w:tcW w:w="3216" w:type="dxa"/>
            <w:tcBorders>
              <w:top w:val="nil"/>
              <w:left w:val="nil"/>
              <w:bottom w:val="single" w:color="000000" w:sz="4" w:space="0"/>
              <w:right w:val="nil"/>
            </w:tcBorders>
            <w:shd w:val="clear" w:color="000000" w:fill="FFFFFF"/>
            <w:noWrap/>
            <w:vAlign w:val="center"/>
          </w:tcPr>
          <w:p>
            <w:pPr>
              <w:widowControl/>
              <w:jc w:val="center"/>
              <w:rPr>
                <w:rFonts w:ascii="宋体" w:hAnsi="宋体" w:cs="Arial"/>
                <w:kern w:val="0"/>
                <w:sz w:val="18"/>
                <w:szCs w:val="18"/>
              </w:rPr>
            </w:pPr>
            <w:r>
              <w:rPr>
                <w:rFonts w:hint="eastAsia" w:ascii="宋体" w:hAnsi="宋体" w:cs="Arial"/>
                <w:kern w:val="0"/>
                <w:sz w:val="18"/>
                <w:szCs w:val="18"/>
              </w:rPr>
              <w:t>　</w:t>
            </w:r>
          </w:p>
        </w:tc>
        <w:tc>
          <w:tcPr>
            <w:tcW w:w="616" w:type="dxa"/>
            <w:tcBorders>
              <w:top w:val="nil"/>
              <w:left w:val="nil"/>
              <w:bottom w:val="single" w:color="000000" w:sz="4" w:space="0"/>
              <w:right w:val="nil"/>
            </w:tcBorders>
            <w:shd w:val="clear" w:color="000000" w:fill="FFFFFF"/>
            <w:noWrap/>
            <w:vAlign w:val="center"/>
          </w:tcPr>
          <w:p>
            <w:pPr>
              <w:widowControl/>
              <w:jc w:val="center"/>
              <w:rPr>
                <w:rFonts w:ascii="宋体" w:hAnsi="宋体" w:cs="Arial"/>
                <w:kern w:val="0"/>
                <w:sz w:val="18"/>
                <w:szCs w:val="18"/>
              </w:rPr>
            </w:pPr>
            <w:r>
              <w:rPr>
                <w:rFonts w:hint="eastAsia" w:ascii="宋体" w:hAnsi="宋体" w:cs="Arial"/>
                <w:kern w:val="0"/>
                <w:sz w:val="18"/>
                <w:szCs w:val="18"/>
              </w:rPr>
              <w:t>　</w:t>
            </w:r>
          </w:p>
        </w:tc>
        <w:tc>
          <w:tcPr>
            <w:tcW w:w="2163" w:type="dxa"/>
            <w:tcBorders>
              <w:top w:val="nil"/>
              <w:left w:val="nil"/>
              <w:bottom w:val="single" w:color="000000" w:sz="4" w:space="0"/>
              <w:right w:val="nil"/>
            </w:tcBorders>
            <w:shd w:val="clear" w:color="000000" w:fill="FFFFFF"/>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金额单位：万元</w:t>
            </w:r>
          </w:p>
        </w:tc>
      </w:tr>
      <w:tr>
        <w:tblPrEx>
          <w:tblCellMar>
            <w:top w:w="0" w:type="dxa"/>
            <w:left w:w="108" w:type="dxa"/>
            <w:bottom w:w="0" w:type="dxa"/>
            <w:right w:w="108" w:type="dxa"/>
          </w:tblCellMar>
        </w:tblPrEx>
        <w:trPr>
          <w:trHeight w:val="300" w:hRule="atLeast"/>
        </w:trPr>
        <w:tc>
          <w:tcPr>
            <w:tcW w:w="8148"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收入</w:t>
            </w:r>
          </w:p>
        </w:tc>
        <w:tc>
          <w:tcPr>
            <w:tcW w:w="5995" w:type="dxa"/>
            <w:gridSpan w:val="3"/>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支出</w:t>
            </w:r>
          </w:p>
        </w:tc>
      </w:tr>
      <w:tr>
        <w:tblPrEx>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项目</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行次</w:t>
            </w:r>
          </w:p>
        </w:tc>
        <w:tc>
          <w:tcPr>
            <w:tcW w:w="41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金额</w:t>
            </w:r>
          </w:p>
        </w:tc>
        <w:tc>
          <w:tcPr>
            <w:tcW w:w="32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项目</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行次</w:t>
            </w:r>
          </w:p>
        </w:tc>
        <w:tc>
          <w:tcPr>
            <w:tcW w:w="216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金额</w:t>
            </w:r>
          </w:p>
        </w:tc>
      </w:tr>
      <w:tr>
        <w:tblPrEx>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栏次</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　</w:t>
            </w:r>
          </w:p>
        </w:tc>
        <w:tc>
          <w:tcPr>
            <w:tcW w:w="41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1</w:t>
            </w:r>
          </w:p>
        </w:tc>
        <w:tc>
          <w:tcPr>
            <w:tcW w:w="32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栏次</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　</w:t>
            </w:r>
          </w:p>
        </w:tc>
        <w:tc>
          <w:tcPr>
            <w:tcW w:w="2163"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2</w:t>
            </w:r>
          </w:p>
        </w:tc>
      </w:tr>
      <w:tr>
        <w:tblPrEx>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一、一般公共预算财政拨款收入</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1</w:t>
            </w:r>
          </w:p>
        </w:tc>
        <w:tc>
          <w:tcPr>
            <w:tcW w:w="41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290.23</w:t>
            </w:r>
          </w:p>
        </w:tc>
        <w:tc>
          <w:tcPr>
            <w:tcW w:w="32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一、一般公共服务支出</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32</w:t>
            </w:r>
          </w:p>
        </w:tc>
        <w:tc>
          <w:tcPr>
            <w:tcW w:w="2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二、政府性基金预算财政拨款收入</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2</w:t>
            </w:r>
          </w:p>
        </w:tc>
        <w:tc>
          <w:tcPr>
            <w:tcW w:w="41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32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二、外交支出</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33</w:t>
            </w:r>
          </w:p>
        </w:tc>
        <w:tc>
          <w:tcPr>
            <w:tcW w:w="2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三、国有资本经营预算财政拨款收入</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3</w:t>
            </w:r>
          </w:p>
        </w:tc>
        <w:tc>
          <w:tcPr>
            <w:tcW w:w="41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32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三、国防支出</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34</w:t>
            </w:r>
          </w:p>
        </w:tc>
        <w:tc>
          <w:tcPr>
            <w:tcW w:w="2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四、上级补助收入</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4</w:t>
            </w:r>
          </w:p>
        </w:tc>
        <w:tc>
          <w:tcPr>
            <w:tcW w:w="41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32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四、公共安全支出</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35</w:t>
            </w:r>
          </w:p>
        </w:tc>
        <w:tc>
          <w:tcPr>
            <w:tcW w:w="2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294.64</w:t>
            </w:r>
          </w:p>
        </w:tc>
      </w:tr>
      <w:tr>
        <w:tblPrEx>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五、事业收入</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5</w:t>
            </w:r>
          </w:p>
        </w:tc>
        <w:tc>
          <w:tcPr>
            <w:tcW w:w="41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32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五、教育支出</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36</w:t>
            </w:r>
          </w:p>
        </w:tc>
        <w:tc>
          <w:tcPr>
            <w:tcW w:w="2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六、经营收入</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6</w:t>
            </w:r>
          </w:p>
        </w:tc>
        <w:tc>
          <w:tcPr>
            <w:tcW w:w="41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32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六、科学技术支出</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37</w:t>
            </w:r>
          </w:p>
        </w:tc>
        <w:tc>
          <w:tcPr>
            <w:tcW w:w="2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七、附属单位上缴收入</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7</w:t>
            </w:r>
          </w:p>
        </w:tc>
        <w:tc>
          <w:tcPr>
            <w:tcW w:w="41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32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七、文化旅游体育与传媒支出</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38</w:t>
            </w:r>
          </w:p>
        </w:tc>
        <w:tc>
          <w:tcPr>
            <w:tcW w:w="2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八、其他收入</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8</w:t>
            </w:r>
          </w:p>
        </w:tc>
        <w:tc>
          <w:tcPr>
            <w:tcW w:w="41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4.41</w:t>
            </w:r>
          </w:p>
        </w:tc>
        <w:tc>
          <w:tcPr>
            <w:tcW w:w="32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八、社会保障和就业支出</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39</w:t>
            </w:r>
          </w:p>
        </w:tc>
        <w:tc>
          <w:tcPr>
            <w:tcW w:w="2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9</w:t>
            </w:r>
          </w:p>
        </w:tc>
        <w:tc>
          <w:tcPr>
            <w:tcW w:w="41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32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九、卫生健康支出</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40</w:t>
            </w:r>
          </w:p>
        </w:tc>
        <w:tc>
          <w:tcPr>
            <w:tcW w:w="2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10</w:t>
            </w:r>
          </w:p>
        </w:tc>
        <w:tc>
          <w:tcPr>
            <w:tcW w:w="41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32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十、节能环保支出</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41</w:t>
            </w:r>
          </w:p>
        </w:tc>
        <w:tc>
          <w:tcPr>
            <w:tcW w:w="2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11</w:t>
            </w:r>
          </w:p>
        </w:tc>
        <w:tc>
          <w:tcPr>
            <w:tcW w:w="41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32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十一、城乡社区支出</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42</w:t>
            </w:r>
          </w:p>
        </w:tc>
        <w:tc>
          <w:tcPr>
            <w:tcW w:w="2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12</w:t>
            </w:r>
          </w:p>
        </w:tc>
        <w:tc>
          <w:tcPr>
            <w:tcW w:w="41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32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十二、农林水支出</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43</w:t>
            </w:r>
          </w:p>
        </w:tc>
        <w:tc>
          <w:tcPr>
            <w:tcW w:w="2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13</w:t>
            </w:r>
          </w:p>
        </w:tc>
        <w:tc>
          <w:tcPr>
            <w:tcW w:w="41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32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十三、交通运输支出</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44</w:t>
            </w:r>
          </w:p>
        </w:tc>
        <w:tc>
          <w:tcPr>
            <w:tcW w:w="2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14</w:t>
            </w:r>
          </w:p>
        </w:tc>
        <w:tc>
          <w:tcPr>
            <w:tcW w:w="41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32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十四、资源勘探工业信息等支出</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45</w:t>
            </w:r>
          </w:p>
        </w:tc>
        <w:tc>
          <w:tcPr>
            <w:tcW w:w="2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15</w:t>
            </w:r>
          </w:p>
        </w:tc>
        <w:tc>
          <w:tcPr>
            <w:tcW w:w="41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32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十五、商业服务业等支出</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46</w:t>
            </w:r>
          </w:p>
        </w:tc>
        <w:tc>
          <w:tcPr>
            <w:tcW w:w="2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16</w:t>
            </w:r>
          </w:p>
        </w:tc>
        <w:tc>
          <w:tcPr>
            <w:tcW w:w="41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32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十六、金融支出</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47</w:t>
            </w:r>
          </w:p>
        </w:tc>
        <w:tc>
          <w:tcPr>
            <w:tcW w:w="2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17</w:t>
            </w:r>
          </w:p>
        </w:tc>
        <w:tc>
          <w:tcPr>
            <w:tcW w:w="41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32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十七、援助其他地区支出</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48</w:t>
            </w:r>
          </w:p>
        </w:tc>
        <w:tc>
          <w:tcPr>
            <w:tcW w:w="2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18</w:t>
            </w:r>
          </w:p>
        </w:tc>
        <w:tc>
          <w:tcPr>
            <w:tcW w:w="41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32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十八、自然资源海洋气象等支出</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49</w:t>
            </w:r>
          </w:p>
        </w:tc>
        <w:tc>
          <w:tcPr>
            <w:tcW w:w="2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19</w:t>
            </w:r>
          </w:p>
        </w:tc>
        <w:tc>
          <w:tcPr>
            <w:tcW w:w="41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32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十九、住房保障支出</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50</w:t>
            </w:r>
          </w:p>
        </w:tc>
        <w:tc>
          <w:tcPr>
            <w:tcW w:w="2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20</w:t>
            </w:r>
          </w:p>
        </w:tc>
        <w:tc>
          <w:tcPr>
            <w:tcW w:w="41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32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二十、粮油物资储备支出</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51</w:t>
            </w:r>
          </w:p>
        </w:tc>
        <w:tc>
          <w:tcPr>
            <w:tcW w:w="2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21</w:t>
            </w:r>
          </w:p>
        </w:tc>
        <w:tc>
          <w:tcPr>
            <w:tcW w:w="41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32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二十一、国有资本经营预算支出</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52</w:t>
            </w:r>
          </w:p>
        </w:tc>
        <w:tc>
          <w:tcPr>
            <w:tcW w:w="2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22</w:t>
            </w:r>
          </w:p>
        </w:tc>
        <w:tc>
          <w:tcPr>
            <w:tcW w:w="41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32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二十二、灾害防治及应急管理支出</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53</w:t>
            </w:r>
          </w:p>
        </w:tc>
        <w:tc>
          <w:tcPr>
            <w:tcW w:w="2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23</w:t>
            </w:r>
          </w:p>
        </w:tc>
        <w:tc>
          <w:tcPr>
            <w:tcW w:w="41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32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二十三、其他支出</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54</w:t>
            </w:r>
          </w:p>
        </w:tc>
        <w:tc>
          <w:tcPr>
            <w:tcW w:w="2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　</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24</w:t>
            </w:r>
          </w:p>
        </w:tc>
        <w:tc>
          <w:tcPr>
            <w:tcW w:w="41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32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二十四、债务还本支出</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55</w:t>
            </w:r>
          </w:p>
        </w:tc>
        <w:tc>
          <w:tcPr>
            <w:tcW w:w="2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25</w:t>
            </w:r>
          </w:p>
        </w:tc>
        <w:tc>
          <w:tcPr>
            <w:tcW w:w="41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32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二十五、债务付息支出</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56</w:t>
            </w:r>
          </w:p>
        </w:tc>
        <w:tc>
          <w:tcPr>
            <w:tcW w:w="2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26</w:t>
            </w:r>
          </w:p>
        </w:tc>
        <w:tc>
          <w:tcPr>
            <w:tcW w:w="41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32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二十六、抗疫特别国债安排的支出</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57</w:t>
            </w:r>
          </w:p>
        </w:tc>
        <w:tc>
          <w:tcPr>
            <w:tcW w:w="2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本年收入合计</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27</w:t>
            </w:r>
          </w:p>
        </w:tc>
        <w:tc>
          <w:tcPr>
            <w:tcW w:w="41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294.64</w:t>
            </w:r>
          </w:p>
        </w:tc>
        <w:tc>
          <w:tcPr>
            <w:tcW w:w="32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本年支出合计</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58</w:t>
            </w:r>
          </w:p>
        </w:tc>
        <w:tc>
          <w:tcPr>
            <w:tcW w:w="2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294.64</w:t>
            </w:r>
          </w:p>
        </w:tc>
      </w:tr>
      <w:tr>
        <w:tblPrEx>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使用非财政拨款结余</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28</w:t>
            </w:r>
          </w:p>
        </w:tc>
        <w:tc>
          <w:tcPr>
            <w:tcW w:w="41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32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结余分配</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59</w:t>
            </w:r>
          </w:p>
        </w:tc>
        <w:tc>
          <w:tcPr>
            <w:tcW w:w="2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年初结转和结余</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29</w:t>
            </w:r>
          </w:p>
        </w:tc>
        <w:tc>
          <w:tcPr>
            <w:tcW w:w="41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50.97</w:t>
            </w:r>
          </w:p>
        </w:tc>
        <w:tc>
          <w:tcPr>
            <w:tcW w:w="32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年末结转和结余</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60</w:t>
            </w:r>
          </w:p>
        </w:tc>
        <w:tc>
          <w:tcPr>
            <w:tcW w:w="2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50.97</w:t>
            </w:r>
          </w:p>
        </w:tc>
      </w:tr>
      <w:tr>
        <w:tblPrEx>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30</w:t>
            </w:r>
          </w:p>
        </w:tc>
        <w:tc>
          <w:tcPr>
            <w:tcW w:w="41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32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61</w:t>
            </w:r>
          </w:p>
        </w:tc>
        <w:tc>
          <w:tcPr>
            <w:tcW w:w="2163"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300" w:hRule="atLeast"/>
        </w:trPr>
        <w:tc>
          <w:tcPr>
            <w:tcW w:w="3416"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b/>
                <w:bCs/>
                <w:kern w:val="0"/>
                <w:sz w:val="20"/>
                <w:szCs w:val="20"/>
              </w:rPr>
            </w:pPr>
            <w:r>
              <w:rPr>
                <w:rFonts w:hint="eastAsia" w:ascii="宋体" w:hAnsi="宋体" w:cs="Arial"/>
                <w:b/>
                <w:bCs/>
                <w:kern w:val="0"/>
                <w:sz w:val="20"/>
                <w:szCs w:val="20"/>
              </w:rPr>
              <w:t>总计</w:t>
            </w:r>
          </w:p>
        </w:tc>
        <w:tc>
          <w:tcPr>
            <w:tcW w:w="616" w:type="dxa"/>
            <w:tcBorders>
              <w:top w:val="nil"/>
              <w:left w:val="nil"/>
              <w:bottom w:val="single" w:color="000000" w:sz="12"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31</w:t>
            </w:r>
          </w:p>
        </w:tc>
        <w:tc>
          <w:tcPr>
            <w:tcW w:w="41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345.60</w:t>
            </w:r>
          </w:p>
        </w:tc>
        <w:tc>
          <w:tcPr>
            <w:tcW w:w="32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b/>
                <w:bCs/>
                <w:kern w:val="0"/>
                <w:sz w:val="20"/>
                <w:szCs w:val="20"/>
              </w:rPr>
            </w:pPr>
            <w:r>
              <w:rPr>
                <w:rFonts w:hint="eastAsia" w:ascii="宋体" w:hAnsi="宋体" w:cs="Arial"/>
                <w:b/>
                <w:bCs/>
                <w:kern w:val="0"/>
                <w:sz w:val="20"/>
                <w:szCs w:val="20"/>
              </w:rPr>
              <w:t>总计</w:t>
            </w:r>
          </w:p>
        </w:tc>
        <w:tc>
          <w:tcPr>
            <w:tcW w:w="6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62</w:t>
            </w:r>
          </w:p>
        </w:tc>
        <w:tc>
          <w:tcPr>
            <w:tcW w:w="216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345.60</w:t>
            </w:r>
          </w:p>
        </w:tc>
      </w:tr>
      <w:tr>
        <w:tblPrEx>
          <w:tblCellMar>
            <w:top w:w="0" w:type="dxa"/>
            <w:left w:w="108" w:type="dxa"/>
            <w:bottom w:w="0" w:type="dxa"/>
            <w:right w:w="108" w:type="dxa"/>
          </w:tblCellMar>
        </w:tblPrEx>
        <w:trPr>
          <w:trHeight w:val="300" w:hRule="atLeast"/>
        </w:trPr>
        <w:tc>
          <w:tcPr>
            <w:tcW w:w="14143" w:type="dxa"/>
            <w:gridSpan w:val="6"/>
            <w:tcBorders>
              <w:top w:val="nil"/>
              <w:left w:val="nil"/>
              <w:bottom w:val="nil"/>
              <w:right w:val="nil"/>
            </w:tcBorders>
            <w:shd w:val="clear" w:color="000000" w:fill="FFFFFF"/>
            <w:noWrap/>
            <w:vAlign w:val="center"/>
          </w:tcPr>
          <w:p>
            <w:pPr>
              <w:widowControl/>
              <w:jc w:val="left"/>
              <w:rPr>
                <w:rFonts w:ascii="宋体" w:hAnsi="宋体" w:cs="Arial"/>
                <w:kern w:val="0"/>
                <w:sz w:val="20"/>
                <w:szCs w:val="20"/>
              </w:rPr>
            </w:pPr>
            <w:r>
              <w:rPr>
                <w:rFonts w:hint="eastAsia" w:ascii="宋体" w:hAnsi="宋体" w:cs="Arial"/>
                <w:kern w:val="0"/>
                <w:sz w:val="20"/>
                <w:szCs w:val="20"/>
              </w:rPr>
              <w:t>注：本表反映部门本年度的总收支和年末结转结余情况。本套报表金额单位转换时可能存在尾数误差。</w:t>
            </w:r>
          </w:p>
        </w:tc>
      </w:tr>
    </w:tbl>
    <w:p>
      <w:pPr>
        <w:pStyle w:val="13"/>
        <w:spacing w:before="76" w:beforeAutospacing="0" w:after="76" w:afterAutospacing="0" w:line="450" w:lineRule="atLeast"/>
        <w:jc w:val="both"/>
      </w:pPr>
    </w:p>
    <w:tbl>
      <w:tblPr>
        <w:tblStyle w:val="7"/>
        <w:tblW w:w="14042" w:type="dxa"/>
        <w:tblInd w:w="0" w:type="dxa"/>
        <w:tblLayout w:type="fixed"/>
        <w:tblCellMar>
          <w:top w:w="0" w:type="dxa"/>
          <w:left w:w="15" w:type="dxa"/>
          <w:bottom w:w="0" w:type="dxa"/>
          <w:right w:w="15" w:type="dxa"/>
        </w:tblCellMar>
      </w:tblPr>
      <w:tblGrid>
        <w:gridCol w:w="14042"/>
      </w:tblGrid>
      <w:tr>
        <w:tblPrEx>
          <w:tblCellMar>
            <w:top w:w="0" w:type="dxa"/>
            <w:left w:w="15" w:type="dxa"/>
            <w:bottom w:w="0" w:type="dxa"/>
            <w:right w:w="15" w:type="dxa"/>
          </w:tblCellMar>
        </w:tblPrEx>
        <w:trPr>
          <w:trHeight w:val="375" w:hRule="atLeast"/>
        </w:trPr>
        <w:tc>
          <w:tcPr>
            <w:tcW w:w="14042" w:type="dxa"/>
            <w:shd w:val="solid" w:color="FFFFFF" w:fill="auto"/>
            <w:vAlign w:val="center"/>
          </w:tcPr>
          <w:p>
            <w:pPr>
              <w:shd w:val="solid" w:color="FFFFFF" w:fill="auto"/>
              <w:autoSpaceDN w:val="0"/>
              <w:textAlignment w:val="center"/>
              <w:rPr>
                <w:rFonts w:ascii="黑体" w:hAnsi="黑体" w:eastAsia="黑体"/>
                <w:color w:val="000000"/>
                <w:sz w:val="30"/>
                <w:shd w:val="clear" w:color="auto" w:fill="FFFFFF"/>
              </w:rPr>
            </w:pPr>
          </w:p>
        </w:tc>
      </w:tr>
      <w:tr>
        <w:tblPrEx>
          <w:tblCellMar>
            <w:top w:w="0" w:type="dxa"/>
            <w:left w:w="15" w:type="dxa"/>
            <w:bottom w:w="0" w:type="dxa"/>
            <w:right w:w="15" w:type="dxa"/>
          </w:tblCellMar>
        </w:tblPrEx>
        <w:trPr>
          <w:trHeight w:val="375" w:hRule="atLeast"/>
        </w:trPr>
        <w:tc>
          <w:tcPr>
            <w:tcW w:w="14042" w:type="dxa"/>
            <w:shd w:val="solid" w:color="FFFFFF" w:fill="auto"/>
            <w:vAlign w:val="center"/>
          </w:tcPr>
          <w:p>
            <w:pPr>
              <w:shd w:val="solid" w:color="FFFFFF" w:fill="auto"/>
              <w:autoSpaceDN w:val="0"/>
              <w:textAlignment w:val="center"/>
              <w:rPr>
                <w:rFonts w:ascii="黑体" w:hAnsi="黑体" w:eastAsia="黑体"/>
                <w:color w:val="000000"/>
                <w:sz w:val="30"/>
                <w:shd w:val="clear" w:color="auto" w:fill="FFFFFF"/>
              </w:rPr>
            </w:pPr>
          </w:p>
          <w:p>
            <w:pPr>
              <w:shd w:val="solid" w:color="FFFFFF" w:fill="auto"/>
              <w:autoSpaceDN w:val="0"/>
              <w:textAlignment w:val="center"/>
              <w:rPr>
                <w:rFonts w:ascii="黑体" w:hAnsi="黑体" w:eastAsia="黑体"/>
                <w:color w:val="000000"/>
                <w:sz w:val="30"/>
                <w:shd w:val="clear" w:color="auto" w:fill="FFFFFF"/>
              </w:rPr>
            </w:pPr>
          </w:p>
          <w:p>
            <w:pPr>
              <w:shd w:val="solid" w:color="FFFFFF" w:fill="auto"/>
              <w:autoSpaceDN w:val="0"/>
              <w:textAlignment w:val="center"/>
              <w:rPr>
                <w:rFonts w:ascii="黑体" w:hAnsi="黑体" w:eastAsia="黑体"/>
                <w:color w:val="000000"/>
                <w:sz w:val="30"/>
                <w:shd w:val="clear" w:color="auto" w:fill="FFFFFF"/>
              </w:rPr>
            </w:pPr>
          </w:p>
        </w:tc>
      </w:tr>
      <w:tr>
        <w:tblPrEx>
          <w:tblCellMar>
            <w:top w:w="0" w:type="dxa"/>
            <w:left w:w="15" w:type="dxa"/>
            <w:bottom w:w="0" w:type="dxa"/>
            <w:right w:w="15" w:type="dxa"/>
          </w:tblCellMar>
        </w:tblPrEx>
        <w:trPr>
          <w:trHeight w:val="300" w:hRule="atLeast"/>
        </w:trPr>
        <w:tc>
          <w:tcPr>
            <w:tcW w:w="14042" w:type="dxa"/>
            <w:shd w:val="solid" w:color="FFFFFF" w:fill="auto"/>
            <w:vAlign w:val="center"/>
          </w:tcPr>
          <w:tbl>
            <w:tblPr>
              <w:tblStyle w:val="7"/>
              <w:tblW w:w="13762" w:type="dxa"/>
              <w:tblInd w:w="0" w:type="dxa"/>
              <w:tblLayout w:type="fixed"/>
              <w:tblCellMar>
                <w:top w:w="0" w:type="dxa"/>
                <w:left w:w="108" w:type="dxa"/>
                <w:bottom w:w="0" w:type="dxa"/>
                <w:right w:w="108" w:type="dxa"/>
              </w:tblCellMar>
            </w:tblPr>
            <w:tblGrid>
              <w:gridCol w:w="301"/>
              <w:gridCol w:w="236"/>
              <w:gridCol w:w="236"/>
              <w:gridCol w:w="2677"/>
              <w:gridCol w:w="1580"/>
              <w:gridCol w:w="1645"/>
              <w:gridCol w:w="1386"/>
              <w:gridCol w:w="1433"/>
              <w:gridCol w:w="1288"/>
              <w:gridCol w:w="1805"/>
              <w:gridCol w:w="1175"/>
            </w:tblGrid>
            <w:tr>
              <w:tblPrEx>
                <w:tblCellMar>
                  <w:top w:w="0" w:type="dxa"/>
                  <w:left w:w="108" w:type="dxa"/>
                  <w:bottom w:w="0" w:type="dxa"/>
                  <w:right w:w="108" w:type="dxa"/>
                </w:tblCellMar>
              </w:tblPrEx>
              <w:trPr>
                <w:trHeight w:val="375" w:hRule="atLeast"/>
              </w:trPr>
              <w:tc>
                <w:tcPr>
                  <w:tcW w:w="13762" w:type="dxa"/>
                  <w:gridSpan w:val="11"/>
                  <w:tcBorders>
                    <w:top w:val="nil"/>
                    <w:left w:val="nil"/>
                    <w:bottom w:val="nil"/>
                    <w:right w:val="nil"/>
                  </w:tcBorders>
                  <w:shd w:val="clear" w:color="000000" w:fill="FFFFFF"/>
                  <w:noWrap/>
                  <w:vAlign w:val="center"/>
                </w:tcPr>
                <w:p>
                  <w:pPr>
                    <w:widowControl/>
                    <w:jc w:val="center"/>
                    <w:rPr>
                      <w:rFonts w:ascii="黑体" w:hAnsi="黑体" w:eastAsia="黑体" w:cs="Arial"/>
                      <w:color w:val="000000"/>
                      <w:kern w:val="0"/>
                      <w:sz w:val="30"/>
                      <w:szCs w:val="30"/>
                    </w:rPr>
                  </w:pPr>
                  <w:r>
                    <w:rPr>
                      <w:rFonts w:hint="eastAsia" w:ascii="黑体" w:hAnsi="黑体" w:eastAsia="黑体" w:cs="Arial"/>
                      <w:color w:val="000000"/>
                      <w:kern w:val="0"/>
                      <w:sz w:val="30"/>
                      <w:szCs w:val="30"/>
                    </w:rPr>
                    <w:t>收入决算表</w:t>
                  </w:r>
                </w:p>
              </w:tc>
            </w:tr>
            <w:tr>
              <w:tblPrEx>
                <w:tblCellMar>
                  <w:top w:w="0" w:type="dxa"/>
                  <w:left w:w="108" w:type="dxa"/>
                  <w:bottom w:w="0" w:type="dxa"/>
                  <w:right w:w="108" w:type="dxa"/>
                </w:tblCellMar>
              </w:tblPrEx>
              <w:trPr>
                <w:trHeight w:val="300" w:hRule="atLeast"/>
              </w:trPr>
              <w:tc>
                <w:tcPr>
                  <w:tcW w:w="301"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236"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236"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2677"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1580"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1645"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1386"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1433"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1288"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2980" w:type="dxa"/>
                  <w:gridSpan w:val="2"/>
                  <w:tcBorders>
                    <w:top w:val="nil"/>
                    <w:left w:val="nil"/>
                    <w:bottom w:val="nil"/>
                    <w:right w:val="nil"/>
                  </w:tcBorders>
                  <w:shd w:val="clear" w:color="000000" w:fill="FFFFFF"/>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xml:space="preserve">           公开02表</w:t>
                  </w:r>
                </w:p>
              </w:tc>
            </w:tr>
            <w:tr>
              <w:tblPrEx>
                <w:tblCellMar>
                  <w:top w:w="0" w:type="dxa"/>
                  <w:left w:w="108" w:type="dxa"/>
                  <w:bottom w:w="0" w:type="dxa"/>
                  <w:right w:w="108" w:type="dxa"/>
                </w:tblCellMar>
              </w:tblPrEx>
              <w:trPr>
                <w:trHeight w:val="300" w:hRule="atLeast"/>
              </w:trPr>
              <w:tc>
                <w:tcPr>
                  <w:tcW w:w="3450" w:type="dxa"/>
                  <w:gridSpan w:val="4"/>
                  <w:tcBorders>
                    <w:top w:val="nil"/>
                    <w:left w:val="nil"/>
                    <w:bottom w:val="single" w:color="000000" w:sz="4" w:space="0"/>
                    <w:right w:val="nil"/>
                  </w:tcBorders>
                  <w:shd w:val="clear" w:color="000000" w:fill="FFFFFF"/>
                  <w:noWrap/>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部门：黄石市黄石港区司法局</w:t>
                  </w:r>
                </w:p>
              </w:tc>
              <w:tc>
                <w:tcPr>
                  <w:tcW w:w="1580" w:type="dxa"/>
                  <w:tcBorders>
                    <w:top w:val="nil"/>
                    <w:left w:val="nil"/>
                    <w:bottom w:val="single" w:color="000000" w:sz="4" w:space="0"/>
                    <w:right w:val="nil"/>
                  </w:tcBorders>
                  <w:shd w:val="clear" w:color="000000" w:fill="FFFFFF"/>
                  <w:noWrap/>
                  <w:vAlign w:val="center"/>
                </w:tcPr>
                <w:p>
                  <w:pPr>
                    <w:widowControl/>
                    <w:jc w:val="center"/>
                    <w:rPr>
                      <w:rFonts w:ascii="宋体" w:hAnsi="宋体" w:cs="Arial"/>
                      <w:kern w:val="0"/>
                      <w:sz w:val="18"/>
                      <w:szCs w:val="18"/>
                    </w:rPr>
                  </w:pPr>
                  <w:r>
                    <w:rPr>
                      <w:rFonts w:hint="eastAsia" w:ascii="宋体" w:hAnsi="宋体" w:cs="Arial"/>
                      <w:kern w:val="0"/>
                      <w:sz w:val="18"/>
                      <w:szCs w:val="18"/>
                    </w:rPr>
                    <w:t>　</w:t>
                  </w:r>
                </w:p>
              </w:tc>
              <w:tc>
                <w:tcPr>
                  <w:tcW w:w="3031" w:type="dxa"/>
                  <w:gridSpan w:val="2"/>
                  <w:tcBorders>
                    <w:top w:val="nil"/>
                    <w:left w:val="nil"/>
                    <w:bottom w:val="single" w:color="000000" w:sz="4" w:space="0"/>
                    <w:right w:val="nil"/>
                  </w:tcBorders>
                  <w:shd w:val="clear" w:color="000000" w:fill="FFFFFF"/>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2020年度</w:t>
                  </w:r>
                </w:p>
              </w:tc>
              <w:tc>
                <w:tcPr>
                  <w:tcW w:w="1433" w:type="dxa"/>
                  <w:tcBorders>
                    <w:top w:val="nil"/>
                    <w:left w:val="nil"/>
                    <w:bottom w:val="single" w:color="000000" w:sz="4" w:space="0"/>
                    <w:right w:val="nil"/>
                  </w:tcBorders>
                  <w:shd w:val="clear" w:color="000000" w:fill="FFFFFF"/>
                  <w:noWrap/>
                  <w:vAlign w:val="center"/>
                </w:tcPr>
                <w:p>
                  <w:pPr>
                    <w:widowControl/>
                    <w:jc w:val="center"/>
                    <w:rPr>
                      <w:rFonts w:ascii="宋体" w:hAnsi="宋体" w:cs="Arial"/>
                      <w:kern w:val="0"/>
                      <w:sz w:val="18"/>
                      <w:szCs w:val="18"/>
                    </w:rPr>
                  </w:pPr>
                  <w:r>
                    <w:rPr>
                      <w:rFonts w:hint="eastAsia" w:ascii="宋体" w:hAnsi="宋体" w:cs="Arial"/>
                      <w:kern w:val="0"/>
                      <w:sz w:val="18"/>
                      <w:szCs w:val="18"/>
                    </w:rPr>
                    <w:t>　</w:t>
                  </w:r>
                </w:p>
              </w:tc>
              <w:tc>
                <w:tcPr>
                  <w:tcW w:w="1288" w:type="dxa"/>
                  <w:tcBorders>
                    <w:top w:val="nil"/>
                    <w:left w:val="nil"/>
                    <w:bottom w:val="single" w:color="000000" w:sz="4" w:space="0"/>
                    <w:right w:val="nil"/>
                  </w:tcBorders>
                  <w:shd w:val="clear" w:color="000000" w:fill="FFFFFF"/>
                  <w:noWrap/>
                  <w:vAlign w:val="center"/>
                </w:tcPr>
                <w:p>
                  <w:pPr>
                    <w:widowControl/>
                    <w:jc w:val="center"/>
                    <w:rPr>
                      <w:rFonts w:ascii="宋体" w:hAnsi="宋体" w:cs="Arial"/>
                      <w:kern w:val="0"/>
                      <w:sz w:val="18"/>
                      <w:szCs w:val="18"/>
                    </w:rPr>
                  </w:pPr>
                  <w:r>
                    <w:rPr>
                      <w:rFonts w:hint="eastAsia" w:ascii="宋体" w:hAnsi="宋体" w:cs="Arial"/>
                      <w:kern w:val="0"/>
                      <w:sz w:val="18"/>
                      <w:szCs w:val="18"/>
                    </w:rPr>
                    <w:t>　</w:t>
                  </w:r>
                </w:p>
              </w:tc>
              <w:tc>
                <w:tcPr>
                  <w:tcW w:w="2980" w:type="dxa"/>
                  <w:gridSpan w:val="2"/>
                  <w:tcBorders>
                    <w:top w:val="nil"/>
                    <w:left w:val="nil"/>
                    <w:bottom w:val="single" w:color="000000" w:sz="4" w:space="0"/>
                    <w:right w:val="nil"/>
                  </w:tcBorders>
                  <w:shd w:val="clear" w:color="000000" w:fill="FFFFFF"/>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xml:space="preserve">        金额单位：万元</w:t>
                  </w:r>
                </w:p>
              </w:tc>
            </w:tr>
            <w:tr>
              <w:tblPrEx>
                <w:tblCellMar>
                  <w:top w:w="0" w:type="dxa"/>
                  <w:left w:w="108" w:type="dxa"/>
                  <w:bottom w:w="0" w:type="dxa"/>
                  <w:right w:w="108" w:type="dxa"/>
                </w:tblCellMar>
              </w:tblPrEx>
              <w:trPr>
                <w:trHeight w:val="300" w:hRule="atLeast"/>
              </w:trPr>
              <w:tc>
                <w:tcPr>
                  <w:tcW w:w="3450" w:type="dxa"/>
                  <w:gridSpan w:val="4"/>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项目</w:t>
                  </w:r>
                </w:p>
              </w:tc>
              <w:tc>
                <w:tcPr>
                  <w:tcW w:w="1580"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本年收入合计</w:t>
                  </w:r>
                </w:p>
              </w:tc>
              <w:tc>
                <w:tcPr>
                  <w:tcW w:w="1645"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财政拨款收入</w:t>
                  </w:r>
                </w:p>
              </w:tc>
              <w:tc>
                <w:tcPr>
                  <w:tcW w:w="1386"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上级补助收入</w:t>
                  </w:r>
                </w:p>
              </w:tc>
              <w:tc>
                <w:tcPr>
                  <w:tcW w:w="1433"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事业收入</w:t>
                  </w:r>
                </w:p>
              </w:tc>
              <w:tc>
                <w:tcPr>
                  <w:tcW w:w="1288"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经营收入</w:t>
                  </w:r>
                </w:p>
              </w:tc>
              <w:tc>
                <w:tcPr>
                  <w:tcW w:w="1805"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附属单位上缴收入</w:t>
                  </w:r>
                </w:p>
              </w:tc>
              <w:tc>
                <w:tcPr>
                  <w:tcW w:w="1175"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其他收入</w:t>
                  </w:r>
                </w:p>
              </w:tc>
            </w:tr>
            <w:tr>
              <w:tblPrEx>
                <w:tblCellMar>
                  <w:top w:w="0" w:type="dxa"/>
                  <w:left w:w="108" w:type="dxa"/>
                  <w:bottom w:w="0" w:type="dxa"/>
                  <w:right w:w="108" w:type="dxa"/>
                </w:tblCellMar>
              </w:tblPrEx>
              <w:trPr>
                <w:trHeight w:val="312" w:hRule="atLeast"/>
              </w:trPr>
              <w:tc>
                <w:tcPr>
                  <w:tcW w:w="773" w:type="dxa"/>
                  <w:gridSpan w:val="3"/>
                  <w:vMerge w:val="restart"/>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功能分类科目编码</w:t>
                  </w:r>
                </w:p>
              </w:tc>
              <w:tc>
                <w:tcPr>
                  <w:tcW w:w="2677" w:type="dxa"/>
                  <w:vMerge w:val="restart"/>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科目名称</w:t>
                  </w:r>
                </w:p>
              </w:tc>
              <w:tc>
                <w:tcPr>
                  <w:tcW w:w="1580"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1645"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1386"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1433"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1288"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1805"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1175"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r>
            <w:tr>
              <w:tblPrEx>
                <w:tblCellMar>
                  <w:top w:w="0" w:type="dxa"/>
                  <w:left w:w="108" w:type="dxa"/>
                  <w:bottom w:w="0" w:type="dxa"/>
                  <w:right w:w="108" w:type="dxa"/>
                </w:tblCellMar>
              </w:tblPrEx>
              <w:trPr>
                <w:trHeight w:val="312" w:hRule="atLeast"/>
              </w:trPr>
              <w:tc>
                <w:tcPr>
                  <w:tcW w:w="773"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2677"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1580"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1645"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1386"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1433"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1288"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1805"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1175"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r>
            <w:tr>
              <w:tblPrEx>
                <w:tblCellMar>
                  <w:top w:w="0" w:type="dxa"/>
                  <w:left w:w="108" w:type="dxa"/>
                  <w:bottom w:w="0" w:type="dxa"/>
                  <w:right w:w="108" w:type="dxa"/>
                </w:tblCellMar>
              </w:tblPrEx>
              <w:trPr>
                <w:trHeight w:val="312" w:hRule="atLeast"/>
              </w:trPr>
              <w:tc>
                <w:tcPr>
                  <w:tcW w:w="773"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2677"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1580"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1645"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1386"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1433"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1288"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1805"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1175"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r>
            <w:tr>
              <w:tblPrEx>
                <w:tblCellMar>
                  <w:top w:w="0" w:type="dxa"/>
                  <w:left w:w="108" w:type="dxa"/>
                  <w:bottom w:w="0" w:type="dxa"/>
                  <w:right w:w="108" w:type="dxa"/>
                </w:tblCellMar>
              </w:tblPrEx>
              <w:trPr>
                <w:trHeight w:val="300" w:hRule="atLeast"/>
              </w:trPr>
              <w:tc>
                <w:tcPr>
                  <w:tcW w:w="3450" w:type="dxa"/>
                  <w:gridSpan w:val="4"/>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栏次</w:t>
                  </w:r>
                </w:p>
              </w:tc>
              <w:tc>
                <w:tcPr>
                  <w:tcW w:w="1580"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1</w:t>
                  </w:r>
                </w:p>
              </w:tc>
              <w:tc>
                <w:tcPr>
                  <w:tcW w:w="1645"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2</w:t>
                  </w:r>
                </w:p>
              </w:tc>
              <w:tc>
                <w:tcPr>
                  <w:tcW w:w="1386"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3</w:t>
                  </w:r>
                </w:p>
              </w:tc>
              <w:tc>
                <w:tcPr>
                  <w:tcW w:w="1433"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4</w:t>
                  </w:r>
                </w:p>
              </w:tc>
              <w:tc>
                <w:tcPr>
                  <w:tcW w:w="1288"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5</w:t>
                  </w:r>
                </w:p>
              </w:tc>
              <w:tc>
                <w:tcPr>
                  <w:tcW w:w="1805"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6</w:t>
                  </w:r>
                </w:p>
              </w:tc>
              <w:tc>
                <w:tcPr>
                  <w:tcW w:w="1175"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7</w:t>
                  </w:r>
                </w:p>
              </w:tc>
            </w:tr>
            <w:tr>
              <w:tblPrEx>
                <w:tblCellMar>
                  <w:top w:w="0" w:type="dxa"/>
                  <w:left w:w="108" w:type="dxa"/>
                  <w:bottom w:w="0" w:type="dxa"/>
                  <w:right w:w="108" w:type="dxa"/>
                </w:tblCellMar>
              </w:tblPrEx>
              <w:trPr>
                <w:trHeight w:val="300" w:hRule="atLeast"/>
              </w:trPr>
              <w:tc>
                <w:tcPr>
                  <w:tcW w:w="3450" w:type="dxa"/>
                  <w:gridSpan w:val="4"/>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合计</w:t>
                  </w:r>
                </w:p>
              </w:tc>
              <w:tc>
                <w:tcPr>
                  <w:tcW w:w="15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294.64</w:t>
                  </w:r>
                </w:p>
              </w:tc>
              <w:tc>
                <w:tcPr>
                  <w:tcW w:w="16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290.23</w:t>
                  </w:r>
                </w:p>
              </w:tc>
              <w:tc>
                <w:tcPr>
                  <w:tcW w:w="138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43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2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80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17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4.41</w:t>
                  </w:r>
                </w:p>
              </w:tc>
            </w:tr>
            <w:tr>
              <w:tblPrEx>
                <w:tblCellMar>
                  <w:top w:w="0" w:type="dxa"/>
                  <w:left w:w="108" w:type="dxa"/>
                  <w:bottom w:w="0" w:type="dxa"/>
                  <w:right w:w="108" w:type="dxa"/>
                </w:tblCellMar>
              </w:tblPrEx>
              <w:trPr>
                <w:trHeight w:val="300" w:hRule="atLeast"/>
              </w:trPr>
              <w:tc>
                <w:tcPr>
                  <w:tcW w:w="773"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204</w:t>
                  </w:r>
                </w:p>
              </w:tc>
              <w:tc>
                <w:tcPr>
                  <w:tcW w:w="267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b/>
                      <w:bCs/>
                      <w:kern w:val="0"/>
                      <w:sz w:val="20"/>
                      <w:szCs w:val="20"/>
                    </w:rPr>
                  </w:pPr>
                  <w:r>
                    <w:rPr>
                      <w:rFonts w:hint="eastAsia" w:ascii="宋体" w:hAnsi="宋体" w:cs="Arial"/>
                      <w:b/>
                      <w:bCs/>
                      <w:kern w:val="0"/>
                      <w:sz w:val="20"/>
                      <w:szCs w:val="20"/>
                    </w:rPr>
                    <w:t>公共安全支出</w:t>
                  </w:r>
                </w:p>
              </w:tc>
              <w:tc>
                <w:tcPr>
                  <w:tcW w:w="158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294.64</w:t>
                  </w:r>
                </w:p>
              </w:tc>
              <w:tc>
                <w:tcPr>
                  <w:tcW w:w="1645"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290.23</w:t>
                  </w:r>
                </w:p>
              </w:tc>
              <w:tc>
                <w:tcPr>
                  <w:tcW w:w="138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433"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288"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805"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175"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4.41</w:t>
                  </w:r>
                </w:p>
              </w:tc>
            </w:tr>
            <w:tr>
              <w:tblPrEx>
                <w:tblCellMar>
                  <w:top w:w="0" w:type="dxa"/>
                  <w:left w:w="108" w:type="dxa"/>
                  <w:bottom w:w="0" w:type="dxa"/>
                  <w:right w:w="108" w:type="dxa"/>
                </w:tblCellMar>
              </w:tblPrEx>
              <w:trPr>
                <w:trHeight w:val="300" w:hRule="atLeast"/>
              </w:trPr>
              <w:tc>
                <w:tcPr>
                  <w:tcW w:w="773"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20406</w:t>
                  </w:r>
                </w:p>
              </w:tc>
              <w:tc>
                <w:tcPr>
                  <w:tcW w:w="2677"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b/>
                      <w:bCs/>
                      <w:kern w:val="0"/>
                      <w:sz w:val="20"/>
                      <w:szCs w:val="20"/>
                    </w:rPr>
                  </w:pPr>
                  <w:r>
                    <w:rPr>
                      <w:rFonts w:hint="eastAsia" w:ascii="宋体" w:hAnsi="宋体" w:cs="Arial"/>
                      <w:b/>
                      <w:bCs/>
                      <w:kern w:val="0"/>
                      <w:sz w:val="20"/>
                      <w:szCs w:val="20"/>
                    </w:rPr>
                    <w:t>司法</w:t>
                  </w:r>
                </w:p>
              </w:tc>
              <w:tc>
                <w:tcPr>
                  <w:tcW w:w="1580"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294.64</w:t>
                  </w:r>
                </w:p>
              </w:tc>
              <w:tc>
                <w:tcPr>
                  <w:tcW w:w="1645"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290.23</w:t>
                  </w:r>
                </w:p>
              </w:tc>
              <w:tc>
                <w:tcPr>
                  <w:tcW w:w="1386"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433"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288"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805"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175"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4.41</w:t>
                  </w:r>
                </w:p>
              </w:tc>
            </w:tr>
            <w:tr>
              <w:tblPrEx>
                <w:tblCellMar>
                  <w:top w:w="0" w:type="dxa"/>
                  <w:left w:w="108" w:type="dxa"/>
                  <w:bottom w:w="0" w:type="dxa"/>
                  <w:right w:w="108" w:type="dxa"/>
                </w:tblCellMar>
              </w:tblPrEx>
              <w:trPr>
                <w:trHeight w:val="300" w:hRule="atLeast"/>
              </w:trPr>
              <w:tc>
                <w:tcPr>
                  <w:tcW w:w="773"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kern w:val="0"/>
                      <w:sz w:val="20"/>
                      <w:szCs w:val="20"/>
                    </w:rPr>
                  </w:pPr>
                  <w:r>
                    <w:rPr>
                      <w:rFonts w:hint="eastAsia" w:ascii="宋体" w:hAnsi="宋体" w:cs="Arial"/>
                      <w:kern w:val="0"/>
                      <w:sz w:val="20"/>
                      <w:szCs w:val="20"/>
                    </w:rPr>
                    <w:t>2040601</w:t>
                  </w:r>
                </w:p>
              </w:tc>
              <w:tc>
                <w:tcPr>
                  <w:tcW w:w="2677" w:type="dxa"/>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行政运行</w:t>
                  </w:r>
                </w:p>
              </w:tc>
              <w:tc>
                <w:tcPr>
                  <w:tcW w:w="15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253.22</w:t>
                  </w:r>
                </w:p>
              </w:tc>
              <w:tc>
                <w:tcPr>
                  <w:tcW w:w="16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248.81</w:t>
                  </w:r>
                </w:p>
              </w:tc>
              <w:tc>
                <w:tcPr>
                  <w:tcW w:w="138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43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2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80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17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4.41</w:t>
                  </w:r>
                </w:p>
              </w:tc>
            </w:tr>
            <w:tr>
              <w:tblPrEx>
                <w:tblCellMar>
                  <w:top w:w="0" w:type="dxa"/>
                  <w:left w:w="108" w:type="dxa"/>
                  <w:bottom w:w="0" w:type="dxa"/>
                  <w:right w:w="108" w:type="dxa"/>
                </w:tblCellMar>
              </w:tblPrEx>
              <w:trPr>
                <w:trHeight w:val="300" w:hRule="atLeast"/>
              </w:trPr>
              <w:tc>
                <w:tcPr>
                  <w:tcW w:w="773"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kern w:val="0"/>
                      <w:sz w:val="20"/>
                      <w:szCs w:val="20"/>
                    </w:rPr>
                  </w:pPr>
                  <w:r>
                    <w:rPr>
                      <w:rFonts w:hint="eastAsia" w:ascii="宋体" w:hAnsi="宋体" w:cs="Arial"/>
                      <w:kern w:val="0"/>
                      <w:sz w:val="20"/>
                      <w:szCs w:val="20"/>
                    </w:rPr>
                    <w:t>2040607</w:t>
                  </w:r>
                </w:p>
              </w:tc>
              <w:tc>
                <w:tcPr>
                  <w:tcW w:w="2677" w:type="dxa"/>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法律援助</w:t>
                  </w:r>
                </w:p>
              </w:tc>
              <w:tc>
                <w:tcPr>
                  <w:tcW w:w="15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6.76</w:t>
                  </w:r>
                </w:p>
              </w:tc>
              <w:tc>
                <w:tcPr>
                  <w:tcW w:w="16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6.76</w:t>
                  </w:r>
                </w:p>
              </w:tc>
              <w:tc>
                <w:tcPr>
                  <w:tcW w:w="138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43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2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80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17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773"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kern w:val="0"/>
                      <w:sz w:val="20"/>
                      <w:szCs w:val="20"/>
                    </w:rPr>
                  </w:pPr>
                  <w:r>
                    <w:rPr>
                      <w:rFonts w:hint="eastAsia" w:ascii="宋体" w:hAnsi="宋体" w:cs="Arial"/>
                      <w:kern w:val="0"/>
                      <w:sz w:val="20"/>
                      <w:szCs w:val="20"/>
                    </w:rPr>
                    <w:t>2040610</w:t>
                  </w:r>
                </w:p>
              </w:tc>
              <w:tc>
                <w:tcPr>
                  <w:tcW w:w="2677" w:type="dxa"/>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社区矫正</w:t>
                  </w:r>
                </w:p>
              </w:tc>
              <w:tc>
                <w:tcPr>
                  <w:tcW w:w="15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7.66</w:t>
                  </w:r>
                </w:p>
              </w:tc>
              <w:tc>
                <w:tcPr>
                  <w:tcW w:w="16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7.66</w:t>
                  </w:r>
                </w:p>
              </w:tc>
              <w:tc>
                <w:tcPr>
                  <w:tcW w:w="138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43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2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80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17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773"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kern w:val="0"/>
                      <w:sz w:val="20"/>
                      <w:szCs w:val="20"/>
                    </w:rPr>
                  </w:pPr>
                  <w:r>
                    <w:rPr>
                      <w:rFonts w:hint="eastAsia" w:ascii="宋体" w:hAnsi="宋体" w:cs="Arial"/>
                      <w:kern w:val="0"/>
                      <w:sz w:val="20"/>
                      <w:szCs w:val="20"/>
                    </w:rPr>
                    <w:t>2040699</w:t>
                  </w:r>
                </w:p>
              </w:tc>
              <w:tc>
                <w:tcPr>
                  <w:tcW w:w="2677" w:type="dxa"/>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其他司法支出</w:t>
                  </w:r>
                </w:p>
              </w:tc>
              <w:tc>
                <w:tcPr>
                  <w:tcW w:w="15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27.00</w:t>
                  </w:r>
                </w:p>
              </w:tc>
              <w:tc>
                <w:tcPr>
                  <w:tcW w:w="164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27.00</w:t>
                  </w:r>
                </w:p>
              </w:tc>
              <w:tc>
                <w:tcPr>
                  <w:tcW w:w="138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43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28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80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17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13762" w:type="dxa"/>
                  <w:gridSpan w:val="11"/>
                  <w:tcBorders>
                    <w:top w:val="nil"/>
                    <w:left w:val="nil"/>
                    <w:bottom w:val="nil"/>
                    <w:right w:val="nil"/>
                  </w:tcBorders>
                  <w:shd w:val="clear" w:color="000000" w:fill="FFFFFF"/>
                  <w:noWrap/>
                  <w:vAlign w:val="center"/>
                </w:tcPr>
                <w:p>
                  <w:pPr>
                    <w:widowControl/>
                    <w:jc w:val="left"/>
                    <w:rPr>
                      <w:rFonts w:ascii="宋体" w:hAnsi="宋体" w:cs="Arial"/>
                      <w:kern w:val="0"/>
                      <w:sz w:val="20"/>
                      <w:szCs w:val="20"/>
                    </w:rPr>
                  </w:pPr>
                  <w:r>
                    <w:rPr>
                      <w:rFonts w:hint="eastAsia" w:ascii="宋体" w:hAnsi="宋体" w:cs="Arial"/>
                      <w:kern w:val="0"/>
                      <w:sz w:val="20"/>
                      <w:szCs w:val="20"/>
                    </w:rPr>
                    <w:t>注：本表反映部门本年度取得的各项收入情况。</w:t>
                  </w:r>
                </w:p>
              </w:tc>
            </w:tr>
          </w:tbl>
          <w:p>
            <w:pPr>
              <w:shd w:val="solid" w:color="FFFFFF" w:fill="auto"/>
              <w:autoSpaceDN w:val="0"/>
              <w:jc w:val="left"/>
              <w:textAlignment w:val="center"/>
              <w:rPr>
                <w:rFonts w:ascii="宋体" w:hAnsi="宋体"/>
                <w:color w:val="000000"/>
                <w:sz w:val="20"/>
                <w:shd w:val="clear" w:color="auto" w:fill="FFFFFF"/>
              </w:rPr>
            </w:pPr>
          </w:p>
        </w:tc>
      </w:tr>
    </w:tbl>
    <w:p>
      <w:pPr>
        <w:pStyle w:val="13"/>
        <w:spacing w:before="76" w:beforeAutospacing="0" w:after="76" w:afterAutospacing="0" w:line="450" w:lineRule="atLeast"/>
        <w:jc w:val="both"/>
      </w:pPr>
    </w:p>
    <w:tbl>
      <w:tblPr>
        <w:tblStyle w:val="7"/>
        <w:tblW w:w="28115" w:type="dxa"/>
        <w:tblInd w:w="-34" w:type="dxa"/>
        <w:tblLayout w:type="fixed"/>
        <w:tblCellMar>
          <w:top w:w="0" w:type="dxa"/>
          <w:left w:w="108" w:type="dxa"/>
          <w:bottom w:w="0" w:type="dxa"/>
          <w:right w:w="108" w:type="dxa"/>
        </w:tblCellMar>
      </w:tblPr>
      <w:tblGrid>
        <w:gridCol w:w="14075"/>
        <w:gridCol w:w="340"/>
        <w:gridCol w:w="340"/>
        <w:gridCol w:w="2560"/>
        <w:gridCol w:w="1800"/>
        <w:gridCol w:w="1800"/>
        <w:gridCol w:w="1800"/>
        <w:gridCol w:w="1800"/>
        <w:gridCol w:w="1800"/>
        <w:gridCol w:w="1800"/>
      </w:tblGrid>
      <w:tr>
        <w:tblPrEx>
          <w:tblCellMar>
            <w:top w:w="0" w:type="dxa"/>
            <w:left w:w="108" w:type="dxa"/>
            <w:bottom w:w="0" w:type="dxa"/>
            <w:right w:w="108" w:type="dxa"/>
          </w:tblCellMar>
        </w:tblPrEx>
        <w:trPr>
          <w:trHeight w:val="375" w:hRule="atLeast"/>
        </w:trPr>
        <w:tc>
          <w:tcPr>
            <w:tcW w:w="14075" w:type="dxa"/>
            <w:tcBorders>
              <w:top w:val="nil"/>
              <w:left w:val="nil"/>
              <w:bottom w:val="nil"/>
              <w:right w:val="nil"/>
            </w:tcBorders>
            <w:shd w:val="clear" w:color="000000" w:fill="FFFFFF"/>
            <w:noWrap/>
            <w:vAlign w:val="center"/>
          </w:tcPr>
          <w:p/>
          <w:tbl>
            <w:tblPr>
              <w:tblStyle w:val="7"/>
              <w:tblW w:w="13859" w:type="dxa"/>
              <w:tblInd w:w="0" w:type="dxa"/>
              <w:tblLayout w:type="fixed"/>
              <w:tblCellMar>
                <w:top w:w="0" w:type="dxa"/>
                <w:left w:w="108" w:type="dxa"/>
                <w:bottom w:w="0" w:type="dxa"/>
                <w:right w:w="108" w:type="dxa"/>
              </w:tblCellMar>
            </w:tblPr>
            <w:tblGrid>
              <w:gridCol w:w="362"/>
              <w:gridCol w:w="284"/>
              <w:gridCol w:w="270"/>
              <w:gridCol w:w="2686"/>
              <w:gridCol w:w="2013"/>
              <w:gridCol w:w="2013"/>
              <w:gridCol w:w="1483"/>
              <w:gridCol w:w="1467"/>
              <w:gridCol w:w="1434"/>
              <w:gridCol w:w="1847"/>
            </w:tblGrid>
            <w:tr>
              <w:tblPrEx>
                <w:tblCellMar>
                  <w:top w:w="0" w:type="dxa"/>
                  <w:left w:w="108" w:type="dxa"/>
                  <w:bottom w:w="0" w:type="dxa"/>
                  <w:right w:w="108" w:type="dxa"/>
                </w:tblCellMar>
              </w:tblPrEx>
              <w:trPr>
                <w:trHeight w:val="375" w:hRule="atLeast"/>
              </w:trPr>
              <w:tc>
                <w:tcPr>
                  <w:tcW w:w="13859" w:type="dxa"/>
                  <w:gridSpan w:val="10"/>
                  <w:tcBorders>
                    <w:top w:val="nil"/>
                    <w:left w:val="nil"/>
                    <w:bottom w:val="nil"/>
                    <w:right w:val="nil"/>
                  </w:tcBorders>
                  <w:shd w:val="clear" w:color="000000" w:fill="FFFFFF"/>
                  <w:noWrap/>
                  <w:vAlign w:val="center"/>
                </w:tcPr>
                <w:p>
                  <w:pPr>
                    <w:widowControl/>
                    <w:jc w:val="center"/>
                    <w:rPr>
                      <w:rFonts w:ascii="黑体" w:hAnsi="黑体" w:eastAsia="黑体" w:cs="Arial"/>
                      <w:color w:val="000000"/>
                      <w:kern w:val="0"/>
                      <w:sz w:val="30"/>
                      <w:szCs w:val="30"/>
                    </w:rPr>
                  </w:pPr>
                  <w:r>
                    <w:rPr>
                      <w:rFonts w:hint="eastAsia" w:ascii="黑体" w:hAnsi="黑体" w:eastAsia="黑体" w:cs="Arial"/>
                      <w:color w:val="000000"/>
                      <w:kern w:val="0"/>
                      <w:sz w:val="30"/>
                      <w:szCs w:val="30"/>
                    </w:rPr>
                    <w:t>支出决算表</w:t>
                  </w:r>
                </w:p>
              </w:tc>
            </w:tr>
            <w:tr>
              <w:tblPrEx>
                <w:tblCellMar>
                  <w:top w:w="0" w:type="dxa"/>
                  <w:left w:w="108" w:type="dxa"/>
                  <w:bottom w:w="0" w:type="dxa"/>
                  <w:right w:w="108" w:type="dxa"/>
                </w:tblCellMar>
              </w:tblPrEx>
              <w:trPr>
                <w:trHeight w:val="300" w:hRule="atLeast"/>
              </w:trPr>
              <w:tc>
                <w:tcPr>
                  <w:tcW w:w="362"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284"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270"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2686"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2013"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2013"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1483"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1467"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3281" w:type="dxa"/>
                  <w:gridSpan w:val="2"/>
                  <w:tcBorders>
                    <w:top w:val="nil"/>
                    <w:left w:val="nil"/>
                    <w:bottom w:val="nil"/>
                    <w:right w:val="nil"/>
                  </w:tcBorders>
                  <w:shd w:val="clear" w:color="000000" w:fill="FFFFFF"/>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xml:space="preserve">                 公开03表</w:t>
                  </w:r>
                </w:p>
              </w:tc>
            </w:tr>
            <w:tr>
              <w:tblPrEx>
                <w:tblCellMar>
                  <w:top w:w="0" w:type="dxa"/>
                  <w:left w:w="108" w:type="dxa"/>
                  <w:bottom w:w="0" w:type="dxa"/>
                  <w:right w:w="108" w:type="dxa"/>
                </w:tblCellMar>
              </w:tblPrEx>
              <w:trPr>
                <w:trHeight w:val="300" w:hRule="atLeast"/>
              </w:trPr>
              <w:tc>
                <w:tcPr>
                  <w:tcW w:w="3602" w:type="dxa"/>
                  <w:gridSpan w:val="4"/>
                  <w:tcBorders>
                    <w:top w:val="nil"/>
                    <w:left w:val="nil"/>
                    <w:bottom w:val="single" w:color="000000" w:sz="4" w:space="0"/>
                    <w:right w:val="nil"/>
                  </w:tcBorders>
                  <w:shd w:val="clear" w:color="000000" w:fill="FFFFFF"/>
                  <w:noWrap/>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部门：黄石市黄石港区司法局</w:t>
                  </w:r>
                </w:p>
              </w:tc>
              <w:tc>
                <w:tcPr>
                  <w:tcW w:w="4026" w:type="dxa"/>
                  <w:gridSpan w:val="2"/>
                  <w:tcBorders>
                    <w:top w:val="nil"/>
                    <w:left w:val="nil"/>
                    <w:bottom w:val="single" w:color="000000" w:sz="4" w:space="0"/>
                    <w:right w:val="nil"/>
                  </w:tcBorders>
                  <w:shd w:val="clear" w:color="000000" w:fill="FFFFFF"/>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xml:space="preserve">                  2020年度</w:t>
                  </w:r>
                </w:p>
              </w:tc>
              <w:tc>
                <w:tcPr>
                  <w:tcW w:w="1483" w:type="dxa"/>
                  <w:tcBorders>
                    <w:top w:val="nil"/>
                    <w:left w:val="nil"/>
                    <w:bottom w:val="single" w:color="000000" w:sz="4" w:space="0"/>
                    <w:right w:val="nil"/>
                  </w:tcBorders>
                  <w:shd w:val="clear" w:color="000000" w:fill="FFFFFF"/>
                  <w:noWrap/>
                  <w:vAlign w:val="center"/>
                </w:tcPr>
                <w:p>
                  <w:pPr>
                    <w:widowControl/>
                    <w:jc w:val="center"/>
                    <w:rPr>
                      <w:rFonts w:ascii="宋体" w:hAnsi="宋体" w:cs="Arial"/>
                      <w:kern w:val="0"/>
                      <w:sz w:val="18"/>
                      <w:szCs w:val="18"/>
                    </w:rPr>
                  </w:pPr>
                  <w:r>
                    <w:rPr>
                      <w:rFonts w:hint="eastAsia" w:ascii="宋体" w:hAnsi="宋体" w:cs="Arial"/>
                      <w:kern w:val="0"/>
                      <w:sz w:val="18"/>
                      <w:szCs w:val="18"/>
                    </w:rPr>
                    <w:t>　</w:t>
                  </w:r>
                </w:p>
              </w:tc>
              <w:tc>
                <w:tcPr>
                  <w:tcW w:w="1467" w:type="dxa"/>
                  <w:tcBorders>
                    <w:top w:val="nil"/>
                    <w:left w:val="nil"/>
                    <w:bottom w:val="single" w:color="000000" w:sz="4" w:space="0"/>
                    <w:right w:val="nil"/>
                  </w:tcBorders>
                  <w:shd w:val="clear" w:color="000000" w:fill="FFFFFF"/>
                  <w:noWrap/>
                  <w:vAlign w:val="center"/>
                </w:tcPr>
                <w:p>
                  <w:pPr>
                    <w:widowControl/>
                    <w:jc w:val="center"/>
                    <w:rPr>
                      <w:rFonts w:ascii="宋体" w:hAnsi="宋体" w:cs="Arial"/>
                      <w:kern w:val="0"/>
                      <w:sz w:val="18"/>
                      <w:szCs w:val="18"/>
                    </w:rPr>
                  </w:pPr>
                  <w:r>
                    <w:rPr>
                      <w:rFonts w:hint="eastAsia" w:ascii="宋体" w:hAnsi="宋体" w:cs="Arial"/>
                      <w:kern w:val="0"/>
                      <w:sz w:val="18"/>
                      <w:szCs w:val="18"/>
                    </w:rPr>
                    <w:t>　</w:t>
                  </w:r>
                </w:p>
              </w:tc>
              <w:tc>
                <w:tcPr>
                  <w:tcW w:w="3281" w:type="dxa"/>
                  <w:gridSpan w:val="2"/>
                  <w:tcBorders>
                    <w:top w:val="nil"/>
                    <w:left w:val="nil"/>
                    <w:bottom w:val="single" w:color="000000" w:sz="4" w:space="0"/>
                    <w:right w:val="nil"/>
                  </w:tcBorders>
                  <w:shd w:val="clear" w:color="000000" w:fill="FFFFFF"/>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xml:space="preserve">              金额单位：万元</w:t>
                  </w:r>
                </w:p>
              </w:tc>
            </w:tr>
            <w:tr>
              <w:tblPrEx>
                <w:tblCellMar>
                  <w:top w:w="0" w:type="dxa"/>
                  <w:left w:w="108" w:type="dxa"/>
                  <w:bottom w:w="0" w:type="dxa"/>
                  <w:right w:w="108" w:type="dxa"/>
                </w:tblCellMar>
              </w:tblPrEx>
              <w:trPr>
                <w:trHeight w:val="300" w:hRule="atLeast"/>
              </w:trPr>
              <w:tc>
                <w:tcPr>
                  <w:tcW w:w="3602" w:type="dxa"/>
                  <w:gridSpan w:val="4"/>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项目</w:t>
                  </w:r>
                </w:p>
              </w:tc>
              <w:tc>
                <w:tcPr>
                  <w:tcW w:w="2013"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本年支出合计</w:t>
                  </w:r>
                </w:p>
              </w:tc>
              <w:tc>
                <w:tcPr>
                  <w:tcW w:w="2013"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基本支出</w:t>
                  </w:r>
                </w:p>
              </w:tc>
              <w:tc>
                <w:tcPr>
                  <w:tcW w:w="1483"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项目支出</w:t>
                  </w:r>
                </w:p>
              </w:tc>
              <w:tc>
                <w:tcPr>
                  <w:tcW w:w="1467"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上缴上级支出</w:t>
                  </w:r>
                </w:p>
              </w:tc>
              <w:tc>
                <w:tcPr>
                  <w:tcW w:w="1434"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经营支出</w:t>
                  </w:r>
                </w:p>
              </w:tc>
              <w:tc>
                <w:tcPr>
                  <w:tcW w:w="1847"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对附属单位补助支出</w:t>
                  </w:r>
                </w:p>
              </w:tc>
            </w:tr>
            <w:tr>
              <w:tblPrEx>
                <w:tblCellMar>
                  <w:top w:w="0" w:type="dxa"/>
                  <w:left w:w="108" w:type="dxa"/>
                  <w:bottom w:w="0" w:type="dxa"/>
                  <w:right w:w="108" w:type="dxa"/>
                </w:tblCellMar>
              </w:tblPrEx>
              <w:trPr>
                <w:trHeight w:val="312" w:hRule="atLeast"/>
              </w:trPr>
              <w:tc>
                <w:tcPr>
                  <w:tcW w:w="916" w:type="dxa"/>
                  <w:gridSpan w:val="3"/>
                  <w:vMerge w:val="restart"/>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功能分类科目编码</w:t>
                  </w:r>
                </w:p>
              </w:tc>
              <w:tc>
                <w:tcPr>
                  <w:tcW w:w="2686" w:type="dxa"/>
                  <w:vMerge w:val="restart"/>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科目名称</w:t>
                  </w:r>
                </w:p>
              </w:tc>
              <w:tc>
                <w:tcPr>
                  <w:tcW w:w="2013"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2013"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1483"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1467"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1434"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1847"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r>
            <w:tr>
              <w:tblPrEx>
                <w:tblCellMar>
                  <w:top w:w="0" w:type="dxa"/>
                  <w:left w:w="108" w:type="dxa"/>
                  <w:bottom w:w="0" w:type="dxa"/>
                  <w:right w:w="108" w:type="dxa"/>
                </w:tblCellMar>
              </w:tblPrEx>
              <w:trPr>
                <w:trHeight w:val="312" w:hRule="atLeast"/>
              </w:trPr>
              <w:tc>
                <w:tcPr>
                  <w:tcW w:w="91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2686"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2013"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2013"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1483"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1467"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1434"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1847"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r>
            <w:tr>
              <w:tblPrEx>
                <w:tblCellMar>
                  <w:top w:w="0" w:type="dxa"/>
                  <w:left w:w="108" w:type="dxa"/>
                  <w:bottom w:w="0" w:type="dxa"/>
                  <w:right w:w="108" w:type="dxa"/>
                </w:tblCellMar>
              </w:tblPrEx>
              <w:trPr>
                <w:trHeight w:val="312" w:hRule="atLeast"/>
              </w:trPr>
              <w:tc>
                <w:tcPr>
                  <w:tcW w:w="91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2686"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2013"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2013"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1483"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1467"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1434"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1847"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r>
            <w:tr>
              <w:tblPrEx>
                <w:tblCellMar>
                  <w:top w:w="0" w:type="dxa"/>
                  <w:left w:w="108" w:type="dxa"/>
                  <w:bottom w:w="0" w:type="dxa"/>
                  <w:right w:w="108" w:type="dxa"/>
                </w:tblCellMar>
              </w:tblPrEx>
              <w:trPr>
                <w:trHeight w:val="300" w:hRule="atLeast"/>
              </w:trPr>
              <w:tc>
                <w:tcPr>
                  <w:tcW w:w="3602" w:type="dxa"/>
                  <w:gridSpan w:val="4"/>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栏次</w:t>
                  </w:r>
                </w:p>
              </w:tc>
              <w:tc>
                <w:tcPr>
                  <w:tcW w:w="2013"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1</w:t>
                  </w:r>
                </w:p>
              </w:tc>
              <w:tc>
                <w:tcPr>
                  <w:tcW w:w="2013"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2</w:t>
                  </w:r>
                </w:p>
              </w:tc>
              <w:tc>
                <w:tcPr>
                  <w:tcW w:w="1483"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3</w:t>
                  </w:r>
                </w:p>
              </w:tc>
              <w:tc>
                <w:tcPr>
                  <w:tcW w:w="1467"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4</w:t>
                  </w:r>
                </w:p>
              </w:tc>
              <w:tc>
                <w:tcPr>
                  <w:tcW w:w="1434"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5</w:t>
                  </w:r>
                </w:p>
              </w:tc>
              <w:tc>
                <w:tcPr>
                  <w:tcW w:w="1847"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6</w:t>
                  </w:r>
                </w:p>
              </w:tc>
            </w:tr>
            <w:tr>
              <w:tblPrEx>
                <w:tblCellMar>
                  <w:top w:w="0" w:type="dxa"/>
                  <w:left w:w="108" w:type="dxa"/>
                  <w:bottom w:w="0" w:type="dxa"/>
                  <w:right w:w="108" w:type="dxa"/>
                </w:tblCellMar>
              </w:tblPrEx>
              <w:trPr>
                <w:trHeight w:val="300" w:hRule="atLeast"/>
              </w:trPr>
              <w:tc>
                <w:tcPr>
                  <w:tcW w:w="3602" w:type="dxa"/>
                  <w:gridSpan w:val="4"/>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合计</w:t>
                  </w:r>
                </w:p>
              </w:tc>
              <w:tc>
                <w:tcPr>
                  <w:tcW w:w="201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294.64</w:t>
                  </w:r>
                </w:p>
              </w:tc>
              <w:tc>
                <w:tcPr>
                  <w:tcW w:w="201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294.64</w:t>
                  </w:r>
                </w:p>
              </w:tc>
              <w:tc>
                <w:tcPr>
                  <w:tcW w:w="148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4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4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84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CellMar>
                  <w:top w:w="0" w:type="dxa"/>
                  <w:left w:w="108" w:type="dxa"/>
                  <w:bottom w:w="0" w:type="dxa"/>
                  <w:right w:w="108" w:type="dxa"/>
                </w:tblCellMar>
              </w:tblPrEx>
              <w:trPr>
                <w:trHeight w:val="300" w:hRule="atLeast"/>
              </w:trPr>
              <w:tc>
                <w:tcPr>
                  <w:tcW w:w="916"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204</w:t>
                  </w:r>
                </w:p>
              </w:tc>
              <w:tc>
                <w:tcPr>
                  <w:tcW w:w="268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b/>
                      <w:bCs/>
                      <w:kern w:val="0"/>
                      <w:sz w:val="20"/>
                      <w:szCs w:val="20"/>
                    </w:rPr>
                  </w:pPr>
                  <w:r>
                    <w:rPr>
                      <w:rFonts w:hint="eastAsia" w:ascii="宋体" w:hAnsi="宋体" w:cs="Arial"/>
                      <w:b/>
                      <w:bCs/>
                      <w:kern w:val="0"/>
                      <w:sz w:val="20"/>
                      <w:szCs w:val="20"/>
                    </w:rPr>
                    <w:t>公共安全支出</w:t>
                  </w:r>
                </w:p>
              </w:tc>
              <w:tc>
                <w:tcPr>
                  <w:tcW w:w="2013"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294.64</w:t>
                  </w:r>
                </w:p>
              </w:tc>
              <w:tc>
                <w:tcPr>
                  <w:tcW w:w="2013"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294.64</w:t>
                  </w:r>
                </w:p>
              </w:tc>
              <w:tc>
                <w:tcPr>
                  <w:tcW w:w="1483"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467"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434"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847"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CellMar>
                  <w:top w:w="0" w:type="dxa"/>
                  <w:left w:w="108" w:type="dxa"/>
                  <w:bottom w:w="0" w:type="dxa"/>
                  <w:right w:w="108" w:type="dxa"/>
                </w:tblCellMar>
              </w:tblPrEx>
              <w:trPr>
                <w:trHeight w:val="300" w:hRule="atLeast"/>
              </w:trPr>
              <w:tc>
                <w:tcPr>
                  <w:tcW w:w="916"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20406</w:t>
                  </w:r>
                </w:p>
              </w:tc>
              <w:tc>
                <w:tcPr>
                  <w:tcW w:w="268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b/>
                      <w:bCs/>
                      <w:kern w:val="0"/>
                      <w:sz w:val="20"/>
                      <w:szCs w:val="20"/>
                    </w:rPr>
                  </w:pPr>
                  <w:r>
                    <w:rPr>
                      <w:rFonts w:hint="eastAsia" w:ascii="宋体" w:hAnsi="宋体" w:cs="Arial"/>
                      <w:b/>
                      <w:bCs/>
                      <w:kern w:val="0"/>
                      <w:sz w:val="20"/>
                      <w:szCs w:val="20"/>
                    </w:rPr>
                    <w:t>司法</w:t>
                  </w:r>
                </w:p>
              </w:tc>
              <w:tc>
                <w:tcPr>
                  <w:tcW w:w="2013"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294.64</w:t>
                  </w:r>
                </w:p>
              </w:tc>
              <w:tc>
                <w:tcPr>
                  <w:tcW w:w="2013"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294.64</w:t>
                  </w:r>
                </w:p>
              </w:tc>
              <w:tc>
                <w:tcPr>
                  <w:tcW w:w="1483"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467"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434"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c>
                <w:tcPr>
                  <w:tcW w:w="1847"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CellMar>
                  <w:top w:w="0" w:type="dxa"/>
                  <w:left w:w="108" w:type="dxa"/>
                  <w:bottom w:w="0" w:type="dxa"/>
                  <w:right w:w="108" w:type="dxa"/>
                </w:tblCellMar>
              </w:tblPrEx>
              <w:trPr>
                <w:trHeight w:val="300" w:hRule="atLeast"/>
              </w:trPr>
              <w:tc>
                <w:tcPr>
                  <w:tcW w:w="916"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kern w:val="0"/>
                      <w:sz w:val="20"/>
                      <w:szCs w:val="20"/>
                    </w:rPr>
                  </w:pPr>
                  <w:r>
                    <w:rPr>
                      <w:rFonts w:hint="eastAsia" w:ascii="宋体" w:hAnsi="宋体" w:cs="Arial"/>
                      <w:kern w:val="0"/>
                      <w:sz w:val="20"/>
                      <w:szCs w:val="20"/>
                    </w:rPr>
                    <w:t>2040601</w:t>
                  </w:r>
                </w:p>
              </w:tc>
              <w:tc>
                <w:tcPr>
                  <w:tcW w:w="2686" w:type="dxa"/>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行政运行</w:t>
                  </w:r>
                </w:p>
              </w:tc>
              <w:tc>
                <w:tcPr>
                  <w:tcW w:w="201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253.22</w:t>
                  </w:r>
                </w:p>
              </w:tc>
              <w:tc>
                <w:tcPr>
                  <w:tcW w:w="201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253.22</w:t>
                  </w:r>
                </w:p>
              </w:tc>
              <w:tc>
                <w:tcPr>
                  <w:tcW w:w="148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4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4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84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916"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kern w:val="0"/>
                      <w:sz w:val="20"/>
                      <w:szCs w:val="20"/>
                    </w:rPr>
                  </w:pPr>
                  <w:r>
                    <w:rPr>
                      <w:rFonts w:hint="eastAsia" w:ascii="宋体" w:hAnsi="宋体" w:cs="Arial"/>
                      <w:kern w:val="0"/>
                      <w:sz w:val="20"/>
                      <w:szCs w:val="20"/>
                    </w:rPr>
                    <w:t>2040607</w:t>
                  </w:r>
                </w:p>
              </w:tc>
              <w:tc>
                <w:tcPr>
                  <w:tcW w:w="2686" w:type="dxa"/>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法律援助</w:t>
                  </w:r>
                </w:p>
              </w:tc>
              <w:tc>
                <w:tcPr>
                  <w:tcW w:w="201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6.76</w:t>
                  </w:r>
                </w:p>
              </w:tc>
              <w:tc>
                <w:tcPr>
                  <w:tcW w:w="201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6.76</w:t>
                  </w:r>
                </w:p>
              </w:tc>
              <w:tc>
                <w:tcPr>
                  <w:tcW w:w="148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4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4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84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916"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kern w:val="0"/>
                      <w:sz w:val="20"/>
                      <w:szCs w:val="20"/>
                    </w:rPr>
                  </w:pPr>
                  <w:r>
                    <w:rPr>
                      <w:rFonts w:hint="eastAsia" w:ascii="宋体" w:hAnsi="宋体" w:cs="Arial"/>
                      <w:kern w:val="0"/>
                      <w:sz w:val="20"/>
                      <w:szCs w:val="20"/>
                    </w:rPr>
                    <w:t>2040610</w:t>
                  </w:r>
                </w:p>
              </w:tc>
              <w:tc>
                <w:tcPr>
                  <w:tcW w:w="2686" w:type="dxa"/>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社区矫正</w:t>
                  </w:r>
                </w:p>
              </w:tc>
              <w:tc>
                <w:tcPr>
                  <w:tcW w:w="201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7.66</w:t>
                  </w:r>
                </w:p>
              </w:tc>
              <w:tc>
                <w:tcPr>
                  <w:tcW w:w="201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7.66</w:t>
                  </w:r>
                </w:p>
              </w:tc>
              <w:tc>
                <w:tcPr>
                  <w:tcW w:w="148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4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4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84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916"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kern w:val="0"/>
                      <w:sz w:val="20"/>
                      <w:szCs w:val="20"/>
                    </w:rPr>
                  </w:pPr>
                  <w:r>
                    <w:rPr>
                      <w:rFonts w:hint="eastAsia" w:ascii="宋体" w:hAnsi="宋体" w:cs="Arial"/>
                      <w:kern w:val="0"/>
                      <w:sz w:val="20"/>
                      <w:szCs w:val="20"/>
                    </w:rPr>
                    <w:t>2040699</w:t>
                  </w:r>
                </w:p>
              </w:tc>
              <w:tc>
                <w:tcPr>
                  <w:tcW w:w="2686" w:type="dxa"/>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其他司法支出</w:t>
                  </w:r>
                </w:p>
              </w:tc>
              <w:tc>
                <w:tcPr>
                  <w:tcW w:w="201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27.00</w:t>
                  </w:r>
                </w:p>
              </w:tc>
              <w:tc>
                <w:tcPr>
                  <w:tcW w:w="201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27.00</w:t>
                  </w:r>
                </w:p>
              </w:tc>
              <w:tc>
                <w:tcPr>
                  <w:tcW w:w="148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4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4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84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13859" w:type="dxa"/>
                  <w:gridSpan w:val="10"/>
                  <w:tcBorders>
                    <w:top w:val="nil"/>
                    <w:left w:val="nil"/>
                    <w:bottom w:val="nil"/>
                    <w:right w:val="nil"/>
                  </w:tcBorders>
                  <w:shd w:val="clear" w:color="000000" w:fill="FFFFFF"/>
                  <w:noWrap/>
                  <w:vAlign w:val="center"/>
                </w:tcPr>
                <w:p>
                  <w:pPr>
                    <w:widowControl/>
                    <w:jc w:val="left"/>
                    <w:rPr>
                      <w:rFonts w:ascii="宋体" w:hAnsi="宋体" w:cs="Arial"/>
                      <w:kern w:val="0"/>
                      <w:sz w:val="20"/>
                      <w:szCs w:val="20"/>
                    </w:rPr>
                  </w:pPr>
                  <w:r>
                    <w:rPr>
                      <w:rFonts w:hint="eastAsia" w:ascii="宋体" w:hAnsi="宋体" w:cs="Arial"/>
                      <w:kern w:val="0"/>
                      <w:sz w:val="20"/>
                      <w:szCs w:val="20"/>
                    </w:rPr>
                    <w:t>注：本表反映部门本年度各项支出情况。</w:t>
                  </w:r>
                </w:p>
              </w:tc>
            </w:tr>
          </w:tbl>
          <w:p>
            <w:pPr>
              <w:widowControl/>
              <w:jc w:val="left"/>
              <w:rPr>
                <w:rFonts w:ascii="宋体" w:hAnsi="宋体" w:cs="Arial"/>
                <w:kern w:val="0"/>
                <w:sz w:val="18"/>
                <w:szCs w:val="18"/>
              </w:rPr>
            </w:pPr>
          </w:p>
        </w:tc>
        <w:tc>
          <w:tcPr>
            <w:tcW w:w="340"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340"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2560"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7200" w:type="dxa"/>
            <w:gridSpan w:val="4"/>
            <w:tcBorders>
              <w:top w:val="nil"/>
              <w:left w:val="nil"/>
              <w:bottom w:val="nil"/>
              <w:right w:val="nil"/>
            </w:tcBorders>
            <w:shd w:val="clear" w:color="000000" w:fill="FFFFFF"/>
            <w:noWrap/>
            <w:vAlign w:val="center"/>
          </w:tcPr>
          <w:p>
            <w:pPr>
              <w:widowControl/>
              <w:jc w:val="center"/>
              <w:rPr>
                <w:rFonts w:ascii="黑体" w:hAnsi="黑体" w:eastAsia="黑体" w:cs="Arial"/>
                <w:color w:val="000000"/>
                <w:kern w:val="0"/>
                <w:sz w:val="30"/>
                <w:szCs w:val="30"/>
              </w:rPr>
            </w:pPr>
          </w:p>
          <w:p>
            <w:pPr>
              <w:widowControl/>
              <w:jc w:val="center"/>
              <w:rPr>
                <w:rFonts w:ascii="黑体" w:hAnsi="黑体" w:eastAsia="黑体" w:cs="Arial"/>
                <w:color w:val="000000"/>
                <w:kern w:val="0"/>
                <w:sz w:val="30"/>
                <w:szCs w:val="30"/>
              </w:rPr>
            </w:pPr>
            <w:r>
              <w:rPr>
                <w:rFonts w:hint="eastAsia" w:ascii="黑体" w:hAnsi="黑体" w:eastAsia="黑体" w:cs="Arial"/>
                <w:color w:val="000000"/>
                <w:kern w:val="0"/>
                <w:sz w:val="30"/>
                <w:szCs w:val="30"/>
              </w:rPr>
              <w:t>支出决算表</w:t>
            </w:r>
          </w:p>
        </w:tc>
        <w:tc>
          <w:tcPr>
            <w:tcW w:w="1800"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1800"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r>
      <w:tr>
        <w:tblPrEx>
          <w:tblCellMar>
            <w:top w:w="0" w:type="dxa"/>
            <w:left w:w="108" w:type="dxa"/>
            <w:bottom w:w="0" w:type="dxa"/>
            <w:right w:w="108" w:type="dxa"/>
          </w:tblCellMar>
        </w:tblPrEx>
        <w:trPr>
          <w:trHeight w:val="300" w:hRule="atLeast"/>
        </w:trPr>
        <w:tc>
          <w:tcPr>
            <w:tcW w:w="14075"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p>
        </w:tc>
        <w:tc>
          <w:tcPr>
            <w:tcW w:w="340"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340"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2560"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1800"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1800"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1800"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1800"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1800"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1800" w:type="dxa"/>
            <w:tcBorders>
              <w:top w:val="nil"/>
              <w:left w:val="nil"/>
              <w:bottom w:val="nil"/>
              <w:right w:val="nil"/>
            </w:tcBorders>
            <w:shd w:val="clear" w:color="000000" w:fill="FFFFFF"/>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公开03表</w:t>
            </w:r>
          </w:p>
        </w:tc>
      </w:tr>
    </w:tbl>
    <w:p>
      <w:pPr>
        <w:pStyle w:val="13"/>
        <w:spacing w:before="76" w:beforeAutospacing="0" w:after="76" w:afterAutospacing="0" w:line="450" w:lineRule="atLeast"/>
        <w:jc w:val="both"/>
      </w:pPr>
    </w:p>
    <w:p>
      <w:pPr>
        <w:pStyle w:val="13"/>
        <w:spacing w:before="76" w:beforeAutospacing="0" w:after="76" w:afterAutospacing="0" w:line="450" w:lineRule="atLeast"/>
        <w:jc w:val="both"/>
      </w:pPr>
    </w:p>
    <w:p>
      <w:pPr>
        <w:pStyle w:val="13"/>
        <w:spacing w:before="76" w:beforeAutospacing="0" w:after="76" w:afterAutospacing="0" w:line="450" w:lineRule="atLeast"/>
        <w:jc w:val="both"/>
      </w:pPr>
    </w:p>
    <w:p>
      <w:pPr>
        <w:pStyle w:val="13"/>
        <w:spacing w:before="76" w:beforeAutospacing="0" w:after="76" w:afterAutospacing="0" w:line="450" w:lineRule="atLeast"/>
        <w:jc w:val="both"/>
      </w:pPr>
    </w:p>
    <w:tbl>
      <w:tblPr>
        <w:tblStyle w:val="7"/>
        <w:tblW w:w="13845" w:type="dxa"/>
        <w:tblInd w:w="93" w:type="dxa"/>
        <w:tblLayout w:type="fixed"/>
        <w:tblCellMar>
          <w:top w:w="0" w:type="dxa"/>
          <w:left w:w="108" w:type="dxa"/>
          <w:bottom w:w="0" w:type="dxa"/>
          <w:right w:w="108" w:type="dxa"/>
        </w:tblCellMar>
      </w:tblPr>
      <w:tblGrid>
        <w:gridCol w:w="3227"/>
        <w:gridCol w:w="487"/>
        <w:gridCol w:w="1232"/>
        <w:gridCol w:w="3684"/>
        <w:gridCol w:w="487"/>
        <w:gridCol w:w="816"/>
        <w:gridCol w:w="1124"/>
        <w:gridCol w:w="1076"/>
        <w:gridCol w:w="1466"/>
        <w:gridCol w:w="246"/>
      </w:tblGrid>
      <w:tr>
        <w:tblPrEx>
          <w:tblCellMar>
            <w:top w:w="0" w:type="dxa"/>
            <w:left w:w="108" w:type="dxa"/>
            <w:bottom w:w="0" w:type="dxa"/>
            <w:right w:w="108" w:type="dxa"/>
          </w:tblCellMar>
        </w:tblPrEx>
        <w:trPr>
          <w:trHeight w:val="375" w:hRule="atLeast"/>
        </w:trPr>
        <w:tc>
          <w:tcPr>
            <w:tcW w:w="13845" w:type="dxa"/>
            <w:gridSpan w:val="10"/>
            <w:tcBorders>
              <w:top w:val="nil"/>
              <w:left w:val="nil"/>
              <w:bottom w:val="nil"/>
              <w:right w:val="nil"/>
            </w:tcBorders>
            <w:shd w:val="clear" w:color="000000" w:fill="FFFFFF"/>
            <w:noWrap/>
            <w:vAlign w:val="center"/>
          </w:tcPr>
          <w:p>
            <w:pPr>
              <w:widowControl/>
              <w:jc w:val="center"/>
              <w:rPr>
                <w:rFonts w:ascii="黑体" w:hAnsi="黑体" w:eastAsia="黑体" w:cs="Arial"/>
                <w:color w:val="000000"/>
                <w:kern w:val="0"/>
                <w:sz w:val="30"/>
                <w:szCs w:val="30"/>
              </w:rPr>
            </w:pPr>
            <w:r>
              <w:rPr>
                <w:rFonts w:hint="eastAsia" w:ascii="黑体" w:hAnsi="黑体" w:eastAsia="黑体" w:cs="Arial"/>
                <w:color w:val="000000"/>
                <w:kern w:val="0"/>
                <w:sz w:val="30"/>
                <w:szCs w:val="30"/>
              </w:rPr>
              <w:t>财政拨款收入支出决算总表</w:t>
            </w:r>
          </w:p>
        </w:tc>
      </w:tr>
      <w:tr>
        <w:tblPrEx>
          <w:tblCellMar>
            <w:top w:w="0" w:type="dxa"/>
            <w:left w:w="108" w:type="dxa"/>
            <w:bottom w:w="0" w:type="dxa"/>
            <w:right w:w="108" w:type="dxa"/>
          </w:tblCellMar>
        </w:tblPrEx>
        <w:trPr>
          <w:gridAfter w:val="1"/>
          <w:wAfter w:w="246" w:type="dxa"/>
          <w:trHeight w:val="300" w:hRule="atLeast"/>
        </w:trPr>
        <w:tc>
          <w:tcPr>
            <w:tcW w:w="3227"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487"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1232"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3684"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487"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816"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1124"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1076"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1466" w:type="dxa"/>
            <w:tcBorders>
              <w:top w:val="nil"/>
              <w:left w:val="nil"/>
              <w:bottom w:val="nil"/>
              <w:right w:val="nil"/>
            </w:tcBorders>
            <w:shd w:val="clear" w:color="000000" w:fill="FFFFFF"/>
            <w:noWrap/>
            <w:vAlign w:val="center"/>
          </w:tcPr>
          <w:p>
            <w:pPr>
              <w:widowControl/>
              <w:ind w:right="220"/>
              <w:jc w:val="right"/>
              <w:rPr>
                <w:rFonts w:ascii="宋体" w:hAnsi="宋体" w:cs="Arial"/>
                <w:color w:val="000000"/>
                <w:kern w:val="0"/>
                <w:sz w:val="22"/>
                <w:szCs w:val="22"/>
              </w:rPr>
            </w:pPr>
            <w:r>
              <w:rPr>
                <w:rFonts w:hint="eastAsia" w:ascii="宋体" w:hAnsi="宋体" w:cs="Arial"/>
                <w:color w:val="000000"/>
                <w:kern w:val="0"/>
                <w:sz w:val="22"/>
                <w:szCs w:val="22"/>
              </w:rPr>
              <w:t>公开04表</w:t>
            </w:r>
          </w:p>
        </w:tc>
      </w:tr>
      <w:tr>
        <w:tblPrEx>
          <w:tblCellMar>
            <w:top w:w="0" w:type="dxa"/>
            <w:left w:w="108" w:type="dxa"/>
            <w:bottom w:w="0" w:type="dxa"/>
            <w:right w:w="108" w:type="dxa"/>
          </w:tblCellMar>
        </w:tblPrEx>
        <w:trPr>
          <w:gridAfter w:val="1"/>
          <w:wAfter w:w="246" w:type="dxa"/>
          <w:trHeight w:val="300" w:hRule="atLeast"/>
        </w:trPr>
        <w:tc>
          <w:tcPr>
            <w:tcW w:w="3714" w:type="dxa"/>
            <w:gridSpan w:val="2"/>
            <w:tcBorders>
              <w:top w:val="nil"/>
              <w:left w:val="nil"/>
              <w:bottom w:val="single" w:color="000000" w:sz="4" w:space="0"/>
              <w:right w:val="nil"/>
            </w:tcBorders>
            <w:shd w:val="clear" w:color="000000" w:fill="FFFFFF"/>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部门：黄石市黄石港区司法局</w:t>
            </w:r>
          </w:p>
        </w:tc>
        <w:tc>
          <w:tcPr>
            <w:tcW w:w="1232" w:type="dxa"/>
            <w:tcBorders>
              <w:top w:val="nil"/>
              <w:left w:val="nil"/>
              <w:bottom w:val="single" w:color="000000" w:sz="4" w:space="0"/>
              <w:right w:val="nil"/>
            </w:tcBorders>
            <w:shd w:val="clear" w:color="000000" w:fill="FFFFFF"/>
            <w:noWrap/>
            <w:vAlign w:val="center"/>
          </w:tcPr>
          <w:p>
            <w:pPr>
              <w:widowControl/>
              <w:jc w:val="center"/>
              <w:rPr>
                <w:rFonts w:ascii="宋体" w:hAnsi="宋体" w:cs="Arial"/>
                <w:kern w:val="0"/>
                <w:sz w:val="18"/>
                <w:szCs w:val="18"/>
              </w:rPr>
            </w:pPr>
            <w:r>
              <w:rPr>
                <w:rFonts w:hint="eastAsia" w:ascii="宋体" w:hAnsi="宋体" w:cs="Arial"/>
                <w:kern w:val="0"/>
                <w:sz w:val="18"/>
                <w:szCs w:val="18"/>
              </w:rPr>
              <w:t>　</w:t>
            </w:r>
          </w:p>
        </w:tc>
        <w:tc>
          <w:tcPr>
            <w:tcW w:w="4987" w:type="dxa"/>
            <w:gridSpan w:val="3"/>
            <w:tcBorders>
              <w:top w:val="nil"/>
              <w:left w:val="nil"/>
              <w:bottom w:val="single" w:color="000000" w:sz="4" w:space="0"/>
              <w:right w:val="nil"/>
            </w:tcBorders>
            <w:shd w:val="clear" w:color="000000" w:fill="FFFFFF"/>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2020年度</w:t>
            </w:r>
          </w:p>
        </w:tc>
        <w:tc>
          <w:tcPr>
            <w:tcW w:w="1124" w:type="dxa"/>
            <w:tcBorders>
              <w:top w:val="nil"/>
              <w:left w:val="nil"/>
              <w:bottom w:val="single" w:color="000000" w:sz="4" w:space="0"/>
              <w:right w:val="nil"/>
            </w:tcBorders>
            <w:shd w:val="clear" w:color="000000" w:fill="FFFFFF"/>
            <w:noWrap/>
            <w:vAlign w:val="center"/>
          </w:tcPr>
          <w:p>
            <w:pPr>
              <w:widowControl/>
              <w:jc w:val="center"/>
              <w:rPr>
                <w:rFonts w:ascii="宋体" w:hAnsi="宋体" w:cs="Arial"/>
                <w:kern w:val="0"/>
                <w:sz w:val="18"/>
                <w:szCs w:val="18"/>
              </w:rPr>
            </w:pPr>
            <w:r>
              <w:rPr>
                <w:rFonts w:hint="eastAsia" w:ascii="宋体" w:hAnsi="宋体" w:cs="Arial"/>
                <w:kern w:val="0"/>
                <w:sz w:val="18"/>
                <w:szCs w:val="18"/>
              </w:rPr>
              <w:t>　</w:t>
            </w:r>
          </w:p>
        </w:tc>
        <w:tc>
          <w:tcPr>
            <w:tcW w:w="2542" w:type="dxa"/>
            <w:gridSpan w:val="2"/>
            <w:tcBorders>
              <w:top w:val="nil"/>
              <w:left w:val="nil"/>
              <w:bottom w:val="single" w:color="000000" w:sz="4" w:space="0"/>
              <w:right w:val="nil"/>
            </w:tcBorders>
            <w:shd w:val="clear" w:color="000000" w:fill="FFFFFF"/>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xml:space="preserve">    金额单位：万元</w:t>
            </w:r>
          </w:p>
        </w:tc>
      </w:tr>
      <w:tr>
        <w:tblPrEx>
          <w:tblCellMar>
            <w:top w:w="0" w:type="dxa"/>
            <w:left w:w="108" w:type="dxa"/>
            <w:bottom w:w="0" w:type="dxa"/>
            <w:right w:w="108" w:type="dxa"/>
          </w:tblCellMar>
        </w:tblPrEx>
        <w:trPr>
          <w:gridAfter w:val="1"/>
          <w:wAfter w:w="246" w:type="dxa"/>
          <w:trHeight w:val="300" w:hRule="atLeast"/>
        </w:trPr>
        <w:tc>
          <w:tcPr>
            <w:tcW w:w="4946"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收     入</w:t>
            </w:r>
          </w:p>
        </w:tc>
        <w:tc>
          <w:tcPr>
            <w:tcW w:w="8653" w:type="dxa"/>
            <w:gridSpan w:val="6"/>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支     出</w:t>
            </w:r>
          </w:p>
        </w:tc>
      </w:tr>
      <w:tr>
        <w:tblPrEx>
          <w:tblCellMar>
            <w:top w:w="0" w:type="dxa"/>
            <w:left w:w="108" w:type="dxa"/>
            <w:bottom w:w="0" w:type="dxa"/>
            <w:right w:w="108" w:type="dxa"/>
          </w:tblCellMar>
        </w:tblPrEx>
        <w:trPr>
          <w:gridAfter w:val="1"/>
          <w:wAfter w:w="246" w:type="dxa"/>
          <w:trHeight w:val="312" w:hRule="atLeast"/>
        </w:trPr>
        <w:tc>
          <w:tcPr>
            <w:tcW w:w="3227" w:type="dxa"/>
            <w:vMerge w:val="restart"/>
            <w:tcBorders>
              <w:top w:val="nil"/>
              <w:left w:val="single" w:color="000000" w:sz="4" w:space="0"/>
              <w:bottom w:val="single" w:color="000000" w:sz="4" w:space="0"/>
              <w:right w:val="single" w:color="000000" w:sz="4" w:space="0"/>
            </w:tcBorders>
            <w:shd w:val="clear" w:color="000000" w:fill="C0C0C0"/>
            <w:vAlign w:val="center"/>
          </w:tcPr>
          <w:p>
            <w:pPr>
              <w:widowControl/>
              <w:jc w:val="left"/>
              <w:rPr>
                <w:rFonts w:ascii="宋体" w:hAnsi="宋体" w:cs="Arial"/>
                <w:kern w:val="0"/>
                <w:sz w:val="20"/>
                <w:szCs w:val="20"/>
              </w:rPr>
            </w:pPr>
            <w:r>
              <w:rPr>
                <w:rFonts w:hint="eastAsia" w:ascii="宋体" w:hAnsi="宋体" w:cs="Arial"/>
                <w:kern w:val="0"/>
                <w:sz w:val="20"/>
                <w:szCs w:val="20"/>
              </w:rPr>
              <w:t>项目</w:t>
            </w:r>
          </w:p>
        </w:tc>
        <w:tc>
          <w:tcPr>
            <w:tcW w:w="487"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行次</w:t>
            </w:r>
          </w:p>
        </w:tc>
        <w:tc>
          <w:tcPr>
            <w:tcW w:w="1232"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金额</w:t>
            </w:r>
          </w:p>
        </w:tc>
        <w:tc>
          <w:tcPr>
            <w:tcW w:w="3684" w:type="dxa"/>
            <w:vMerge w:val="restart"/>
            <w:tcBorders>
              <w:top w:val="nil"/>
              <w:left w:val="nil"/>
              <w:bottom w:val="single" w:color="000000" w:sz="4" w:space="0"/>
              <w:right w:val="single" w:color="000000" w:sz="4" w:space="0"/>
            </w:tcBorders>
            <w:shd w:val="clear" w:color="000000" w:fill="C0C0C0"/>
            <w:vAlign w:val="bottom"/>
          </w:tcPr>
          <w:p>
            <w:pPr>
              <w:widowControl/>
              <w:jc w:val="left"/>
              <w:rPr>
                <w:rFonts w:ascii="宋体" w:hAnsi="宋体" w:cs="Arial"/>
                <w:kern w:val="0"/>
                <w:sz w:val="20"/>
                <w:szCs w:val="20"/>
              </w:rPr>
            </w:pPr>
            <w:r>
              <w:rPr>
                <w:rFonts w:hint="eastAsia" w:ascii="宋体" w:hAnsi="宋体" w:cs="Arial"/>
                <w:kern w:val="0"/>
                <w:sz w:val="20"/>
                <w:szCs w:val="20"/>
              </w:rPr>
              <w:t>项目</w:t>
            </w:r>
          </w:p>
        </w:tc>
        <w:tc>
          <w:tcPr>
            <w:tcW w:w="487"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行次</w:t>
            </w:r>
          </w:p>
        </w:tc>
        <w:tc>
          <w:tcPr>
            <w:tcW w:w="816" w:type="dxa"/>
            <w:vMerge w:val="restart"/>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合计</w:t>
            </w:r>
          </w:p>
        </w:tc>
        <w:tc>
          <w:tcPr>
            <w:tcW w:w="1124"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一般公共预算财政拨款</w:t>
            </w:r>
          </w:p>
        </w:tc>
        <w:tc>
          <w:tcPr>
            <w:tcW w:w="1076"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政府性基金预算财政拨款</w:t>
            </w:r>
          </w:p>
        </w:tc>
        <w:tc>
          <w:tcPr>
            <w:tcW w:w="1466"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国有资本经营预算财政拨款</w:t>
            </w:r>
          </w:p>
        </w:tc>
      </w:tr>
      <w:tr>
        <w:tblPrEx>
          <w:tblCellMar>
            <w:top w:w="0" w:type="dxa"/>
            <w:left w:w="108" w:type="dxa"/>
            <w:bottom w:w="0" w:type="dxa"/>
            <w:right w:w="108" w:type="dxa"/>
          </w:tblCellMar>
        </w:tblPrEx>
        <w:trPr>
          <w:gridAfter w:val="1"/>
          <w:wAfter w:w="246" w:type="dxa"/>
          <w:trHeight w:val="600" w:hRule="atLeast"/>
        </w:trPr>
        <w:tc>
          <w:tcPr>
            <w:tcW w:w="322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487"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1232"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3684"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487"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816"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1124"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1076"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1466"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r>
      <w:tr>
        <w:tblPrEx>
          <w:tblCellMar>
            <w:top w:w="0" w:type="dxa"/>
            <w:left w:w="108" w:type="dxa"/>
            <w:bottom w:w="0" w:type="dxa"/>
            <w:right w:w="108" w:type="dxa"/>
          </w:tblCellMar>
        </w:tblPrEx>
        <w:trPr>
          <w:gridAfter w:val="1"/>
          <w:wAfter w:w="246" w:type="dxa"/>
          <w:trHeight w:val="300" w:hRule="atLeast"/>
        </w:trPr>
        <w:tc>
          <w:tcPr>
            <w:tcW w:w="322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栏次</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　</w:t>
            </w:r>
          </w:p>
        </w:tc>
        <w:tc>
          <w:tcPr>
            <w:tcW w:w="1232"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1</w:t>
            </w:r>
          </w:p>
        </w:tc>
        <w:tc>
          <w:tcPr>
            <w:tcW w:w="3684" w:type="dxa"/>
            <w:tcBorders>
              <w:top w:val="nil"/>
              <w:left w:val="nil"/>
              <w:bottom w:val="single" w:color="000000" w:sz="4" w:space="0"/>
              <w:right w:val="single" w:color="000000" w:sz="4" w:space="0"/>
            </w:tcBorders>
            <w:shd w:val="clear" w:color="000000" w:fill="C0C0C0"/>
            <w:noWrap/>
            <w:vAlign w:val="bottom"/>
          </w:tcPr>
          <w:p>
            <w:pPr>
              <w:widowControl/>
              <w:jc w:val="left"/>
              <w:rPr>
                <w:rFonts w:ascii="宋体" w:hAnsi="宋体" w:cs="Arial"/>
                <w:kern w:val="0"/>
                <w:sz w:val="20"/>
                <w:szCs w:val="20"/>
              </w:rPr>
            </w:pPr>
            <w:r>
              <w:rPr>
                <w:rFonts w:hint="eastAsia" w:ascii="宋体" w:hAnsi="宋体" w:cs="Arial"/>
                <w:kern w:val="0"/>
                <w:sz w:val="20"/>
                <w:szCs w:val="20"/>
              </w:rPr>
              <w:t>栏次</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　</w:t>
            </w:r>
          </w:p>
        </w:tc>
        <w:tc>
          <w:tcPr>
            <w:tcW w:w="81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2</w:t>
            </w:r>
          </w:p>
        </w:tc>
        <w:tc>
          <w:tcPr>
            <w:tcW w:w="1124"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3</w:t>
            </w:r>
          </w:p>
        </w:tc>
        <w:tc>
          <w:tcPr>
            <w:tcW w:w="107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4</w:t>
            </w:r>
          </w:p>
        </w:tc>
        <w:tc>
          <w:tcPr>
            <w:tcW w:w="1466"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5</w:t>
            </w:r>
          </w:p>
        </w:tc>
      </w:tr>
      <w:tr>
        <w:tblPrEx>
          <w:tblCellMar>
            <w:top w:w="0" w:type="dxa"/>
            <w:left w:w="108" w:type="dxa"/>
            <w:bottom w:w="0" w:type="dxa"/>
            <w:right w:w="108" w:type="dxa"/>
          </w:tblCellMar>
        </w:tblPrEx>
        <w:trPr>
          <w:gridAfter w:val="1"/>
          <w:wAfter w:w="246" w:type="dxa"/>
          <w:trHeight w:val="300" w:hRule="atLeast"/>
        </w:trPr>
        <w:tc>
          <w:tcPr>
            <w:tcW w:w="322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一、一般公共预算财政拨款</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1</w:t>
            </w:r>
          </w:p>
        </w:tc>
        <w:tc>
          <w:tcPr>
            <w:tcW w:w="12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290.23</w:t>
            </w:r>
          </w:p>
        </w:tc>
        <w:tc>
          <w:tcPr>
            <w:tcW w:w="368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一、一般公共服务支出</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33</w:t>
            </w:r>
          </w:p>
        </w:tc>
        <w:tc>
          <w:tcPr>
            <w:tcW w:w="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12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0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4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gridAfter w:val="1"/>
          <w:wAfter w:w="246" w:type="dxa"/>
          <w:trHeight w:val="300" w:hRule="atLeast"/>
        </w:trPr>
        <w:tc>
          <w:tcPr>
            <w:tcW w:w="322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二、政府性基金预算财政拨款</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2</w:t>
            </w:r>
          </w:p>
        </w:tc>
        <w:tc>
          <w:tcPr>
            <w:tcW w:w="12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368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二、外交支出</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34</w:t>
            </w:r>
          </w:p>
        </w:tc>
        <w:tc>
          <w:tcPr>
            <w:tcW w:w="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12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0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4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gridAfter w:val="1"/>
          <w:wAfter w:w="246" w:type="dxa"/>
          <w:trHeight w:val="300" w:hRule="atLeast"/>
        </w:trPr>
        <w:tc>
          <w:tcPr>
            <w:tcW w:w="322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三、国有资本经营财政拨款</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3</w:t>
            </w:r>
          </w:p>
        </w:tc>
        <w:tc>
          <w:tcPr>
            <w:tcW w:w="12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368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三、国防支出</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35</w:t>
            </w:r>
          </w:p>
        </w:tc>
        <w:tc>
          <w:tcPr>
            <w:tcW w:w="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12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0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4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gridAfter w:val="1"/>
          <w:wAfter w:w="246" w:type="dxa"/>
          <w:trHeight w:val="300" w:hRule="atLeast"/>
        </w:trPr>
        <w:tc>
          <w:tcPr>
            <w:tcW w:w="322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4</w:t>
            </w:r>
          </w:p>
        </w:tc>
        <w:tc>
          <w:tcPr>
            <w:tcW w:w="12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368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四、公共安全支出</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36</w:t>
            </w:r>
          </w:p>
        </w:tc>
        <w:tc>
          <w:tcPr>
            <w:tcW w:w="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290.23</w:t>
            </w:r>
          </w:p>
        </w:tc>
        <w:tc>
          <w:tcPr>
            <w:tcW w:w="112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290.23</w:t>
            </w:r>
          </w:p>
        </w:tc>
        <w:tc>
          <w:tcPr>
            <w:tcW w:w="10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4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gridAfter w:val="1"/>
          <w:wAfter w:w="246" w:type="dxa"/>
          <w:trHeight w:val="300" w:hRule="atLeast"/>
        </w:trPr>
        <w:tc>
          <w:tcPr>
            <w:tcW w:w="322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5</w:t>
            </w:r>
          </w:p>
        </w:tc>
        <w:tc>
          <w:tcPr>
            <w:tcW w:w="12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368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五、教育支出</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37</w:t>
            </w:r>
          </w:p>
        </w:tc>
        <w:tc>
          <w:tcPr>
            <w:tcW w:w="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12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0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4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gridAfter w:val="1"/>
          <w:wAfter w:w="246" w:type="dxa"/>
          <w:trHeight w:val="300" w:hRule="atLeast"/>
        </w:trPr>
        <w:tc>
          <w:tcPr>
            <w:tcW w:w="322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6</w:t>
            </w:r>
          </w:p>
        </w:tc>
        <w:tc>
          <w:tcPr>
            <w:tcW w:w="12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368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六、科学技术支出</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38</w:t>
            </w:r>
          </w:p>
        </w:tc>
        <w:tc>
          <w:tcPr>
            <w:tcW w:w="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12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0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4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gridAfter w:val="1"/>
          <w:wAfter w:w="246" w:type="dxa"/>
          <w:trHeight w:val="300" w:hRule="atLeast"/>
        </w:trPr>
        <w:tc>
          <w:tcPr>
            <w:tcW w:w="322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7</w:t>
            </w:r>
          </w:p>
        </w:tc>
        <w:tc>
          <w:tcPr>
            <w:tcW w:w="12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368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七、文化旅游体育与传媒支出</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39</w:t>
            </w:r>
          </w:p>
        </w:tc>
        <w:tc>
          <w:tcPr>
            <w:tcW w:w="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12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0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4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gridAfter w:val="1"/>
          <w:wAfter w:w="246" w:type="dxa"/>
          <w:trHeight w:val="300" w:hRule="atLeast"/>
        </w:trPr>
        <w:tc>
          <w:tcPr>
            <w:tcW w:w="322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8</w:t>
            </w:r>
          </w:p>
        </w:tc>
        <w:tc>
          <w:tcPr>
            <w:tcW w:w="12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368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八、社会保障和就业支出</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40</w:t>
            </w:r>
          </w:p>
        </w:tc>
        <w:tc>
          <w:tcPr>
            <w:tcW w:w="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12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0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4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gridAfter w:val="1"/>
          <w:wAfter w:w="246" w:type="dxa"/>
          <w:trHeight w:val="300" w:hRule="atLeast"/>
        </w:trPr>
        <w:tc>
          <w:tcPr>
            <w:tcW w:w="322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9</w:t>
            </w:r>
          </w:p>
        </w:tc>
        <w:tc>
          <w:tcPr>
            <w:tcW w:w="12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368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九、卫生健康支出</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41</w:t>
            </w:r>
          </w:p>
        </w:tc>
        <w:tc>
          <w:tcPr>
            <w:tcW w:w="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12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0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4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gridAfter w:val="1"/>
          <w:wAfter w:w="246" w:type="dxa"/>
          <w:trHeight w:val="300" w:hRule="atLeast"/>
        </w:trPr>
        <w:tc>
          <w:tcPr>
            <w:tcW w:w="322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10</w:t>
            </w:r>
          </w:p>
        </w:tc>
        <w:tc>
          <w:tcPr>
            <w:tcW w:w="12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368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十、节能环保支出</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42</w:t>
            </w:r>
          </w:p>
        </w:tc>
        <w:tc>
          <w:tcPr>
            <w:tcW w:w="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12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0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4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gridAfter w:val="1"/>
          <w:wAfter w:w="246" w:type="dxa"/>
          <w:trHeight w:val="300" w:hRule="atLeast"/>
        </w:trPr>
        <w:tc>
          <w:tcPr>
            <w:tcW w:w="322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11</w:t>
            </w:r>
          </w:p>
        </w:tc>
        <w:tc>
          <w:tcPr>
            <w:tcW w:w="12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368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十一、城乡社区支出</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43</w:t>
            </w:r>
          </w:p>
        </w:tc>
        <w:tc>
          <w:tcPr>
            <w:tcW w:w="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12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0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4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gridAfter w:val="1"/>
          <w:wAfter w:w="246" w:type="dxa"/>
          <w:trHeight w:val="300" w:hRule="atLeast"/>
        </w:trPr>
        <w:tc>
          <w:tcPr>
            <w:tcW w:w="322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12</w:t>
            </w:r>
          </w:p>
        </w:tc>
        <w:tc>
          <w:tcPr>
            <w:tcW w:w="12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368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十二、农林水支出</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44</w:t>
            </w:r>
          </w:p>
        </w:tc>
        <w:tc>
          <w:tcPr>
            <w:tcW w:w="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12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0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4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gridAfter w:val="1"/>
          <w:wAfter w:w="246" w:type="dxa"/>
          <w:trHeight w:val="300" w:hRule="atLeast"/>
        </w:trPr>
        <w:tc>
          <w:tcPr>
            <w:tcW w:w="322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13</w:t>
            </w:r>
          </w:p>
        </w:tc>
        <w:tc>
          <w:tcPr>
            <w:tcW w:w="12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368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十三、交通运输支出</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45</w:t>
            </w:r>
          </w:p>
        </w:tc>
        <w:tc>
          <w:tcPr>
            <w:tcW w:w="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12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0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4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gridAfter w:val="1"/>
          <w:wAfter w:w="246" w:type="dxa"/>
          <w:trHeight w:val="300" w:hRule="atLeast"/>
        </w:trPr>
        <w:tc>
          <w:tcPr>
            <w:tcW w:w="322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14</w:t>
            </w:r>
          </w:p>
        </w:tc>
        <w:tc>
          <w:tcPr>
            <w:tcW w:w="12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368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十四、资源勘探工业信息等支出</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46</w:t>
            </w:r>
          </w:p>
        </w:tc>
        <w:tc>
          <w:tcPr>
            <w:tcW w:w="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12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0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4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gridAfter w:val="1"/>
          <w:wAfter w:w="246" w:type="dxa"/>
          <w:trHeight w:val="300" w:hRule="atLeast"/>
        </w:trPr>
        <w:tc>
          <w:tcPr>
            <w:tcW w:w="322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15</w:t>
            </w:r>
          </w:p>
        </w:tc>
        <w:tc>
          <w:tcPr>
            <w:tcW w:w="12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368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十五、商业服务业等支出</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47</w:t>
            </w:r>
          </w:p>
        </w:tc>
        <w:tc>
          <w:tcPr>
            <w:tcW w:w="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12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0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4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gridAfter w:val="1"/>
          <w:wAfter w:w="246" w:type="dxa"/>
          <w:trHeight w:val="300" w:hRule="atLeast"/>
        </w:trPr>
        <w:tc>
          <w:tcPr>
            <w:tcW w:w="322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16</w:t>
            </w:r>
          </w:p>
        </w:tc>
        <w:tc>
          <w:tcPr>
            <w:tcW w:w="12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368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十六、金融支出</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48</w:t>
            </w:r>
          </w:p>
        </w:tc>
        <w:tc>
          <w:tcPr>
            <w:tcW w:w="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12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0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4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gridAfter w:val="1"/>
          <w:wAfter w:w="246" w:type="dxa"/>
          <w:trHeight w:val="300" w:hRule="atLeast"/>
        </w:trPr>
        <w:tc>
          <w:tcPr>
            <w:tcW w:w="322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17</w:t>
            </w:r>
          </w:p>
        </w:tc>
        <w:tc>
          <w:tcPr>
            <w:tcW w:w="12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368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十七、援助其他地区支出</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49</w:t>
            </w:r>
          </w:p>
        </w:tc>
        <w:tc>
          <w:tcPr>
            <w:tcW w:w="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12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0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4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gridAfter w:val="1"/>
          <w:wAfter w:w="246" w:type="dxa"/>
          <w:trHeight w:val="300" w:hRule="atLeast"/>
        </w:trPr>
        <w:tc>
          <w:tcPr>
            <w:tcW w:w="322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18</w:t>
            </w:r>
          </w:p>
        </w:tc>
        <w:tc>
          <w:tcPr>
            <w:tcW w:w="12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368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十八、自然资源海洋气象等支出</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50</w:t>
            </w:r>
          </w:p>
        </w:tc>
        <w:tc>
          <w:tcPr>
            <w:tcW w:w="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12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0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4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gridAfter w:val="1"/>
          <w:wAfter w:w="246" w:type="dxa"/>
          <w:trHeight w:val="300" w:hRule="atLeast"/>
        </w:trPr>
        <w:tc>
          <w:tcPr>
            <w:tcW w:w="322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19</w:t>
            </w:r>
          </w:p>
        </w:tc>
        <w:tc>
          <w:tcPr>
            <w:tcW w:w="12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368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十九、住房保障支出</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51</w:t>
            </w:r>
          </w:p>
        </w:tc>
        <w:tc>
          <w:tcPr>
            <w:tcW w:w="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12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0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4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gridAfter w:val="1"/>
          <w:wAfter w:w="246" w:type="dxa"/>
          <w:trHeight w:val="300" w:hRule="atLeast"/>
        </w:trPr>
        <w:tc>
          <w:tcPr>
            <w:tcW w:w="322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20</w:t>
            </w:r>
          </w:p>
        </w:tc>
        <w:tc>
          <w:tcPr>
            <w:tcW w:w="12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368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二十、粮油物资储备支出</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52</w:t>
            </w:r>
          </w:p>
        </w:tc>
        <w:tc>
          <w:tcPr>
            <w:tcW w:w="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12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0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4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gridAfter w:val="1"/>
          <w:wAfter w:w="246" w:type="dxa"/>
          <w:trHeight w:val="300" w:hRule="atLeast"/>
        </w:trPr>
        <w:tc>
          <w:tcPr>
            <w:tcW w:w="322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21</w:t>
            </w:r>
          </w:p>
        </w:tc>
        <w:tc>
          <w:tcPr>
            <w:tcW w:w="12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368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二十一、国有资本经营预算支出</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53</w:t>
            </w:r>
          </w:p>
        </w:tc>
        <w:tc>
          <w:tcPr>
            <w:tcW w:w="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12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0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4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gridAfter w:val="1"/>
          <w:wAfter w:w="246" w:type="dxa"/>
          <w:trHeight w:val="300" w:hRule="atLeast"/>
        </w:trPr>
        <w:tc>
          <w:tcPr>
            <w:tcW w:w="322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22</w:t>
            </w:r>
          </w:p>
        </w:tc>
        <w:tc>
          <w:tcPr>
            <w:tcW w:w="12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368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二十二、灾害防治及应急管理支出</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54</w:t>
            </w:r>
          </w:p>
        </w:tc>
        <w:tc>
          <w:tcPr>
            <w:tcW w:w="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12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0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4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gridAfter w:val="1"/>
          <w:wAfter w:w="246" w:type="dxa"/>
          <w:trHeight w:val="300" w:hRule="atLeast"/>
        </w:trPr>
        <w:tc>
          <w:tcPr>
            <w:tcW w:w="322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23</w:t>
            </w:r>
          </w:p>
        </w:tc>
        <w:tc>
          <w:tcPr>
            <w:tcW w:w="12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368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二十三、其他支出</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55</w:t>
            </w:r>
          </w:p>
        </w:tc>
        <w:tc>
          <w:tcPr>
            <w:tcW w:w="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12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0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4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gridAfter w:val="1"/>
          <w:wAfter w:w="246" w:type="dxa"/>
          <w:trHeight w:val="300" w:hRule="atLeast"/>
        </w:trPr>
        <w:tc>
          <w:tcPr>
            <w:tcW w:w="322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　</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24</w:t>
            </w:r>
          </w:p>
        </w:tc>
        <w:tc>
          <w:tcPr>
            <w:tcW w:w="12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368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二十四、债务还本支出</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56</w:t>
            </w:r>
          </w:p>
        </w:tc>
        <w:tc>
          <w:tcPr>
            <w:tcW w:w="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12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0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4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gridAfter w:val="1"/>
          <w:wAfter w:w="246" w:type="dxa"/>
          <w:trHeight w:val="300" w:hRule="atLeast"/>
        </w:trPr>
        <w:tc>
          <w:tcPr>
            <w:tcW w:w="322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25</w:t>
            </w:r>
          </w:p>
        </w:tc>
        <w:tc>
          <w:tcPr>
            <w:tcW w:w="12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368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二十五、债务付息支出</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57</w:t>
            </w:r>
          </w:p>
        </w:tc>
        <w:tc>
          <w:tcPr>
            <w:tcW w:w="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12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0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4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gridAfter w:val="1"/>
          <w:wAfter w:w="246" w:type="dxa"/>
          <w:trHeight w:val="300" w:hRule="atLeast"/>
        </w:trPr>
        <w:tc>
          <w:tcPr>
            <w:tcW w:w="322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26</w:t>
            </w:r>
          </w:p>
        </w:tc>
        <w:tc>
          <w:tcPr>
            <w:tcW w:w="12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368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二十六、抗疫特别国债安排的支出</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58</w:t>
            </w:r>
          </w:p>
        </w:tc>
        <w:tc>
          <w:tcPr>
            <w:tcW w:w="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12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0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4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gridAfter w:val="1"/>
          <w:wAfter w:w="246" w:type="dxa"/>
          <w:trHeight w:val="300" w:hRule="atLeast"/>
        </w:trPr>
        <w:tc>
          <w:tcPr>
            <w:tcW w:w="322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本年收入合计</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27</w:t>
            </w:r>
          </w:p>
        </w:tc>
        <w:tc>
          <w:tcPr>
            <w:tcW w:w="12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290.23</w:t>
            </w:r>
          </w:p>
        </w:tc>
        <w:tc>
          <w:tcPr>
            <w:tcW w:w="3684"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本年支出合计</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59</w:t>
            </w:r>
          </w:p>
        </w:tc>
        <w:tc>
          <w:tcPr>
            <w:tcW w:w="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290.23</w:t>
            </w:r>
          </w:p>
        </w:tc>
        <w:tc>
          <w:tcPr>
            <w:tcW w:w="112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290.23</w:t>
            </w:r>
          </w:p>
        </w:tc>
        <w:tc>
          <w:tcPr>
            <w:tcW w:w="10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4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gridAfter w:val="1"/>
          <w:wAfter w:w="246" w:type="dxa"/>
          <w:trHeight w:val="300" w:hRule="atLeast"/>
        </w:trPr>
        <w:tc>
          <w:tcPr>
            <w:tcW w:w="322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年初财政拨款结转和结余</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28</w:t>
            </w:r>
          </w:p>
        </w:tc>
        <w:tc>
          <w:tcPr>
            <w:tcW w:w="12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368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年末财政拨款结转和结余</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60</w:t>
            </w:r>
          </w:p>
        </w:tc>
        <w:tc>
          <w:tcPr>
            <w:tcW w:w="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12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0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4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gridAfter w:val="1"/>
          <w:wAfter w:w="246" w:type="dxa"/>
          <w:trHeight w:val="300" w:hRule="atLeast"/>
        </w:trPr>
        <w:tc>
          <w:tcPr>
            <w:tcW w:w="322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一般公共预算财政拨款</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29</w:t>
            </w:r>
          </w:p>
        </w:tc>
        <w:tc>
          <w:tcPr>
            <w:tcW w:w="12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368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61</w:t>
            </w:r>
          </w:p>
        </w:tc>
        <w:tc>
          <w:tcPr>
            <w:tcW w:w="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112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10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14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gridAfter w:val="1"/>
          <w:wAfter w:w="246" w:type="dxa"/>
          <w:trHeight w:val="300" w:hRule="atLeast"/>
        </w:trPr>
        <w:tc>
          <w:tcPr>
            <w:tcW w:w="322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政府性基金预算财政拨款</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30</w:t>
            </w:r>
          </w:p>
        </w:tc>
        <w:tc>
          <w:tcPr>
            <w:tcW w:w="12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368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62</w:t>
            </w:r>
          </w:p>
        </w:tc>
        <w:tc>
          <w:tcPr>
            <w:tcW w:w="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112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10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14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gridAfter w:val="1"/>
          <w:wAfter w:w="246" w:type="dxa"/>
          <w:trHeight w:val="300" w:hRule="atLeast"/>
        </w:trPr>
        <w:tc>
          <w:tcPr>
            <w:tcW w:w="322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国有资本经营预算财政拨款</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31</w:t>
            </w:r>
          </w:p>
        </w:tc>
        <w:tc>
          <w:tcPr>
            <w:tcW w:w="12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368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63</w:t>
            </w:r>
          </w:p>
        </w:tc>
        <w:tc>
          <w:tcPr>
            <w:tcW w:w="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112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10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14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gridAfter w:val="1"/>
          <w:wAfter w:w="246" w:type="dxa"/>
          <w:trHeight w:val="300" w:hRule="atLeast"/>
        </w:trPr>
        <w:tc>
          <w:tcPr>
            <w:tcW w:w="3227"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b/>
                <w:bCs/>
                <w:kern w:val="0"/>
                <w:sz w:val="20"/>
                <w:szCs w:val="20"/>
              </w:rPr>
            </w:pPr>
            <w:r>
              <w:rPr>
                <w:rFonts w:hint="eastAsia" w:ascii="宋体" w:hAnsi="宋体" w:cs="Arial"/>
                <w:b/>
                <w:bCs/>
                <w:kern w:val="0"/>
                <w:sz w:val="20"/>
                <w:szCs w:val="20"/>
              </w:rPr>
              <w:t>总计</w:t>
            </w:r>
          </w:p>
        </w:tc>
        <w:tc>
          <w:tcPr>
            <w:tcW w:w="487" w:type="dxa"/>
            <w:tcBorders>
              <w:top w:val="nil"/>
              <w:left w:val="nil"/>
              <w:bottom w:val="single" w:color="000000" w:sz="12"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32</w:t>
            </w:r>
          </w:p>
        </w:tc>
        <w:tc>
          <w:tcPr>
            <w:tcW w:w="123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290.23</w:t>
            </w:r>
          </w:p>
        </w:tc>
        <w:tc>
          <w:tcPr>
            <w:tcW w:w="3684"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b/>
                <w:bCs/>
                <w:kern w:val="0"/>
                <w:sz w:val="20"/>
                <w:szCs w:val="20"/>
              </w:rPr>
            </w:pPr>
            <w:r>
              <w:rPr>
                <w:rFonts w:hint="eastAsia" w:ascii="宋体" w:hAnsi="宋体" w:cs="Arial"/>
                <w:b/>
                <w:bCs/>
                <w:kern w:val="0"/>
                <w:sz w:val="20"/>
                <w:szCs w:val="20"/>
              </w:rPr>
              <w:t>总计</w:t>
            </w:r>
          </w:p>
        </w:tc>
        <w:tc>
          <w:tcPr>
            <w:tcW w:w="487"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64</w:t>
            </w:r>
          </w:p>
        </w:tc>
        <w:tc>
          <w:tcPr>
            <w:tcW w:w="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290.23</w:t>
            </w:r>
          </w:p>
        </w:tc>
        <w:tc>
          <w:tcPr>
            <w:tcW w:w="112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290.23</w:t>
            </w:r>
          </w:p>
        </w:tc>
        <w:tc>
          <w:tcPr>
            <w:tcW w:w="10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4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gridAfter w:val="1"/>
          <w:wAfter w:w="246" w:type="dxa"/>
          <w:trHeight w:val="300" w:hRule="atLeast"/>
        </w:trPr>
        <w:tc>
          <w:tcPr>
            <w:tcW w:w="12133" w:type="dxa"/>
            <w:gridSpan w:val="8"/>
            <w:tcBorders>
              <w:top w:val="nil"/>
              <w:left w:val="nil"/>
              <w:bottom w:val="nil"/>
              <w:right w:val="nil"/>
            </w:tcBorders>
            <w:shd w:val="clear" w:color="000000" w:fill="FFFFFF"/>
            <w:noWrap/>
            <w:vAlign w:val="center"/>
          </w:tcPr>
          <w:p>
            <w:pPr>
              <w:widowControl/>
              <w:jc w:val="left"/>
              <w:rPr>
                <w:rFonts w:ascii="宋体" w:hAnsi="宋体" w:cs="Arial"/>
                <w:kern w:val="0"/>
                <w:sz w:val="20"/>
                <w:szCs w:val="20"/>
              </w:rPr>
            </w:pPr>
            <w:r>
              <w:rPr>
                <w:rFonts w:hint="eastAsia" w:ascii="宋体" w:hAnsi="宋体" w:cs="Arial"/>
                <w:kern w:val="0"/>
                <w:sz w:val="20"/>
                <w:szCs w:val="20"/>
              </w:rPr>
              <w:t>注：本表反映部门本年度一般公共预算财政拨款、政府性基金预算财政拨款和国有资本经营预算财政拨款的总收支和年末结转结余情况。</w:t>
            </w:r>
          </w:p>
        </w:tc>
        <w:tc>
          <w:tcPr>
            <w:tcW w:w="1466" w:type="dxa"/>
            <w:tcBorders>
              <w:top w:val="nil"/>
              <w:left w:val="nil"/>
              <w:bottom w:val="nil"/>
              <w:right w:val="nil"/>
            </w:tcBorders>
            <w:shd w:val="clear" w:color="000000" w:fill="FFFFFF"/>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r>
    </w:tbl>
    <w:p>
      <w:pPr>
        <w:pStyle w:val="13"/>
        <w:spacing w:before="76" w:beforeAutospacing="0" w:after="76" w:afterAutospacing="0" w:line="450" w:lineRule="atLeast"/>
        <w:jc w:val="both"/>
      </w:pPr>
    </w:p>
    <w:p>
      <w:pPr>
        <w:pStyle w:val="13"/>
        <w:spacing w:before="76" w:beforeAutospacing="0" w:after="76" w:afterAutospacing="0" w:line="450" w:lineRule="atLeast"/>
        <w:jc w:val="both"/>
      </w:pPr>
    </w:p>
    <w:p>
      <w:pPr>
        <w:pStyle w:val="13"/>
        <w:spacing w:before="76" w:beforeAutospacing="0" w:after="76" w:afterAutospacing="0" w:line="450" w:lineRule="atLeast"/>
        <w:jc w:val="both"/>
      </w:pPr>
    </w:p>
    <w:p>
      <w:pPr>
        <w:pStyle w:val="13"/>
        <w:spacing w:before="76" w:beforeAutospacing="0" w:after="76" w:afterAutospacing="0" w:line="450" w:lineRule="atLeast"/>
        <w:jc w:val="both"/>
      </w:pPr>
    </w:p>
    <w:p>
      <w:pPr>
        <w:pStyle w:val="13"/>
        <w:spacing w:before="76" w:beforeAutospacing="0" w:after="76" w:afterAutospacing="0" w:line="450" w:lineRule="atLeast"/>
        <w:jc w:val="both"/>
      </w:pPr>
    </w:p>
    <w:tbl>
      <w:tblPr>
        <w:tblStyle w:val="7"/>
        <w:tblW w:w="14042" w:type="dxa"/>
        <w:tblInd w:w="0" w:type="dxa"/>
        <w:tblLayout w:type="fixed"/>
        <w:tblCellMar>
          <w:top w:w="0" w:type="dxa"/>
          <w:left w:w="15" w:type="dxa"/>
          <w:bottom w:w="0" w:type="dxa"/>
          <w:right w:w="15" w:type="dxa"/>
        </w:tblCellMar>
      </w:tblPr>
      <w:tblGrid>
        <w:gridCol w:w="298"/>
        <w:gridCol w:w="236"/>
        <w:gridCol w:w="236"/>
        <w:gridCol w:w="1088"/>
        <w:gridCol w:w="3260"/>
        <w:gridCol w:w="1224"/>
        <w:gridCol w:w="1328"/>
        <w:gridCol w:w="1269"/>
        <w:gridCol w:w="1566"/>
        <w:gridCol w:w="3402"/>
        <w:gridCol w:w="135"/>
      </w:tblGrid>
      <w:tr>
        <w:tblPrEx>
          <w:tblCellMar>
            <w:top w:w="0" w:type="dxa"/>
            <w:left w:w="15" w:type="dxa"/>
            <w:bottom w:w="0" w:type="dxa"/>
            <w:right w:w="15" w:type="dxa"/>
          </w:tblCellMar>
        </w:tblPrEx>
        <w:trPr>
          <w:trHeight w:val="375" w:hRule="atLeast"/>
        </w:trPr>
        <w:tc>
          <w:tcPr>
            <w:tcW w:w="14042" w:type="dxa"/>
            <w:gridSpan w:val="11"/>
            <w:shd w:val="solid" w:color="FFFFFF" w:fill="auto"/>
            <w:vAlign w:val="center"/>
          </w:tcPr>
          <w:p>
            <w:pPr>
              <w:shd w:val="solid" w:color="FFFFFF" w:fill="auto"/>
              <w:autoSpaceDN w:val="0"/>
              <w:jc w:val="center"/>
              <w:textAlignment w:val="center"/>
              <w:rPr>
                <w:rFonts w:ascii="黑体" w:hAnsi="黑体" w:eastAsia="黑体"/>
                <w:color w:val="000000"/>
                <w:sz w:val="30"/>
                <w:shd w:val="clear" w:color="auto" w:fill="FFFFFF"/>
              </w:rPr>
            </w:pPr>
            <w:r>
              <w:rPr>
                <w:rFonts w:hint="eastAsia" w:ascii="黑体" w:hAnsi="黑体" w:eastAsia="黑体"/>
                <w:color w:val="000000"/>
                <w:sz w:val="30"/>
                <w:shd w:val="clear" w:color="auto" w:fill="FFFFFF"/>
              </w:rPr>
              <w:t>一般公共预算财政拨款支出决算表</w:t>
            </w:r>
          </w:p>
        </w:tc>
      </w:tr>
      <w:tr>
        <w:tblPrEx>
          <w:tblCellMar>
            <w:top w:w="0" w:type="dxa"/>
            <w:left w:w="108" w:type="dxa"/>
            <w:bottom w:w="0" w:type="dxa"/>
            <w:right w:w="108" w:type="dxa"/>
          </w:tblCellMar>
        </w:tblPrEx>
        <w:trPr>
          <w:gridAfter w:val="1"/>
          <w:wAfter w:w="135" w:type="dxa"/>
          <w:trHeight w:val="300" w:hRule="atLeast"/>
        </w:trPr>
        <w:tc>
          <w:tcPr>
            <w:tcW w:w="298"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236"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236"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4348" w:type="dxa"/>
            <w:gridSpan w:val="2"/>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1224"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p>
        </w:tc>
        <w:tc>
          <w:tcPr>
            <w:tcW w:w="2597" w:type="dxa"/>
            <w:gridSpan w:val="2"/>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4968" w:type="dxa"/>
            <w:gridSpan w:val="2"/>
            <w:tcBorders>
              <w:top w:val="nil"/>
              <w:left w:val="nil"/>
              <w:bottom w:val="nil"/>
              <w:right w:val="nil"/>
            </w:tcBorders>
            <w:shd w:val="clear" w:color="000000" w:fill="FFFFFF"/>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公开05表</w:t>
            </w:r>
          </w:p>
        </w:tc>
      </w:tr>
      <w:tr>
        <w:tblPrEx>
          <w:tblCellMar>
            <w:top w:w="0" w:type="dxa"/>
            <w:left w:w="108" w:type="dxa"/>
            <w:bottom w:w="0" w:type="dxa"/>
            <w:right w:w="108" w:type="dxa"/>
          </w:tblCellMar>
        </w:tblPrEx>
        <w:trPr>
          <w:gridAfter w:val="1"/>
          <w:wAfter w:w="135" w:type="dxa"/>
          <w:trHeight w:val="300" w:hRule="atLeast"/>
        </w:trPr>
        <w:tc>
          <w:tcPr>
            <w:tcW w:w="5118" w:type="dxa"/>
            <w:gridSpan w:val="5"/>
            <w:tcBorders>
              <w:top w:val="nil"/>
              <w:left w:val="nil"/>
              <w:bottom w:val="single" w:color="auto" w:sz="4" w:space="0"/>
              <w:right w:val="nil"/>
            </w:tcBorders>
            <w:shd w:val="clear" w:color="000000" w:fill="FFFFFF"/>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部门：黄石市黄石港区司法局</w:t>
            </w:r>
          </w:p>
        </w:tc>
        <w:tc>
          <w:tcPr>
            <w:tcW w:w="1224" w:type="dxa"/>
            <w:tcBorders>
              <w:top w:val="nil"/>
              <w:left w:val="nil"/>
              <w:bottom w:val="single" w:color="000000" w:sz="4" w:space="0"/>
              <w:right w:val="nil"/>
            </w:tcBorders>
            <w:shd w:val="clear" w:color="000000" w:fill="FFFFFF"/>
            <w:noWrap/>
            <w:vAlign w:val="center"/>
          </w:tcPr>
          <w:p>
            <w:pPr>
              <w:widowControl/>
              <w:ind w:firstLine="1320" w:firstLineChars="600"/>
              <w:jc w:val="left"/>
              <w:rPr>
                <w:rFonts w:ascii="宋体" w:hAnsi="宋体" w:cs="Arial"/>
                <w:color w:val="000000"/>
                <w:kern w:val="0"/>
                <w:sz w:val="22"/>
                <w:szCs w:val="22"/>
              </w:rPr>
            </w:pPr>
            <w:r>
              <w:rPr>
                <w:rFonts w:hint="eastAsia" w:ascii="宋体" w:hAnsi="宋体" w:cs="Arial"/>
                <w:color w:val="000000"/>
                <w:kern w:val="0"/>
                <w:sz w:val="22"/>
                <w:szCs w:val="22"/>
              </w:rPr>
              <w:t>2</w:t>
            </w:r>
          </w:p>
        </w:tc>
        <w:tc>
          <w:tcPr>
            <w:tcW w:w="2597" w:type="dxa"/>
            <w:gridSpan w:val="2"/>
            <w:tcBorders>
              <w:top w:val="nil"/>
              <w:left w:val="nil"/>
              <w:bottom w:val="single" w:color="000000" w:sz="4" w:space="0"/>
              <w:right w:val="nil"/>
            </w:tcBorders>
            <w:shd w:val="clear" w:color="000000" w:fill="FFFFFF"/>
            <w:noWrap/>
            <w:vAlign w:val="center"/>
          </w:tcPr>
          <w:p>
            <w:pPr>
              <w:widowControl/>
              <w:rPr>
                <w:rFonts w:ascii="宋体" w:hAnsi="宋体" w:cs="Arial"/>
                <w:kern w:val="0"/>
                <w:sz w:val="18"/>
                <w:szCs w:val="18"/>
              </w:rPr>
            </w:pPr>
            <w:r>
              <w:rPr>
                <w:rFonts w:hint="eastAsia" w:ascii="宋体" w:hAnsi="宋体" w:cs="Arial"/>
                <w:color w:val="000000"/>
                <w:kern w:val="0"/>
                <w:sz w:val="22"/>
                <w:szCs w:val="22"/>
              </w:rPr>
              <w:t>2020年度</w:t>
            </w:r>
          </w:p>
        </w:tc>
        <w:tc>
          <w:tcPr>
            <w:tcW w:w="4968" w:type="dxa"/>
            <w:gridSpan w:val="2"/>
            <w:tcBorders>
              <w:top w:val="nil"/>
              <w:left w:val="nil"/>
              <w:bottom w:val="single" w:color="000000" w:sz="4" w:space="0"/>
              <w:right w:val="nil"/>
            </w:tcBorders>
            <w:shd w:val="clear" w:color="000000" w:fill="FFFFFF"/>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金额单位：万元</w:t>
            </w:r>
          </w:p>
        </w:tc>
      </w:tr>
      <w:tr>
        <w:tblPrEx>
          <w:tblCellMar>
            <w:top w:w="0" w:type="dxa"/>
            <w:left w:w="108" w:type="dxa"/>
            <w:bottom w:w="0" w:type="dxa"/>
            <w:right w:w="108" w:type="dxa"/>
          </w:tblCellMar>
        </w:tblPrEx>
        <w:trPr>
          <w:gridAfter w:val="1"/>
          <w:wAfter w:w="135" w:type="dxa"/>
          <w:trHeight w:val="300" w:hRule="atLeast"/>
        </w:trPr>
        <w:tc>
          <w:tcPr>
            <w:tcW w:w="5118" w:type="dxa"/>
            <w:gridSpan w:val="5"/>
            <w:tcBorders>
              <w:top w:val="single" w:color="auto" w:sz="4" w:space="0"/>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项目</w:t>
            </w:r>
          </w:p>
        </w:tc>
        <w:tc>
          <w:tcPr>
            <w:tcW w:w="8789" w:type="dxa"/>
            <w:gridSpan w:val="5"/>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本年支出</w:t>
            </w:r>
          </w:p>
        </w:tc>
      </w:tr>
      <w:tr>
        <w:tblPrEx>
          <w:tblCellMar>
            <w:top w:w="0" w:type="dxa"/>
            <w:left w:w="108" w:type="dxa"/>
            <w:bottom w:w="0" w:type="dxa"/>
            <w:right w:w="108" w:type="dxa"/>
          </w:tblCellMar>
        </w:tblPrEx>
        <w:trPr>
          <w:gridAfter w:val="1"/>
          <w:wAfter w:w="135" w:type="dxa"/>
          <w:trHeight w:val="312" w:hRule="atLeast"/>
        </w:trPr>
        <w:tc>
          <w:tcPr>
            <w:tcW w:w="1858" w:type="dxa"/>
            <w:gridSpan w:val="4"/>
            <w:vMerge w:val="restart"/>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功能分类科目编码</w:t>
            </w:r>
          </w:p>
        </w:tc>
        <w:tc>
          <w:tcPr>
            <w:tcW w:w="3260" w:type="dxa"/>
            <w:vMerge w:val="restart"/>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科目名称</w:t>
            </w:r>
          </w:p>
        </w:tc>
        <w:tc>
          <w:tcPr>
            <w:tcW w:w="2552" w:type="dxa"/>
            <w:gridSpan w:val="2"/>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小计</w:t>
            </w:r>
          </w:p>
        </w:tc>
        <w:tc>
          <w:tcPr>
            <w:tcW w:w="2835" w:type="dxa"/>
            <w:gridSpan w:val="2"/>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基本支出</w:t>
            </w:r>
          </w:p>
        </w:tc>
        <w:tc>
          <w:tcPr>
            <w:tcW w:w="3402"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项目支出</w:t>
            </w:r>
          </w:p>
        </w:tc>
      </w:tr>
      <w:tr>
        <w:tblPrEx>
          <w:tblCellMar>
            <w:top w:w="0" w:type="dxa"/>
            <w:left w:w="108" w:type="dxa"/>
            <w:bottom w:w="0" w:type="dxa"/>
            <w:right w:w="108" w:type="dxa"/>
          </w:tblCellMar>
        </w:tblPrEx>
        <w:trPr>
          <w:gridAfter w:val="1"/>
          <w:wAfter w:w="135" w:type="dxa"/>
          <w:trHeight w:val="312" w:hRule="atLeast"/>
        </w:trPr>
        <w:tc>
          <w:tcPr>
            <w:tcW w:w="1858" w:type="dxa"/>
            <w:gridSpan w:val="4"/>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32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2552"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2835"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3402"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r>
      <w:tr>
        <w:tblPrEx>
          <w:tblCellMar>
            <w:top w:w="0" w:type="dxa"/>
            <w:left w:w="108" w:type="dxa"/>
            <w:bottom w:w="0" w:type="dxa"/>
            <w:right w:w="108" w:type="dxa"/>
          </w:tblCellMar>
        </w:tblPrEx>
        <w:trPr>
          <w:gridAfter w:val="1"/>
          <w:wAfter w:w="135" w:type="dxa"/>
          <w:trHeight w:val="312" w:hRule="atLeast"/>
        </w:trPr>
        <w:tc>
          <w:tcPr>
            <w:tcW w:w="1858" w:type="dxa"/>
            <w:gridSpan w:val="4"/>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32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2552"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2835"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3402"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r>
      <w:tr>
        <w:tblPrEx>
          <w:tblCellMar>
            <w:top w:w="0" w:type="dxa"/>
            <w:left w:w="108" w:type="dxa"/>
            <w:bottom w:w="0" w:type="dxa"/>
            <w:right w:w="108" w:type="dxa"/>
          </w:tblCellMar>
        </w:tblPrEx>
        <w:trPr>
          <w:gridAfter w:val="1"/>
          <w:wAfter w:w="135" w:type="dxa"/>
          <w:trHeight w:val="300" w:hRule="atLeast"/>
        </w:trPr>
        <w:tc>
          <w:tcPr>
            <w:tcW w:w="5118" w:type="dxa"/>
            <w:gridSpan w:val="5"/>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栏次</w:t>
            </w:r>
          </w:p>
        </w:tc>
        <w:tc>
          <w:tcPr>
            <w:tcW w:w="2552"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1</w:t>
            </w:r>
          </w:p>
        </w:tc>
        <w:tc>
          <w:tcPr>
            <w:tcW w:w="2835" w:type="dxa"/>
            <w:gridSpan w:val="2"/>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2</w:t>
            </w:r>
          </w:p>
        </w:tc>
        <w:tc>
          <w:tcPr>
            <w:tcW w:w="3402" w:type="dxa"/>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3</w:t>
            </w:r>
          </w:p>
        </w:tc>
      </w:tr>
      <w:tr>
        <w:tblPrEx>
          <w:tblCellMar>
            <w:top w:w="0" w:type="dxa"/>
            <w:left w:w="108" w:type="dxa"/>
            <w:bottom w:w="0" w:type="dxa"/>
            <w:right w:w="108" w:type="dxa"/>
          </w:tblCellMar>
        </w:tblPrEx>
        <w:trPr>
          <w:gridAfter w:val="1"/>
          <w:wAfter w:w="135" w:type="dxa"/>
          <w:trHeight w:val="300" w:hRule="atLeast"/>
        </w:trPr>
        <w:tc>
          <w:tcPr>
            <w:tcW w:w="5118" w:type="dxa"/>
            <w:gridSpan w:val="5"/>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合计</w:t>
            </w:r>
          </w:p>
        </w:tc>
        <w:tc>
          <w:tcPr>
            <w:tcW w:w="2552"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290.23</w:t>
            </w:r>
          </w:p>
        </w:tc>
        <w:tc>
          <w:tcPr>
            <w:tcW w:w="283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290.23</w:t>
            </w:r>
          </w:p>
        </w:tc>
        <w:tc>
          <w:tcPr>
            <w:tcW w:w="340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CellMar>
            <w:top w:w="0" w:type="dxa"/>
            <w:left w:w="108" w:type="dxa"/>
            <w:bottom w:w="0" w:type="dxa"/>
            <w:right w:w="108" w:type="dxa"/>
          </w:tblCellMar>
        </w:tblPrEx>
        <w:trPr>
          <w:gridAfter w:val="1"/>
          <w:wAfter w:w="135" w:type="dxa"/>
          <w:trHeight w:val="300" w:hRule="atLeast"/>
        </w:trPr>
        <w:tc>
          <w:tcPr>
            <w:tcW w:w="1858" w:type="dxa"/>
            <w:gridSpan w:val="4"/>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204</w:t>
            </w:r>
          </w:p>
        </w:tc>
        <w:tc>
          <w:tcPr>
            <w:tcW w:w="326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b/>
                <w:bCs/>
                <w:kern w:val="0"/>
                <w:sz w:val="20"/>
                <w:szCs w:val="20"/>
              </w:rPr>
            </w:pPr>
            <w:r>
              <w:rPr>
                <w:rFonts w:hint="eastAsia" w:ascii="宋体" w:hAnsi="宋体" w:cs="Arial"/>
                <w:b/>
                <w:bCs/>
                <w:kern w:val="0"/>
                <w:sz w:val="20"/>
                <w:szCs w:val="20"/>
              </w:rPr>
              <w:t>公共安全支出</w:t>
            </w:r>
          </w:p>
        </w:tc>
        <w:tc>
          <w:tcPr>
            <w:tcW w:w="2552"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290.23</w:t>
            </w:r>
          </w:p>
        </w:tc>
        <w:tc>
          <w:tcPr>
            <w:tcW w:w="2835"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290.23</w:t>
            </w:r>
          </w:p>
        </w:tc>
        <w:tc>
          <w:tcPr>
            <w:tcW w:w="3402"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CellMar>
            <w:top w:w="0" w:type="dxa"/>
            <w:left w:w="108" w:type="dxa"/>
            <w:bottom w:w="0" w:type="dxa"/>
            <w:right w:w="108" w:type="dxa"/>
          </w:tblCellMar>
        </w:tblPrEx>
        <w:trPr>
          <w:gridAfter w:val="1"/>
          <w:wAfter w:w="135" w:type="dxa"/>
          <w:trHeight w:val="300" w:hRule="atLeast"/>
        </w:trPr>
        <w:tc>
          <w:tcPr>
            <w:tcW w:w="1858" w:type="dxa"/>
            <w:gridSpan w:val="4"/>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b/>
                <w:bCs/>
                <w:kern w:val="0"/>
                <w:sz w:val="20"/>
                <w:szCs w:val="20"/>
              </w:rPr>
            </w:pPr>
            <w:r>
              <w:rPr>
                <w:rFonts w:hint="eastAsia" w:ascii="宋体" w:hAnsi="宋体" w:cs="Arial"/>
                <w:b/>
                <w:bCs/>
                <w:kern w:val="0"/>
                <w:sz w:val="20"/>
                <w:szCs w:val="20"/>
              </w:rPr>
              <w:t>20406</w:t>
            </w:r>
          </w:p>
        </w:tc>
        <w:tc>
          <w:tcPr>
            <w:tcW w:w="326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b/>
                <w:bCs/>
                <w:kern w:val="0"/>
                <w:sz w:val="20"/>
                <w:szCs w:val="20"/>
              </w:rPr>
            </w:pPr>
            <w:r>
              <w:rPr>
                <w:rFonts w:hint="eastAsia" w:ascii="宋体" w:hAnsi="宋体" w:cs="Arial"/>
                <w:b/>
                <w:bCs/>
                <w:kern w:val="0"/>
                <w:sz w:val="20"/>
                <w:szCs w:val="20"/>
              </w:rPr>
              <w:t>司法</w:t>
            </w:r>
          </w:p>
        </w:tc>
        <w:tc>
          <w:tcPr>
            <w:tcW w:w="2552"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290.23</w:t>
            </w:r>
          </w:p>
        </w:tc>
        <w:tc>
          <w:tcPr>
            <w:tcW w:w="2835" w:type="dxa"/>
            <w:gridSpan w:val="2"/>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290.23</w:t>
            </w:r>
          </w:p>
        </w:tc>
        <w:tc>
          <w:tcPr>
            <w:tcW w:w="3402" w:type="dxa"/>
            <w:tcBorders>
              <w:top w:val="nil"/>
              <w:left w:val="nil"/>
              <w:bottom w:val="single" w:color="000000" w:sz="4" w:space="0"/>
              <w:right w:val="single" w:color="000000" w:sz="4" w:space="0"/>
            </w:tcBorders>
            <w:shd w:val="clear" w:color="000000" w:fill="C0C0C0"/>
            <w:noWrap/>
            <w:vAlign w:val="center"/>
          </w:tcPr>
          <w:p>
            <w:pPr>
              <w:widowControl/>
              <w:jc w:val="right"/>
              <w:rPr>
                <w:rFonts w:ascii="宋体" w:hAnsi="宋体" w:cs="Arial"/>
                <w:b/>
                <w:bCs/>
                <w:kern w:val="0"/>
                <w:sz w:val="20"/>
                <w:szCs w:val="20"/>
              </w:rPr>
            </w:pPr>
            <w:r>
              <w:rPr>
                <w:rFonts w:hint="eastAsia" w:ascii="宋体" w:hAnsi="宋体" w:cs="Arial"/>
                <w:b/>
                <w:bCs/>
                <w:kern w:val="0"/>
                <w:sz w:val="20"/>
                <w:szCs w:val="20"/>
              </w:rPr>
              <w:t>0.00</w:t>
            </w:r>
          </w:p>
        </w:tc>
      </w:tr>
      <w:tr>
        <w:tblPrEx>
          <w:tblCellMar>
            <w:top w:w="0" w:type="dxa"/>
            <w:left w:w="108" w:type="dxa"/>
            <w:bottom w:w="0" w:type="dxa"/>
            <w:right w:w="108" w:type="dxa"/>
          </w:tblCellMar>
        </w:tblPrEx>
        <w:trPr>
          <w:gridAfter w:val="1"/>
          <w:wAfter w:w="135" w:type="dxa"/>
          <w:trHeight w:val="300" w:hRule="atLeast"/>
        </w:trPr>
        <w:tc>
          <w:tcPr>
            <w:tcW w:w="1858" w:type="dxa"/>
            <w:gridSpan w:val="4"/>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kern w:val="0"/>
                <w:sz w:val="20"/>
                <w:szCs w:val="20"/>
              </w:rPr>
            </w:pPr>
            <w:r>
              <w:rPr>
                <w:rFonts w:hint="eastAsia" w:ascii="宋体" w:hAnsi="宋体" w:cs="Arial"/>
                <w:kern w:val="0"/>
                <w:sz w:val="20"/>
                <w:szCs w:val="20"/>
              </w:rPr>
              <w:t>2040601</w:t>
            </w:r>
          </w:p>
        </w:tc>
        <w:tc>
          <w:tcPr>
            <w:tcW w:w="3260" w:type="dxa"/>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行政运行</w:t>
            </w:r>
          </w:p>
        </w:tc>
        <w:tc>
          <w:tcPr>
            <w:tcW w:w="2552"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248.81</w:t>
            </w:r>
          </w:p>
        </w:tc>
        <w:tc>
          <w:tcPr>
            <w:tcW w:w="283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248.81</w:t>
            </w:r>
          </w:p>
        </w:tc>
        <w:tc>
          <w:tcPr>
            <w:tcW w:w="340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gridAfter w:val="1"/>
          <w:wAfter w:w="135" w:type="dxa"/>
          <w:trHeight w:val="300" w:hRule="atLeast"/>
        </w:trPr>
        <w:tc>
          <w:tcPr>
            <w:tcW w:w="1858" w:type="dxa"/>
            <w:gridSpan w:val="4"/>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kern w:val="0"/>
                <w:sz w:val="20"/>
                <w:szCs w:val="20"/>
              </w:rPr>
            </w:pPr>
            <w:r>
              <w:rPr>
                <w:rFonts w:hint="eastAsia" w:ascii="宋体" w:hAnsi="宋体" w:cs="Arial"/>
                <w:kern w:val="0"/>
                <w:sz w:val="20"/>
                <w:szCs w:val="20"/>
              </w:rPr>
              <w:t>2040607</w:t>
            </w:r>
          </w:p>
        </w:tc>
        <w:tc>
          <w:tcPr>
            <w:tcW w:w="3260" w:type="dxa"/>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法律援助</w:t>
            </w:r>
          </w:p>
        </w:tc>
        <w:tc>
          <w:tcPr>
            <w:tcW w:w="2552"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6.76</w:t>
            </w:r>
          </w:p>
        </w:tc>
        <w:tc>
          <w:tcPr>
            <w:tcW w:w="283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6.76</w:t>
            </w:r>
          </w:p>
        </w:tc>
        <w:tc>
          <w:tcPr>
            <w:tcW w:w="340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gridAfter w:val="1"/>
          <w:wAfter w:w="135" w:type="dxa"/>
          <w:trHeight w:val="300" w:hRule="atLeast"/>
        </w:trPr>
        <w:tc>
          <w:tcPr>
            <w:tcW w:w="1858" w:type="dxa"/>
            <w:gridSpan w:val="4"/>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kern w:val="0"/>
                <w:sz w:val="20"/>
                <w:szCs w:val="20"/>
              </w:rPr>
            </w:pPr>
            <w:r>
              <w:rPr>
                <w:rFonts w:hint="eastAsia" w:ascii="宋体" w:hAnsi="宋体" w:cs="Arial"/>
                <w:kern w:val="0"/>
                <w:sz w:val="20"/>
                <w:szCs w:val="20"/>
              </w:rPr>
              <w:t>2040610</w:t>
            </w:r>
          </w:p>
        </w:tc>
        <w:tc>
          <w:tcPr>
            <w:tcW w:w="3260" w:type="dxa"/>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社区矫正</w:t>
            </w:r>
          </w:p>
        </w:tc>
        <w:tc>
          <w:tcPr>
            <w:tcW w:w="2552"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7.66</w:t>
            </w:r>
          </w:p>
        </w:tc>
        <w:tc>
          <w:tcPr>
            <w:tcW w:w="283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7.66</w:t>
            </w:r>
          </w:p>
        </w:tc>
        <w:tc>
          <w:tcPr>
            <w:tcW w:w="340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gridAfter w:val="1"/>
          <w:wAfter w:w="135" w:type="dxa"/>
          <w:trHeight w:val="300" w:hRule="atLeast"/>
        </w:trPr>
        <w:tc>
          <w:tcPr>
            <w:tcW w:w="1858" w:type="dxa"/>
            <w:gridSpan w:val="4"/>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kern w:val="0"/>
                <w:sz w:val="20"/>
                <w:szCs w:val="20"/>
              </w:rPr>
            </w:pPr>
            <w:r>
              <w:rPr>
                <w:rFonts w:hint="eastAsia" w:ascii="宋体" w:hAnsi="宋体" w:cs="Arial"/>
                <w:kern w:val="0"/>
                <w:sz w:val="20"/>
                <w:szCs w:val="20"/>
              </w:rPr>
              <w:t>2040699</w:t>
            </w:r>
          </w:p>
        </w:tc>
        <w:tc>
          <w:tcPr>
            <w:tcW w:w="3260" w:type="dxa"/>
            <w:tcBorders>
              <w:top w:val="nil"/>
              <w:left w:val="nil"/>
              <w:bottom w:val="single" w:color="000000" w:sz="4" w:space="0"/>
              <w:right w:val="single" w:color="000000" w:sz="4" w:space="0"/>
            </w:tcBorders>
            <w:shd w:val="clear" w:color="000000" w:fill="CCFFFF"/>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其他司法支出</w:t>
            </w:r>
          </w:p>
        </w:tc>
        <w:tc>
          <w:tcPr>
            <w:tcW w:w="2552"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27.00</w:t>
            </w:r>
          </w:p>
        </w:tc>
        <w:tc>
          <w:tcPr>
            <w:tcW w:w="283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27.00</w:t>
            </w:r>
          </w:p>
        </w:tc>
        <w:tc>
          <w:tcPr>
            <w:tcW w:w="340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gridAfter w:val="1"/>
          <w:wAfter w:w="135" w:type="dxa"/>
          <w:trHeight w:val="300" w:hRule="atLeast"/>
        </w:trPr>
        <w:tc>
          <w:tcPr>
            <w:tcW w:w="13907" w:type="dxa"/>
            <w:gridSpan w:val="10"/>
            <w:tcBorders>
              <w:top w:val="nil"/>
              <w:left w:val="nil"/>
              <w:bottom w:val="nil"/>
              <w:right w:val="nil"/>
            </w:tcBorders>
            <w:shd w:val="clear" w:color="000000" w:fill="FFFFFF"/>
            <w:noWrap/>
            <w:vAlign w:val="center"/>
          </w:tcPr>
          <w:p>
            <w:pPr>
              <w:widowControl/>
              <w:jc w:val="left"/>
              <w:rPr>
                <w:rFonts w:ascii="宋体" w:hAnsi="宋体" w:cs="Arial"/>
                <w:kern w:val="0"/>
                <w:sz w:val="20"/>
                <w:szCs w:val="20"/>
              </w:rPr>
            </w:pPr>
            <w:r>
              <w:rPr>
                <w:rFonts w:hint="eastAsia" w:ascii="宋体" w:hAnsi="宋体" w:cs="Arial"/>
                <w:kern w:val="0"/>
                <w:sz w:val="20"/>
                <w:szCs w:val="20"/>
              </w:rPr>
              <w:t>注：本表反映部门本年度一般公共预算财政拨款支出情况。</w:t>
            </w:r>
          </w:p>
        </w:tc>
      </w:tr>
    </w:tbl>
    <w:p>
      <w:pPr>
        <w:pStyle w:val="13"/>
        <w:spacing w:before="76" w:beforeAutospacing="0" w:after="76" w:afterAutospacing="0" w:line="450" w:lineRule="atLeast"/>
        <w:jc w:val="both"/>
      </w:pPr>
    </w:p>
    <w:p>
      <w:pPr>
        <w:pStyle w:val="13"/>
        <w:spacing w:before="76" w:beforeAutospacing="0" w:after="76" w:afterAutospacing="0" w:line="450" w:lineRule="atLeast"/>
        <w:jc w:val="center"/>
      </w:pPr>
    </w:p>
    <w:p>
      <w:pPr>
        <w:pStyle w:val="13"/>
        <w:spacing w:before="76" w:beforeAutospacing="0" w:after="76" w:afterAutospacing="0" w:line="450" w:lineRule="atLeast"/>
        <w:jc w:val="both"/>
      </w:pPr>
    </w:p>
    <w:p>
      <w:pPr>
        <w:pStyle w:val="13"/>
        <w:spacing w:before="76" w:beforeAutospacing="0" w:after="76" w:afterAutospacing="0" w:line="450" w:lineRule="atLeast"/>
        <w:jc w:val="both"/>
      </w:pPr>
    </w:p>
    <w:tbl>
      <w:tblPr>
        <w:tblStyle w:val="7"/>
        <w:tblW w:w="13907" w:type="dxa"/>
        <w:tblInd w:w="93" w:type="dxa"/>
        <w:tblLayout w:type="fixed"/>
        <w:tblCellMar>
          <w:top w:w="0" w:type="dxa"/>
          <w:left w:w="108" w:type="dxa"/>
          <w:bottom w:w="0" w:type="dxa"/>
          <w:right w:w="108" w:type="dxa"/>
        </w:tblCellMar>
      </w:tblPr>
      <w:tblGrid>
        <w:gridCol w:w="740"/>
        <w:gridCol w:w="3030"/>
        <w:gridCol w:w="909"/>
        <w:gridCol w:w="716"/>
        <w:gridCol w:w="2030"/>
        <w:gridCol w:w="851"/>
        <w:gridCol w:w="716"/>
        <w:gridCol w:w="3830"/>
        <w:gridCol w:w="1085"/>
      </w:tblGrid>
      <w:tr>
        <w:tblPrEx>
          <w:tblCellMar>
            <w:top w:w="0" w:type="dxa"/>
            <w:left w:w="108" w:type="dxa"/>
            <w:bottom w:w="0" w:type="dxa"/>
            <w:right w:w="108" w:type="dxa"/>
          </w:tblCellMar>
        </w:tblPrEx>
        <w:trPr>
          <w:trHeight w:val="375" w:hRule="atLeast"/>
        </w:trPr>
        <w:tc>
          <w:tcPr>
            <w:tcW w:w="13907" w:type="dxa"/>
            <w:gridSpan w:val="9"/>
            <w:tcBorders>
              <w:top w:val="nil"/>
              <w:left w:val="nil"/>
              <w:bottom w:val="nil"/>
              <w:right w:val="nil"/>
            </w:tcBorders>
            <w:shd w:val="clear" w:color="000000" w:fill="FFFFFF"/>
            <w:noWrap/>
            <w:vAlign w:val="center"/>
          </w:tcPr>
          <w:p>
            <w:pPr>
              <w:widowControl/>
              <w:jc w:val="center"/>
              <w:rPr>
                <w:rFonts w:ascii="黑体" w:hAnsi="黑体" w:eastAsia="黑体" w:cs="Arial"/>
                <w:color w:val="000000"/>
                <w:kern w:val="0"/>
                <w:sz w:val="30"/>
                <w:szCs w:val="30"/>
              </w:rPr>
            </w:pPr>
          </w:p>
          <w:p>
            <w:pPr>
              <w:widowControl/>
              <w:jc w:val="center"/>
              <w:rPr>
                <w:rFonts w:ascii="黑体" w:hAnsi="黑体" w:eastAsia="黑体" w:cs="Arial"/>
                <w:color w:val="000000"/>
                <w:kern w:val="0"/>
                <w:sz w:val="30"/>
                <w:szCs w:val="30"/>
              </w:rPr>
            </w:pPr>
            <w:r>
              <w:rPr>
                <w:rFonts w:hint="eastAsia" w:ascii="黑体" w:hAnsi="黑体" w:eastAsia="黑体" w:cs="Arial"/>
                <w:color w:val="000000"/>
                <w:kern w:val="0"/>
                <w:sz w:val="30"/>
                <w:szCs w:val="30"/>
              </w:rPr>
              <w:t>一般公共预算财政拨款基本支出决算表</w:t>
            </w:r>
          </w:p>
        </w:tc>
      </w:tr>
      <w:tr>
        <w:tblPrEx>
          <w:tblCellMar>
            <w:top w:w="0" w:type="dxa"/>
            <w:left w:w="108" w:type="dxa"/>
            <w:bottom w:w="0" w:type="dxa"/>
            <w:right w:w="108" w:type="dxa"/>
          </w:tblCellMar>
        </w:tblPrEx>
        <w:trPr>
          <w:trHeight w:val="300" w:hRule="atLeast"/>
        </w:trPr>
        <w:tc>
          <w:tcPr>
            <w:tcW w:w="740" w:type="dxa"/>
            <w:tcBorders>
              <w:top w:val="nil"/>
              <w:left w:val="nil"/>
              <w:bottom w:val="nil"/>
              <w:right w:val="nil"/>
            </w:tcBorders>
            <w:shd w:val="clear" w:color="000000" w:fill="FFFFFF"/>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030" w:type="dxa"/>
            <w:tcBorders>
              <w:top w:val="nil"/>
              <w:left w:val="nil"/>
              <w:bottom w:val="nil"/>
              <w:right w:val="nil"/>
            </w:tcBorders>
            <w:shd w:val="clear" w:color="000000" w:fill="FFFFFF"/>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09" w:type="dxa"/>
            <w:tcBorders>
              <w:top w:val="nil"/>
              <w:left w:val="nil"/>
              <w:bottom w:val="nil"/>
              <w:right w:val="nil"/>
            </w:tcBorders>
            <w:shd w:val="clear" w:color="000000" w:fill="FFFFFF"/>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16" w:type="dxa"/>
            <w:tcBorders>
              <w:top w:val="nil"/>
              <w:left w:val="nil"/>
              <w:bottom w:val="nil"/>
              <w:right w:val="nil"/>
            </w:tcBorders>
            <w:shd w:val="clear" w:color="000000" w:fill="FFFFFF"/>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030" w:type="dxa"/>
            <w:tcBorders>
              <w:top w:val="nil"/>
              <w:left w:val="nil"/>
              <w:bottom w:val="nil"/>
              <w:right w:val="nil"/>
            </w:tcBorders>
            <w:shd w:val="clear" w:color="000000" w:fill="FFFFFF"/>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51" w:type="dxa"/>
            <w:tcBorders>
              <w:top w:val="nil"/>
              <w:left w:val="nil"/>
              <w:bottom w:val="nil"/>
              <w:right w:val="nil"/>
            </w:tcBorders>
            <w:shd w:val="clear" w:color="000000" w:fill="FFFFFF"/>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16" w:type="dxa"/>
            <w:tcBorders>
              <w:top w:val="nil"/>
              <w:left w:val="nil"/>
              <w:bottom w:val="nil"/>
              <w:right w:val="nil"/>
            </w:tcBorders>
            <w:shd w:val="clear" w:color="000000" w:fill="FFFFFF"/>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4915" w:type="dxa"/>
            <w:gridSpan w:val="2"/>
            <w:tcBorders>
              <w:top w:val="nil"/>
              <w:left w:val="nil"/>
              <w:bottom w:val="nil"/>
              <w:right w:val="nil"/>
            </w:tcBorders>
            <w:shd w:val="clear" w:color="000000" w:fill="FFFFFF"/>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xml:space="preserve">                              公开06表                         </w:t>
            </w:r>
          </w:p>
        </w:tc>
      </w:tr>
      <w:tr>
        <w:tblPrEx>
          <w:tblCellMar>
            <w:top w:w="0" w:type="dxa"/>
            <w:left w:w="108" w:type="dxa"/>
            <w:bottom w:w="0" w:type="dxa"/>
            <w:right w:w="108" w:type="dxa"/>
          </w:tblCellMar>
        </w:tblPrEx>
        <w:trPr>
          <w:trHeight w:val="300" w:hRule="atLeast"/>
        </w:trPr>
        <w:tc>
          <w:tcPr>
            <w:tcW w:w="3770" w:type="dxa"/>
            <w:gridSpan w:val="2"/>
            <w:tcBorders>
              <w:top w:val="nil"/>
              <w:left w:val="nil"/>
              <w:bottom w:val="single" w:color="000000" w:sz="4" w:space="0"/>
              <w:right w:val="nil"/>
            </w:tcBorders>
            <w:shd w:val="clear" w:color="000000" w:fill="FFFFFF"/>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部门：黄石市黄石港区司法局</w:t>
            </w:r>
          </w:p>
        </w:tc>
        <w:tc>
          <w:tcPr>
            <w:tcW w:w="909" w:type="dxa"/>
            <w:tcBorders>
              <w:top w:val="nil"/>
              <w:left w:val="nil"/>
              <w:bottom w:val="single" w:color="000000" w:sz="4" w:space="0"/>
              <w:right w:val="nil"/>
            </w:tcBorders>
            <w:shd w:val="clear" w:color="000000" w:fill="FFFFFF"/>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2746" w:type="dxa"/>
            <w:gridSpan w:val="2"/>
            <w:tcBorders>
              <w:top w:val="nil"/>
              <w:left w:val="nil"/>
              <w:bottom w:val="single" w:color="000000" w:sz="4" w:space="0"/>
              <w:right w:val="nil"/>
            </w:tcBorders>
            <w:shd w:val="clear" w:color="000000" w:fill="FFFFFF"/>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xml:space="preserve">          2020年度</w:t>
            </w:r>
          </w:p>
        </w:tc>
        <w:tc>
          <w:tcPr>
            <w:tcW w:w="851" w:type="dxa"/>
            <w:tcBorders>
              <w:top w:val="nil"/>
              <w:left w:val="nil"/>
              <w:bottom w:val="single" w:color="000000" w:sz="4" w:space="0"/>
              <w:right w:val="nil"/>
            </w:tcBorders>
            <w:shd w:val="clear" w:color="000000" w:fill="FFFFFF"/>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716" w:type="dxa"/>
            <w:tcBorders>
              <w:top w:val="nil"/>
              <w:left w:val="nil"/>
              <w:bottom w:val="single" w:color="000000" w:sz="4" w:space="0"/>
              <w:right w:val="nil"/>
            </w:tcBorders>
            <w:shd w:val="clear" w:color="000000" w:fill="FFFFFF"/>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4915" w:type="dxa"/>
            <w:gridSpan w:val="2"/>
            <w:tcBorders>
              <w:top w:val="nil"/>
              <w:left w:val="nil"/>
              <w:bottom w:val="single" w:color="000000" w:sz="4" w:space="0"/>
              <w:right w:val="nil"/>
            </w:tcBorders>
            <w:shd w:val="clear" w:color="000000" w:fill="FFFFFF"/>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xml:space="preserve">                             金额单位：万元</w:t>
            </w:r>
          </w:p>
        </w:tc>
      </w:tr>
      <w:tr>
        <w:tblPrEx>
          <w:tblCellMar>
            <w:top w:w="0" w:type="dxa"/>
            <w:left w:w="108" w:type="dxa"/>
            <w:bottom w:w="0" w:type="dxa"/>
            <w:right w:w="108" w:type="dxa"/>
          </w:tblCellMar>
        </w:tblPrEx>
        <w:trPr>
          <w:trHeight w:val="300" w:hRule="atLeast"/>
        </w:trPr>
        <w:tc>
          <w:tcPr>
            <w:tcW w:w="4679" w:type="dxa"/>
            <w:gridSpan w:val="3"/>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人员经费</w:t>
            </w:r>
          </w:p>
        </w:tc>
        <w:tc>
          <w:tcPr>
            <w:tcW w:w="9228" w:type="dxa"/>
            <w:gridSpan w:val="6"/>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公用经费</w:t>
            </w:r>
          </w:p>
        </w:tc>
      </w:tr>
      <w:tr>
        <w:tblPrEx>
          <w:tblCellMar>
            <w:top w:w="0" w:type="dxa"/>
            <w:left w:w="108" w:type="dxa"/>
            <w:bottom w:w="0" w:type="dxa"/>
            <w:right w:w="108" w:type="dxa"/>
          </w:tblCellMar>
        </w:tblPrEx>
        <w:trPr>
          <w:trHeight w:val="312" w:hRule="atLeast"/>
        </w:trPr>
        <w:tc>
          <w:tcPr>
            <w:tcW w:w="740" w:type="dxa"/>
            <w:vMerge w:val="restart"/>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科目编码</w:t>
            </w:r>
          </w:p>
        </w:tc>
        <w:tc>
          <w:tcPr>
            <w:tcW w:w="3030"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科目名称</w:t>
            </w:r>
          </w:p>
        </w:tc>
        <w:tc>
          <w:tcPr>
            <w:tcW w:w="909"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决算数</w:t>
            </w:r>
          </w:p>
        </w:tc>
        <w:tc>
          <w:tcPr>
            <w:tcW w:w="716"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科目编码</w:t>
            </w:r>
          </w:p>
        </w:tc>
        <w:tc>
          <w:tcPr>
            <w:tcW w:w="2030"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科目名称</w:t>
            </w:r>
          </w:p>
        </w:tc>
        <w:tc>
          <w:tcPr>
            <w:tcW w:w="851"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决算数</w:t>
            </w:r>
          </w:p>
        </w:tc>
        <w:tc>
          <w:tcPr>
            <w:tcW w:w="716"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科目编码</w:t>
            </w:r>
          </w:p>
        </w:tc>
        <w:tc>
          <w:tcPr>
            <w:tcW w:w="3830"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科目名称</w:t>
            </w:r>
          </w:p>
        </w:tc>
        <w:tc>
          <w:tcPr>
            <w:tcW w:w="1085"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决算数</w:t>
            </w:r>
          </w:p>
        </w:tc>
      </w:tr>
      <w:tr>
        <w:tblPrEx>
          <w:tblCellMar>
            <w:top w:w="0" w:type="dxa"/>
            <w:left w:w="108" w:type="dxa"/>
            <w:bottom w:w="0" w:type="dxa"/>
            <w:right w:w="108" w:type="dxa"/>
          </w:tblCellMar>
        </w:tblPrEx>
        <w:trPr>
          <w:trHeight w:val="312" w:hRule="atLeast"/>
        </w:trPr>
        <w:tc>
          <w:tcPr>
            <w:tcW w:w="74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3030"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909"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6"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2030"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851"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716"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3830"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1085"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301</w:t>
            </w:r>
          </w:p>
        </w:tc>
        <w:tc>
          <w:tcPr>
            <w:tcW w:w="3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工资福利支出</w:t>
            </w:r>
          </w:p>
        </w:tc>
        <w:tc>
          <w:tcPr>
            <w:tcW w:w="90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167.89</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302</w:t>
            </w:r>
          </w:p>
        </w:tc>
        <w:tc>
          <w:tcPr>
            <w:tcW w:w="2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商品和服务支出</w:t>
            </w:r>
          </w:p>
        </w:tc>
        <w:tc>
          <w:tcPr>
            <w:tcW w:w="8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120.69</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307</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债务利息及费用支出</w:t>
            </w:r>
          </w:p>
        </w:tc>
        <w:tc>
          <w:tcPr>
            <w:tcW w:w="108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30101</w:t>
            </w:r>
          </w:p>
        </w:tc>
        <w:tc>
          <w:tcPr>
            <w:tcW w:w="3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基本工资</w:t>
            </w:r>
          </w:p>
        </w:tc>
        <w:tc>
          <w:tcPr>
            <w:tcW w:w="90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32.52</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30201</w:t>
            </w:r>
          </w:p>
        </w:tc>
        <w:tc>
          <w:tcPr>
            <w:tcW w:w="2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办公费</w:t>
            </w:r>
          </w:p>
        </w:tc>
        <w:tc>
          <w:tcPr>
            <w:tcW w:w="8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2.79</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30701</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国内债务付息</w:t>
            </w:r>
          </w:p>
        </w:tc>
        <w:tc>
          <w:tcPr>
            <w:tcW w:w="108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30102</w:t>
            </w:r>
          </w:p>
        </w:tc>
        <w:tc>
          <w:tcPr>
            <w:tcW w:w="3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津贴补贴</w:t>
            </w:r>
          </w:p>
        </w:tc>
        <w:tc>
          <w:tcPr>
            <w:tcW w:w="90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38.64</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30202</w:t>
            </w:r>
          </w:p>
        </w:tc>
        <w:tc>
          <w:tcPr>
            <w:tcW w:w="2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印刷费</w:t>
            </w:r>
          </w:p>
        </w:tc>
        <w:tc>
          <w:tcPr>
            <w:tcW w:w="8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0.83</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30702</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国外债务付息</w:t>
            </w:r>
          </w:p>
        </w:tc>
        <w:tc>
          <w:tcPr>
            <w:tcW w:w="108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30103</w:t>
            </w:r>
          </w:p>
        </w:tc>
        <w:tc>
          <w:tcPr>
            <w:tcW w:w="3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奖金</w:t>
            </w:r>
          </w:p>
        </w:tc>
        <w:tc>
          <w:tcPr>
            <w:tcW w:w="90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44.10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30203</w:t>
            </w:r>
          </w:p>
        </w:tc>
        <w:tc>
          <w:tcPr>
            <w:tcW w:w="2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咨询费</w:t>
            </w:r>
          </w:p>
        </w:tc>
        <w:tc>
          <w:tcPr>
            <w:tcW w:w="8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310</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资本性支出</w:t>
            </w:r>
          </w:p>
        </w:tc>
        <w:tc>
          <w:tcPr>
            <w:tcW w:w="108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1.66</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30106</w:t>
            </w:r>
          </w:p>
        </w:tc>
        <w:tc>
          <w:tcPr>
            <w:tcW w:w="3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伙食补助费</w:t>
            </w:r>
          </w:p>
        </w:tc>
        <w:tc>
          <w:tcPr>
            <w:tcW w:w="90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0.29</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30204</w:t>
            </w:r>
          </w:p>
        </w:tc>
        <w:tc>
          <w:tcPr>
            <w:tcW w:w="2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手续费</w:t>
            </w:r>
          </w:p>
        </w:tc>
        <w:tc>
          <w:tcPr>
            <w:tcW w:w="8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0.01</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31001</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房屋建筑物购建</w:t>
            </w:r>
          </w:p>
        </w:tc>
        <w:tc>
          <w:tcPr>
            <w:tcW w:w="108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30107</w:t>
            </w:r>
          </w:p>
        </w:tc>
        <w:tc>
          <w:tcPr>
            <w:tcW w:w="3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绩效工资</w:t>
            </w:r>
          </w:p>
        </w:tc>
        <w:tc>
          <w:tcPr>
            <w:tcW w:w="90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11.48</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30205</w:t>
            </w:r>
          </w:p>
        </w:tc>
        <w:tc>
          <w:tcPr>
            <w:tcW w:w="2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水费</w:t>
            </w:r>
          </w:p>
        </w:tc>
        <w:tc>
          <w:tcPr>
            <w:tcW w:w="8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31002</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办公设备购置</w:t>
            </w:r>
          </w:p>
        </w:tc>
        <w:tc>
          <w:tcPr>
            <w:tcW w:w="108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1.66</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30108</w:t>
            </w:r>
          </w:p>
        </w:tc>
        <w:tc>
          <w:tcPr>
            <w:tcW w:w="3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机关事业单位基本养老保险缴费</w:t>
            </w:r>
          </w:p>
        </w:tc>
        <w:tc>
          <w:tcPr>
            <w:tcW w:w="90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8.89</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30206</w:t>
            </w:r>
          </w:p>
        </w:tc>
        <w:tc>
          <w:tcPr>
            <w:tcW w:w="2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电费</w:t>
            </w:r>
          </w:p>
        </w:tc>
        <w:tc>
          <w:tcPr>
            <w:tcW w:w="8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31003</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专用设备购置</w:t>
            </w:r>
          </w:p>
        </w:tc>
        <w:tc>
          <w:tcPr>
            <w:tcW w:w="108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30109</w:t>
            </w:r>
          </w:p>
        </w:tc>
        <w:tc>
          <w:tcPr>
            <w:tcW w:w="3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职业年金缴费</w:t>
            </w:r>
          </w:p>
        </w:tc>
        <w:tc>
          <w:tcPr>
            <w:tcW w:w="90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2.26</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30207</w:t>
            </w:r>
          </w:p>
        </w:tc>
        <w:tc>
          <w:tcPr>
            <w:tcW w:w="2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邮电费</w:t>
            </w:r>
          </w:p>
        </w:tc>
        <w:tc>
          <w:tcPr>
            <w:tcW w:w="8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1.99</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31005</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基础设施建设</w:t>
            </w:r>
          </w:p>
        </w:tc>
        <w:tc>
          <w:tcPr>
            <w:tcW w:w="108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30110</w:t>
            </w:r>
          </w:p>
        </w:tc>
        <w:tc>
          <w:tcPr>
            <w:tcW w:w="3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职工基本医疗保险缴费</w:t>
            </w:r>
          </w:p>
        </w:tc>
        <w:tc>
          <w:tcPr>
            <w:tcW w:w="90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16.51</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30208</w:t>
            </w:r>
          </w:p>
        </w:tc>
        <w:tc>
          <w:tcPr>
            <w:tcW w:w="2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取暖费</w:t>
            </w:r>
          </w:p>
        </w:tc>
        <w:tc>
          <w:tcPr>
            <w:tcW w:w="8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31006</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大型修缮</w:t>
            </w:r>
          </w:p>
        </w:tc>
        <w:tc>
          <w:tcPr>
            <w:tcW w:w="108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30111</w:t>
            </w:r>
          </w:p>
        </w:tc>
        <w:tc>
          <w:tcPr>
            <w:tcW w:w="3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公务员医疗补助缴费</w:t>
            </w:r>
          </w:p>
        </w:tc>
        <w:tc>
          <w:tcPr>
            <w:tcW w:w="90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30209</w:t>
            </w:r>
          </w:p>
        </w:tc>
        <w:tc>
          <w:tcPr>
            <w:tcW w:w="2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物业管理费</w:t>
            </w:r>
          </w:p>
        </w:tc>
        <w:tc>
          <w:tcPr>
            <w:tcW w:w="8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31007</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信息网络及软件购置更新</w:t>
            </w:r>
          </w:p>
        </w:tc>
        <w:tc>
          <w:tcPr>
            <w:tcW w:w="108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30112</w:t>
            </w:r>
          </w:p>
        </w:tc>
        <w:tc>
          <w:tcPr>
            <w:tcW w:w="3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其他社会保障缴费</w:t>
            </w:r>
          </w:p>
        </w:tc>
        <w:tc>
          <w:tcPr>
            <w:tcW w:w="90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0.04</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30211</w:t>
            </w:r>
          </w:p>
        </w:tc>
        <w:tc>
          <w:tcPr>
            <w:tcW w:w="2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差旅费</w:t>
            </w:r>
          </w:p>
        </w:tc>
        <w:tc>
          <w:tcPr>
            <w:tcW w:w="8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0.74</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31008</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物资储备</w:t>
            </w:r>
          </w:p>
        </w:tc>
        <w:tc>
          <w:tcPr>
            <w:tcW w:w="108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30113</w:t>
            </w:r>
          </w:p>
        </w:tc>
        <w:tc>
          <w:tcPr>
            <w:tcW w:w="3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住房公积金</w:t>
            </w:r>
          </w:p>
        </w:tc>
        <w:tc>
          <w:tcPr>
            <w:tcW w:w="90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13.14</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30212</w:t>
            </w:r>
          </w:p>
        </w:tc>
        <w:tc>
          <w:tcPr>
            <w:tcW w:w="2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因公出国（境）费用</w:t>
            </w:r>
          </w:p>
        </w:tc>
        <w:tc>
          <w:tcPr>
            <w:tcW w:w="8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31009</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土地补偿</w:t>
            </w:r>
          </w:p>
        </w:tc>
        <w:tc>
          <w:tcPr>
            <w:tcW w:w="108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30114</w:t>
            </w:r>
          </w:p>
        </w:tc>
        <w:tc>
          <w:tcPr>
            <w:tcW w:w="3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医疗费</w:t>
            </w:r>
          </w:p>
        </w:tc>
        <w:tc>
          <w:tcPr>
            <w:tcW w:w="90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30213</w:t>
            </w:r>
          </w:p>
        </w:tc>
        <w:tc>
          <w:tcPr>
            <w:tcW w:w="2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维修（护）费</w:t>
            </w:r>
          </w:p>
        </w:tc>
        <w:tc>
          <w:tcPr>
            <w:tcW w:w="8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31010</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安置补助</w:t>
            </w:r>
          </w:p>
        </w:tc>
        <w:tc>
          <w:tcPr>
            <w:tcW w:w="108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30199</w:t>
            </w:r>
          </w:p>
        </w:tc>
        <w:tc>
          <w:tcPr>
            <w:tcW w:w="3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其他工资福利支出</w:t>
            </w:r>
          </w:p>
        </w:tc>
        <w:tc>
          <w:tcPr>
            <w:tcW w:w="90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30214</w:t>
            </w:r>
          </w:p>
        </w:tc>
        <w:tc>
          <w:tcPr>
            <w:tcW w:w="2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租赁费</w:t>
            </w:r>
          </w:p>
        </w:tc>
        <w:tc>
          <w:tcPr>
            <w:tcW w:w="8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1.00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31011</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地上附着物和青苗补偿</w:t>
            </w:r>
          </w:p>
        </w:tc>
        <w:tc>
          <w:tcPr>
            <w:tcW w:w="108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303</w:t>
            </w:r>
          </w:p>
        </w:tc>
        <w:tc>
          <w:tcPr>
            <w:tcW w:w="3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对个人和家庭的补助</w:t>
            </w:r>
          </w:p>
        </w:tc>
        <w:tc>
          <w:tcPr>
            <w:tcW w:w="90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30215</w:t>
            </w:r>
          </w:p>
        </w:tc>
        <w:tc>
          <w:tcPr>
            <w:tcW w:w="2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会议费</w:t>
            </w:r>
          </w:p>
        </w:tc>
        <w:tc>
          <w:tcPr>
            <w:tcW w:w="8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31012</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拆迁补偿</w:t>
            </w:r>
          </w:p>
        </w:tc>
        <w:tc>
          <w:tcPr>
            <w:tcW w:w="108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30301</w:t>
            </w:r>
          </w:p>
        </w:tc>
        <w:tc>
          <w:tcPr>
            <w:tcW w:w="3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离休费</w:t>
            </w:r>
          </w:p>
        </w:tc>
        <w:tc>
          <w:tcPr>
            <w:tcW w:w="90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30216</w:t>
            </w:r>
          </w:p>
        </w:tc>
        <w:tc>
          <w:tcPr>
            <w:tcW w:w="2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培训费</w:t>
            </w:r>
          </w:p>
        </w:tc>
        <w:tc>
          <w:tcPr>
            <w:tcW w:w="8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31013</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公务用车购置</w:t>
            </w:r>
          </w:p>
        </w:tc>
        <w:tc>
          <w:tcPr>
            <w:tcW w:w="108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30302</w:t>
            </w:r>
          </w:p>
        </w:tc>
        <w:tc>
          <w:tcPr>
            <w:tcW w:w="3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退休费</w:t>
            </w:r>
          </w:p>
        </w:tc>
        <w:tc>
          <w:tcPr>
            <w:tcW w:w="90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30217</w:t>
            </w:r>
          </w:p>
        </w:tc>
        <w:tc>
          <w:tcPr>
            <w:tcW w:w="2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公务接待费</w:t>
            </w:r>
          </w:p>
        </w:tc>
        <w:tc>
          <w:tcPr>
            <w:tcW w:w="8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0.06</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31019</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其他交通工具购置</w:t>
            </w:r>
          </w:p>
        </w:tc>
        <w:tc>
          <w:tcPr>
            <w:tcW w:w="108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30303</w:t>
            </w:r>
          </w:p>
        </w:tc>
        <w:tc>
          <w:tcPr>
            <w:tcW w:w="3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退职（役）费</w:t>
            </w:r>
          </w:p>
        </w:tc>
        <w:tc>
          <w:tcPr>
            <w:tcW w:w="90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30218</w:t>
            </w:r>
          </w:p>
        </w:tc>
        <w:tc>
          <w:tcPr>
            <w:tcW w:w="2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专用材料费</w:t>
            </w:r>
          </w:p>
        </w:tc>
        <w:tc>
          <w:tcPr>
            <w:tcW w:w="8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31021</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文物和陈列品购置</w:t>
            </w:r>
          </w:p>
        </w:tc>
        <w:tc>
          <w:tcPr>
            <w:tcW w:w="108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30304</w:t>
            </w:r>
          </w:p>
        </w:tc>
        <w:tc>
          <w:tcPr>
            <w:tcW w:w="3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抚恤金</w:t>
            </w:r>
          </w:p>
        </w:tc>
        <w:tc>
          <w:tcPr>
            <w:tcW w:w="90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30224</w:t>
            </w:r>
          </w:p>
        </w:tc>
        <w:tc>
          <w:tcPr>
            <w:tcW w:w="2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被装购置费</w:t>
            </w:r>
          </w:p>
        </w:tc>
        <w:tc>
          <w:tcPr>
            <w:tcW w:w="8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31022</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无形资产购置</w:t>
            </w:r>
          </w:p>
        </w:tc>
        <w:tc>
          <w:tcPr>
            <w:tcW w:w="108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30305</w:t>
            </w:r>
          </w:p>
        </w:tc>
        <w:tc>
          <w:tcPr>
            <w:tcW w:w="3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生活补助</w:t>
            </w:r>
          </w:p>
        </w:tc>
        <w:tc>
          <w:tcPr>
            <w:tcW w:w="90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30225</w:t>
            </w:r>
          </w:p>
        </w:tc>
        <w:tc>
          <w:tcPr>
            <w:tcW w:w="2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专用燃料费</w:t>
            </w:r>
          </w:p>
        </w:tc>
        <w:tc>
          <w:tcPr>
            <w:tcW w:w="8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31099</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其他资本性支出</w:t>
            </w:r>
          </w:p>
        </w:tc>
        <w:tc>
          <w:tcPr>
            <w:tcW w:w="108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30306</w:t>
            </w:r>
          </w:p>
        </w:tc>
        <w:tc>
          <w:tcPr>
            <w:tcW w:w="3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救济费</w:t>
            </w:r>
          </w:p>
        </w:tc>
        <w:tc>
          <w:tcPr>
            <w:tcW w:w="90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30226</w:t>
            </w:r>
          </w:p>
        </w:tc>
        <w:tc>
          <w:tcPr>
            <w:tcW w:w="2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劳务费</w:t>
            </w:r>
          </w:p>
        </w:tc>
        <w:tc>
          <w:tcPr>
            <w:tcW w:w="8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4.43</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399</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其他支出</w:t>
            </w:r>
          </w:p>
        </w:tc>
        <w:tc>
          <w:tcPr>
            <w:tcW w:w="108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30307</w:t>
            </w:r>
          </w:p>
        </w:tc>
        <w:tc>
          <w:tcPr>
            <w:tcW w:w="3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医疗费补助</w:t>
            </w:r>
          </w:p>
        </w:tc>
        <w:tc>
          <w:tcPr>
            <w:tcW w:w="90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30227</w:t>
            </w:r>
          </w:p>
        </w:tc>
        <w:tc>
          <w:tcPr>
            <w:tcW w:w="2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委托业务费</w:t>
            </w:r>
          </w:p>
        </w:tc>
        <w:tc>
          <w:tcPr>
            <w:tcW w:w="8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104.24</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39906</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赠与</w:t>
            </w:r>
          </w:p>
        </w:tc>
        <w:tc>
          <w:tcPr>
            <w:tcW w:w="108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30308</w:t>
            </w:r>
          </w:p>
        </w:tc>
        <w:tc>
          <w:tcPr>
            <w:tcW w:w="3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助学金</w:t>
            </w:r>
          </w:p>
        </w:tc>
        <w:tc>
          <w:tcPr>
            <w:tcW w:w="90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30228</w:t>
            </w:r>
          </w:p>
        </w:tc>
        <w:tc>
          <w:tcPr>
            <w:tcW w:w="2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工会经费</w:t>
            </w:r>
          </w:p>
        </w:tc>
        <w:tc>
          <w:tcPr>
            <w:tcW w:w="8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2.58</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39907</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国家赔偿费用支出</w:t>
            </w:r>
          </w:p>
        </w:tc>
        <w:tc>
          <w:tcPr>
            <w:tcW w:w="108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30309</w:t>
            </w:r>
          </w:p>
        </w:tc>
        <w:tc>
          <w:tcPr>
            <w:tcW w:w="3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奖励金</w:t>
            </w:r>
          </w:p>
        </w:tc>
        <w:tc>
          <w:tcPr>
            <w:tcW w:w="90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30229</w:t>
            </w:r>
          </w:p>
        </w:tc>
        <w:tc>
          <w:tcPr>
            <w:tcW w:w="2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福利费</w:t>
            </w:r>
          </w:p>
        </w:tc>
        <w:tc>
          <w:tcPr>
            <w:tcW w:w="8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0.22</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39908</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对民间非营利组织和群众性自治组织补贴</w:t>
            </w:r>
          </w:p>
        </w:tc>
        <w:tc>
          <w:tcPr>
            <w:tcW w:w="108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30310</w:t>
            </w:r>
          </w:p>
        </w:tc>
        <w:tc>
          <w:tcPr>
            <w:tcW w:w="3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个人农业生产补贴</w:t>
            </w:r>
          </w:p>
        </w:tc>
        <w:tc>
          <w:tcPr>
            <w:tcW w:w="90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30231</w:t>
            </w:r>
          </w:p>
        </w:tc>
        <w:tc>
          <w:tcPr>
            <w:tcW w:w="2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公务用车运行维护费</w:t>
            </w:r>
          </w:p>
        </w:tc>
        <w:tc>
          <w:tcPr>
            <w:tcW w:w="8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39999</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其他支出</w:t>
            </w:r>
          </w:p>
        </w:tc>
        <w:tc>
          <w:tcPr>
            <w:tcW w:w="108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30311</w:t>
            </w:r>
          </w:p>
        </w:tc>
        <w:tc>
          <w:tcPr>
            <w:tcW w:w="3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代缴社会保险费</w:t>
            </w:r>
          </w:p>
        </w:tc>
        <w:tc>
          <w:tcPr>
            <w:tcW w:w="90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30239</w:t>
            </w:r>
          </w:p>
        </w:tc>
        <w:tc>
          <w:tcPr>
            <w:tcW w:w="2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其他交通费用</w:t>
            </w:r>
          </w:p>
        </w:tc>
        <w:tc>
          <w:tcPr>
            <w:tcW w:w="8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0.01</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108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30399</w:t>
            </w:r>
          </w:p>
        </w:tc>
        <w:tc>
          <w:tcPr>
            <w:tcW w:w="3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其他对个人和家庭的补助</w:t>
            </w:r>
          </w:p>
        </w:tc>
        <w:tc>
          <w:tcPr>
            <w:tcW w:w="90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30240</w:t>
            </w:r>
          </w:p>
        </w:tc>
        <w:tc>
          <w:tcPr>
            <w:tcW w:w="2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税金及附加费用</w:t>
            </w:r>
          </w:p>
        </w:tc>
        <w:tc>
          <w:tcPr>
            <w:tcW w:w="8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108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300" w:hRule="atLeast"/>
        </w:trPr>
        <w:tc>
          <w:tcPr>
            <w:tcW w:w="740" w:type="dxa"/>
            <w:tcBorders>
              <w:top w:val="nil"/>
              <w:left w:val="single" w:color="000000" w:sz="4" w:space="0"/>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3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90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30299</w:t>
            </w:r>
          </w:p>
        </w:tc>
        <w:tc>
          <w:tcPr>
            <w:tcW w:w="20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xml:space="preserve">  其他商品和服务支出</w:t>
            </w:r>
          </w:p>
        </w:tc>
        <w:tc>
          <w:tcPr>
            <w:tcW w:w="8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1.80</w:t>
            </w:r>
          </w:p>
        </w:tc>
        <w:tc>
          <w:tcPr>
            <w:tcW w:w="716"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3830" w:type="dxa"/>
            <w:tcBorders>
              <w:top w:val="nil"/>
              <w:left w:val="nil"/>
              <w:bottom w:val="single" w:color="000000" w:sz="4" w:space="0"/>
              <w:right w:val="single" w:color="000000" w:sz="4" w:space="0"/>
            </w:tcBorders>
            <w:shd w:val="clear" w:color="000000" w:fill="C0C0C0"/>
            <w:noWrap/>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108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300" w:hRule="atLeast"/>
        </w:trPr>
        <w:tc>
          <w:tcPr>
            <w:tcW w:w="3770" w:type="dxa"/>
            <w:gridSpan w:val="2"/>
            <w:tcBorders>
              <w:top w:val="nil"/>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人员经费合计</w:t>
            </w:r>
          </w:p>
        </w:tc>
        <w:tc>
          <w:tcPr>
            <w:tcW w:w="90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167.89</w:t>
            </w:r>
          </w:p>
        </w:tc>
        <w:tc>
          <w:tcPr>
            <w:tcW w:w="8143" w:type="dxa"/>
            <w:gridSpan w:val="5"/>
            <w:tcBorders>
              <w:top w:val="nil"/>
              <w:left w:val="nil"/>
              <w:bottom w:val="single" w:color="000000" w:sz="4" w:space="0"/>
              <w:right w:val="single" w:color="000000" w:sz="4" w:space="0"/>
            </w:tcBorders>
            <w:shd w:val="clear" w:color="000000" w:fill="C0C0C0"/>
            <w:noWrap/>
            <w:vAlign w:val="center"/>
          </w:tcPr>
          <w:p>
            <w:pPr>
              <w:widowControl/>
              <w:jc w:val="center"/>
              <w:rPr>
                <w:rFonts w:ascii="宋体" w:hAnsi="宋体" w:cs="Arial"/>
                <w:kern w:val="0"/>
                <w:sz w:val="20"/>
                <w:szCs w:val="20"/>
              </w:rPr>
            </w:pPr>
            <w:r>
              <w:rPr>
                <w:rFonts w:hint="eastAsia" w:ascii="宋体" w:hAnsi="宋体" w:cs="Arial"/>
                <w:kern w:val="0"/>
                <w:sz w:val="20"/>
                <w:szCs w:val="20"/>
              </w:rPr>
              <w:t>公用经费合计</w:t>
            </w:r>
          </w:p>
        </w:tc>
        <w:tc>
          <w:tcPr>
            <w:tcW w:w="108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122.34</w:t>
            </w:r>
          </w:p>
        </w:tc>
      </w:tr>
      <w:tr>
        <w:tblPrEx>
          <w:tblCellMar>
            <w:top w:w="0" w:type="dxa"/>
            <w:left w:w="108" w:type="dxa"/>
            <w:bottom w:w="0" w:type="dxa"/>
            <w:right w:w="108" w:type="dxa"/>
          </w:tblCellMar>
        </w:tblPrEx>
        <w:trPr>
          <w:trHeight w:val="300" w:hRule="atLeast"/>
        </w:trPr>
        <w:tc>
          <w:tcPr>
            <w:tcW w:w="13907" w:type="dxa"/>
            <w:gridSpan w:val="9"/>
            <w:tcBorders>
              <w:top w:val="nil"/>
              <w:left w:val="nil"/>
              <w:bottom w:val="nil"/>
              <w:right w:val="nil"/>
            </w:tcBorders>
            <w:shd w:val="clear" w:color="000000" w:fill="FFFFFF"/>
            <w:noWrap/>
            <w:vAlign w:val="center"/>
          </w:tcPr>
          <w:p>
            <w:pPr>
              <w:widowControl/>
              <w:jc w:val="left"/>
              <w:rPr>
                <w:rFonts w:ascii="宋体" w:hAnsi="宋体" w:cs="Arial"/>
                <w:kern w:val="0"/>
                <w:sz w:val="20"/>
                <w:szCs w:val="20"/>
              </w:rPr>
            </w:pPr>
            <w:r>
              <w:rPr>
                <w:rFonts w:hint="eastAsia" w:ascii="宋体" w:hAnsi="宋体" w:cs="Arial"/>
                <w:kern w:val="0"/>
                <w:sz w:val="20"/>
                <w:szCs w:val="20"/>
              </w:rPr>
              <w:t>注：本表反映部门本年度一般公共预算财政拨款基本支出明细情况。</w:t>
            </w:r>
          </w:p>
        </w:tc>
      </w:tr>
    </w:tbl>
    <w:p>
      <w:pPr>
        <w:pStyle w:val="13"/>
        <w:spacing w:before="76" w:beforeAutospacing="0" w:after="76" w:afterAutospacing="0" w:line="450" w:lineRule="atLeast"/>
        <w:jc w:val="both"/>
      </w:pPr>
    </w:p>
    <w:p>
      <w:pPr>
        <w:pStyle w:val="13"/>
        <w:spacing w:before="76" w:beforeAutospacing="0" w:after="76" w:afterAutospacing="0" w:line="450" w:lineRule="atLeast"/>
        <w:jc w:val="both"/>
      </w:pPr>
    </w:p>
    <w:p>
      <w:pPr>
        <w:pStyle w:val="13"/>
        <w:spacing w:before="76" w:beforeAutospacing="0" w:after="76" w:afterAutospacing="0" w:line="450" w:lineRule="atLeast"/>
        <w:jc w:val="both"/>
      </w:pPr>
    </w:p>
    <w:p>
      <w:pPr>
        <w:pStyle w:val="13"/>
        <w:spacing w:before="76" w:beforeAutospacing="0" w:after="76" w:afterAutospacing="0" w:line="450" w:lineRule="atLeast"/>
        <w:jc w:val="both"/>
      </w:pPr>
    </w:p>
    <w:tbl>
      <w:tblPr>
        <w:tblStyle w:val="7"/>
        <w:tblW w:w="13907" w:type="dxa"/>
        <w:tblInd w:w="93" w:type="dxa"/>
        <w:tblLayout w:type="fixed"/>
        <w:tblCellMar>
          <w:top w:w="0" w:type="dxa"/>
          <w:left w:w="108" w:type="dxa"/>
          <w:bottom w:w="0" w:type="dxa"/>
          <w:right w:w="108" w:type="dxa"/>
        </w:tblCellMar>
      </w:tblPr>
      <w:tblGrid>
        <w:gridCol w:w="840"/>
        <w:gridCol w:w="1160"/>
        <w:gridCol w:w="1080"/>
        <w:gridCol w:w="1200"/>
        <w:gridCol w:w="1060"/>
        <w:gridCol w:w="1040"/>
        <w:gridCol w:w="820"/>
        <w:gridCol w:w="1120"/>
        <w:gridCol w:w="1020"/>
        <w:gridCol w:w="1060"/>
        <w:gridCol w:w="105"/>
        <w:gridCol w:w="1276"/>
        <w:gridCol w:w="2126"/>
      </w:tblGrid>
      <w:tr>
        <w:tblPrEx>
          <w:tblCellMar>
            <w:top w:w="0" w:type="dxa"/>
            <w:left w:w="108" w:type="dxa"/>
            <w:bottom w:w="0" w:type="dxa"/>
            <w:right w:w="108" w:type="dxa"/>
          </w:tblCellMar>
        </w:tblPrEx>
        <w:trPr>
          <w:trHeight w:val="555" w:hRule="atLeast"/>
        </w:trPr>
        <w:tc>
          <w:tcPr>
            <w:tcW w:w="13907" w:type="dxa"/>
            <w:gridSpan w:val="13"/>
            <w:tcBorders>
              <w:top w:val="nil"/>
              <w:left w:val="nil"/>
              <w:bottom w:val="nil"/>
              <w:right w:val="nil"/>
            </w:tcBorders>
            <w:shd w:val="clear" w:color="000000" w:fill="FFFFFF"/>
            <w:noWrap/>
            <w:vAlign w:val="center"/>
          </w:tcPr>
          <w:p>
            <w:pPr>
              <w:widowControl/>
              <w:jc w:val="center"/>
              <w:rPr>
                <w:rFonts w:ascii="黑体" w:hAnsi="黑体" w:eastAsia="黑体" w:cs="Arial"/>
                <w:kern w:val="0"/>
                <w:sz w:val="44"/>
                <w:szCs w:val="44"/>
              </w:rPr>
            </w:pPr>
          </w:p>
          <w:p>
            <w:pPr>
              <w:shd w:val="solid" w:color="FFFFFF" w:fill="auto"/>
              <w:autoSpaceDN w:val="0"/>
              <w:jc w:val="center"/>
              <w:textAlignment w:val="center"/>
              <w:rPr>
                <w:rFonts w:ascii="黑体" w:hAnsi="黑体" w:eastAsia="黑体" w:cs="Arial"/>
                <w:kern w:val="0"/>
                <w:sz w:val="44"/>
                <w:szCs w:val="44"/>
              </w:rPr>
            </w:pPr>
            <w:r>
              <w:rPr>
                <w:rFonts w:hint="eastAsia" w:ascii="黑体" w:hAnsi="黑体" w:eastAsia="黑体"/>
                <w:color w:val="000000"/>
                <w:sz w:val="30"/>
                <w:shd w:val="clear" w:color="auto" w:fill="FFFFFF"/>
              </w:rPr>
              <w:t>一般公共预算财政拨款“三公”经费支出决算表</w:t>
            </w:r>
          </w:p>
        </w:tc>
      </w:tr>
      <w:tr>
        <w:tblPrEx>
          <w:tblCellMar>
            <w:top w:w="0" w:type="dxa"/>
            <w:left w:w="108" w:type="dxa"/>
            <w:bottom w:w="0" w:type="dxa"/>
            <w:right w:w="108" w:type="dxa"/>
          </w:tblCellMar>
        </w:tblPrEx>
        <w:trPr>
          <w:trHeight w:val="300" w:hRule="atLeast"/>
        </w:trPr>
        <w:tc>
          <w:tcPr>
            <w:tcW w:w="840" w:type="dxa"/>
            <w:tcBorders>
              <w:top w:val="nil"/>
              <w:left w:val="nil"/>
              <w:bottom w:val="nil"/>
              <w:right w:val="nil"/>
            </w:tcBorders>
            <w:shd w:val="clear" w:color="000000" w:fill="FFFFFF"/>
            <w:noWrap/>
            <w:vAlign w:val="center"/>
          </w:tcPr>
          <w:p>
            <w:pPr>
              <w:widowControl/>
              <w:jc w:val="left"/>
              <w:rPr>
                <w:rFonts w:ascii="宋体" w:hAnsi="宋体" w:cs="Arial"/>
                <w:kern w:val="0"/>
                <w:sz w:val="22"/>
                <w:szCs w:val="22"/>
              </w:rPr>
            </w:pPr>
            <w:r>
              <w:rPr>
                <w:rFonts w:hint="eastAsia" w:ascii="宋体" w:hAnsi="宋体" w:cs="Arial"/>
                <w:kern w:val="0"/>
                <w:sz w:val="22"/>
                <w:szCs w:val="22"/>
              </w:rPr>
              <w:t>　</w:t>
            </w:r>
          </w:p>
        </w:tc>
        <w:tc>
          <w:tcPr>
            <w:tcW w:w="1160"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1080"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1200"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1060"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1040"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820"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1120"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1020"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1060" w:type="dxa"/>
            <w:tcBorders>
              <w:top w:val="nil"/>
              <w:left w:val="nil"/>
              <w:bottom w:val="nil"/>
              <w:right w:val="nil"/>
            </w:tcBorders>
            <w:shd w:val="clear" w:color="000000" w:fill="FFFFFF"/>
            <w:noWrap/>
            <w:vAlign w:val="center"/>
          </w:tcPr>
          <w:p>
            <w:pPr>
              <w:widowControl/>
              <w:jc w:val="left"/>
              <w:rPr>
                <w:rFonts w:ascii="宋体" w:hAnsi="宋体" w:cs="Arial"/>
                <w:kern w:val="0"/>
                <w:sz w:val="18"/>
                <w:szCs w:val="18"/>
              </w:rPr>
            </w:pPr>
            <w:r>
              <w:rPr>
                <w:rFonts w:hint="eastAsia" w:ascii="宋体" w:hAnsi="宋体" w:cs="Arial"/>
                <w:kern w:val="0"/>
                <w:sz w:val="18"/>
                <w:szCs w:val="18"/>
              </w:rPr>
              <w:t>　</w:t>
            </w:r>
          </w:p>
        </w:tc>
        <w:tc>
          <w:tcPr>
            <w:tcW w:w="3507" w:type="dxa"/>
            <w:gridSpan w:val="3"/>
            <w:tcBorders>
              <w:top w:val="nil"/>
              <w:left w:val="nil"/>
              <w:bottom w:val="nil"/>
              <w:right w:val="nil"/>
            </w:tcBorders>
            <w:shd w:val="clear" w:color="000000" w:fill="FFFFFF"/>
            <w:noWrap/>
            <w:vAlign w:val="center"/>
          </w:tcPr>
          <w:p>
            <w:pPr>
              <w:widowControl/>
              <w:jc w:val="center"/>
              <w:rPr>
                <w:rFonts w:ascii="宋体" w:hAnsi="宋体" w:cs="Arial"/>
                <w:kern w:val="0"/>
                <w:sz w:val="22"/>
                <w:szCs w:val="22"/>
              </w:rPr>
            </w:pPr>
            <w:r>
              <w:rPr>
                <w:rFonts w:hint="eastAsia" w:ascii="宋体" w:hAnsi="宋体" w:cs="Arial"/>
                <w:kern w:val="0"/>
                <w:sz w:val="22"/>
                <w:szCs w:val="22"/>
              </w:rPr>
              <w:t xml:space="preserve">                 公开07表</w:t>
            </w:r>
          </w:p>
        </w:tc>
      </w:tr>
      <w:tr>
        <w:tblPrEx>
          <w:tblCellMar>
            <w:top w:w="0" w:type="dxa"/>
            <w:left w:w="108" w:type="dxa"/>
            <w:bottom w:w="0" w:type="dxa"/>
            <w:right w:w="108" w:type="dxa"/>
          </w:tblCellMar>
        </w:tblPrEx>
        <w:trPr>
          <w:trHeight w:val="300" w:hRule="atLeast"/>
        </w:trPr>
        <w:tc>
          <w:tcPr>
            <w:tcW w:w="3080" w:type="dxa"/>
            <w:gridSpan w:val="3"/>
            <w:tcBorders>
              <w:top w:val="nil"/>
              <w:left w:val="nil"/>
              <w:bottom w:val="single" w:color="000000" w:sz="4" w:space="0"/>
              <w:right w:val="nil"/>
            </w:tcBorders>
            <w:shd w:val="clear" w:color="000000" w:fill="FFFFFF"/>
            <w:noWrap/>
            <w:vAlign w:val="center"/>
          </w:tcPr>
          <w:p>
            <w:pPr>
              <w:widowControl/>
              <w:jc w:val="left"/>
              <w:rPr>
                <w:rFonts w:ascii="宋体" w:hAnsi="宋体" w:cs="Arial"/>
                <w:kern w:val="0"/>
                <w:sz w:val="22"/>
                <w:szCs w:val="22"/>
              </w:rPr>
            </w:pPr>
            <w:r>
              <w:rPr>
                <w:rFonts w:hint="eastAsia" w:ascii="宋体" w:hAnsi="宋体" w:cs="Arial"/>
                <w:kern w:val="0"/>
                <w:sz w:val="22"/>
                <w:szCs w:val="22"/>
              </w:rPr>
              <w:t>部门：黄石市黄石港区司法局</w:t>
            </w:r>
          </w:p>
        </w:tc>
        <w:tc>
          <w:tcPr>
            <w:tcW w:w="1200" w:type="dxa"/>
            <w:tcBorders>
              <w:top w:val="nil"/>
              <w:left w:val="nil"/>
              <w:bottom w:val="single" w:color="000000" w:sz="4" w:space="0"/>
              <w:right w:val="nil"/>
            </w:tcBorders>
            <w:shd w:val="clear" w:color="000000" w:fill="FFFFFF"/>
            <w:noWrap/>
            <w:vAlign w:val="center"/>
          </w:tcPr>
          <w:p>
            <w:pPr>
              <w:widowControl/>
              <w:jc w:val="center"/>
              <w:rPr>
                <w:rFonts w:ascii="宋体" w:hAnsi="宋体" w:cs="Arial"/>
                <w:kern w:val="0"/>
                <w:sz w:val="18"/>
                <w:szCs w:val="18"/>
              </w:rPr>
            </w:pPr>
            <w:r>
              <w:rPr>
                <w:rFonts w:hint="eastAsia" w:ascii="宋体" w:hAnsi="宋体" w:cs="Arial"/>
                <w:kern w:val="0"/>
                <w:sz w:val="18"/>
                <w:szCs w:val="18"/>
              </w:rPr>
              <w:t>　</w:t>
            </w:r>
          </w:p>
        </w:tc>
        <w:tc>
          <w:tcPr>
            <w:tcW w:w="2920" w:type="dxa"/>
            <w:gridSpan w:val="3"/>
            <w:tcBorders>
              <w:top w:val="nil"/>
              <w:left w:val="nil"/>
              <w:bottom w:val="single" w:color="000000" w:sz="4" w:space="0"/>
              <w:right w:val="nil"/>
            </w:tcBorders>
            <w:shd w:val="clear" w:color="000000" w:fill="FFFFFF"/>
            <w:noWrap/>
            <w:vAlign w:val="center"/>
          </w:tcPr>
          <w:p>
            <w:pPr>
              <w:widowControl/>
              <w:jc w:val="center"/>
              <w:rPr>
                <w:rFonts w:ascii="宋体" w:hAnsi="宋体" w:cs="Arial"/>
                <w:kern w:val="0"/>
                <w:sz w:val="22"/>
                <w:szCs w:val="22"/>
              </w:rPr>
            </w:pPr>
            <w:r>
              <w:rPr>
                <w:rFonts w:hint="eastAsia" w:ascii="宋体" w:hAnsi="宋体" w:cs="Arial"/>
                <w:kern w:val="0"/>
                <w:sz w:val="22"/>
                <w:szCs w:val="22"/>
              </w:rPr>
              <w:t xml:space="preserve">             2020年度</w:t>
            </w:r>
          </w:p>
        </w:tc>
        <w:tc>
          <w:tcPr>
            <w:tcW w:w="1120" w:type="dxa"/>
            <w:tcBorders>
              <w:top w:val="nil"/>
              <w:left w:val="nil"/>
              <w:bottom w:val="single" w:color="000000" w:sz="4" w:space="0"/>
              <w:right w:val="nil"/>
            </w:tcBorders>
            <w:shd w:val="clear" w:color="000000" w:fill="FFFFFF"/>
            <w:noWrap/>
            <w:vAlign w:val="center"/>
          </w:tcPr>
          <w:p>
            <w:pPr>
              <w:widowControl/>
              <w:jc w:val="center"/>
              <w:rPr>
                <w:rFonts w:ascii="宋体" w:hAnsi="宋体" w:cs="Arial"/>
                <w:kern w:val="0"/>
                <w:sz w:val="18"/>
                <w:szCs w:val="18"/>
              </w:rPr>
            </w:pPr>
            <w:r>
              <w:rPr>
                <w:rFonts w:hint="eastAsia" w:ascii="宋体" w:hAnsi="宋体" w:cs="Arial"/>
                <w:kern w:val="0"/>
                <w:sz w:val="18"/>
                <w:szCs w:val="18"/>
              </w:rPr>
              <w:t>　</w:t>
            </w:r>
          </w:p>
        </w:tc>
        <w:tc>
          <w:tcPr>
            <w:tcW w:w="1020" w:type="dxa"/>
            <w:tcBorders>
              <w:top w:val="nil"/>
              <w:left w:val="nil"/>
              <w:bottom w:val="single" w:color="000000" w:sz="4" w:space="0"/>
              <w:right w:val="nil"/>
            </w:tcBorders>
            <w:shd w:val="clear" w:color="000000" w:fill="FFFFFF"/>
            <w:noWrap/>
            <w:vAlign w:val="center"/>
          </w:tcPr>
          <w:p>
            <w:pPr>
              <w:widowControl/>
              <w:jc w:val="center"/>
              <w:rPr>
                <w:rFonts w:ascii="宋体" w:hAnsi="宋体" w:cs="Arial"/>
                <w:kern w:val="0"/>
                <w:sz w:val="18"/>
                <w:szCs w:val="18"/>
              </w:rPr>
            </w:pPr>
            <w:r>
              <w:rPr>
                <w:rFonts w:hint="eastAsia" w:ascii="宋体" w:hAnsi="宋体" w:cs="Arial"/>
                <w:kern w:val="0"/>
                <w:sz w:val="18"/>
                <w:szCs w:val="18"/>
              </w:rPr>
              <w:t>　</w:t>
            </w:r>
          </w:p>
        </w:tc>
        <w:tc>
          <w:tcPr>
            <w:tcW w:w="1060" w:type="dxa"/>
            <w:tcBorders>
              <w:top w:val="nil"/>
              <w:left w:val="nil"/>
              <w:bottom w:val="single" w:color="000000" w:sz="4" w:space="0"/>
              <w:right w:val="nil"/>
            </w:tcBorders>
            <w:shd w:val="clear" w:color="000000" w:fill="FFFFFF"/>
            <w:noWrap/>
            <w:vAlign w:val="center"/>
          </w:tcPr>
          <w:p>
            <w:pPr>
              <w:widowControl/>
              <w:jc w:val="center"/>
              <w:rPr>
                <w:rFonts w:ascii="宋体" w:hAnsi="宋体" w:cs="Arial"/>
                <w:kern w:val="0"/>
                <w:sz w:val="18"/>
                <w:szCs w:val="18"/>
              </w:rPr>
            </w:pPr>
            <w:r>
              <w:rPr>
                <w:rFonts w:hint="eastAsia" w:ascii="宋体" w:hAnsi="宋体" w:cs="Arial"/>
                <w:kern w:val="0"/>
                <w:sz w:val="18"/>
                <w:szCs w:val="18"/>
              </w:rPr>
              <w:t>　</w:t>
            </w:r>
          </w:p>
        </w:tc>
        <w:tc>
          <w:tcPr>
            <w:tcW w:w="3507" w:type="dxa"/>
            <w:gridSpan w:val="3"/>
            <w:tcBorders>
              <w:top w:val="nil"/>
              <w:left w:val="nil"/>
              <w:bottom w:val="single" w:color="000000" w:sz="4" w:space="0"/>
              <w:right w:val="nil"/>
            </w:tcBorders>
            <w:shd w:val="clear" w:color="000000" w:fill="FFFFFF"/>
            <w:noWrap/>
            <w:vAlign w:val="center"/>
          </w:tcPr>
          <w:p>
            <w:pPr>
              <w:widowControl/>
              <w:jc w:val="center"/>
              <w:rPr>
                <w:rFonts w:ascii="宋体" w:hAnsi="宋体" w:cs="Arial"/>
                <w:kern w:val="0"/>
                <w:sz w:val="22"/>
                <w:szCs w:val="22"/>
              </w:rPr>
            </w:pPr>
            <w:r>
              <w:rPr>
                <w:rFonts w:hint="eastAsia" w:ascii="宋体" w:hAnsi="宋体" w:cs="Arial"/>
                <w:kern w:val="0"/>
                <w:sz w:val="22"/>
                <w:szCs w:val="22"/>
              </w:rPr>
              <w:t xml:space="preserve">             金额单位：万元</w:t>
            </w:r>
          </w:p>
        </w:tc>
      </w:tr>
      <w:tr>
        <w:tblPrEx>
          <w:tblCellMar>
            <w:top w:w="0" w:type="dxa"/>
            <w:left w:w="108" w:type="dxa"/>
            <w:bottom w:w="0" w:type="dxa"/>
            <w:right w:w="108" w:type="dxa"/>
          </w:tblCellMar>
        </w:tblPrEx>
        <w:trPr>
          <w:trHeight w:val="300" w:hRule="atLeast"/>
        </w:trPr>
        <w:tc>
          <w:tcPr>
            <w:tcW w:w="6380" w:type="dxa"/>
            <w:gridSpan w:val="6"/>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预算数</w:t>
            </w:r>
          </w:p>
        </w:tc>
        <w:tc>
          <w:tcPr>
            <w:tcW w:w="7527" w:type="dxa"/>
            <w:gridSpan w:val="7"/>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决算数</w:t>
            </w:r>
          </w:p>
        </w:tc>
      </w:tr>
      <w:tr>
        <w:tblPrEx>
          <w:tblCellMar>
            <w:top w:w="0" w:type="dxa"/>
            <w:left w:w="108" w:type="dxa"/>
            <w:bottom w:w="0" w:type="dxa"/>
            <w:right w:w="108" w:type="dxa"/>
          </w:tblCellMar>
        </w:tblPrEx>
        <w:trPr>
          <w:trHeight w:val="300" w:hRule="atLeast"/>
        </w:trPr>
        <w:tc>
          <w:tcPr>
            <w:tcW w:w="840" w:type="dxa"/>
            <w:vMerge w:val="restart"/>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合计</w:t>
            </w:r>
          </w:p>
        </w:tc>
        <w:tc>
          <w:tcPr>
            <w:tcW w:w="1160"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因公出国（境）费</w:t>
            </w:r>
          </w:p>
        </w:tc>
        <w:tc>
          <w:tcPr>
            <w:tcW w:w="3340" w:type="dxa"/>
            <w:gridSpan w:val="3"/>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公务用车购置及运行费</w:t>
            </w:r>
          </w:p>
        </w:tc>
        <w:tc>
          <w:tcPr>
            <w:tcW w:w="1040"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公务接待费</w:t>
            </w:r>
          </w:p>
        </w:tc>
        <w:tc>
          <w:tcPr>
            <w:tcW w:w="820"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合计</w:t>
            </w:r>
          </w:p>
        </w:tc>
        <w:tc>
          <w:tcPr>
            <w:tcW w:w="1120"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因公出国（境）费</w:t>
            </w:r>
          </w:p>
        </w:tc>
        <w:tc>
          <w:tcPr>
            <w:tcW w:w="3461" w:type="dxa"/>
            <w:gridSpan w:val="4"/>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公务用车购置及运行费</w:t>
            </w:r>
          </w:p>
        </w:tc>
        <w:tc>
          <w:tcPr>
            <w:tcW w:w="2126" w:type="dxa"/>
            <w:vMerge w:val="restart"/>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公务接待费</w:t>
            </w:r>
          </w:p>
        </w:tc>
      </w:tr>
      <w:tr>
        <w:tblPrEx>
          <w:tblCellMar>
            <w:top w:w="0" w:type="dxa"/>
            <w:left w:w="108" w:type="dxa"/>
            <w:bottom w:w="0" w:type="dxa"/>
            <w:right w:w="108" w:type="dxa"/>
          </w:tblCellMar>
        </w:tblPrEx>
        <w:trPr>
          <w:trHeight w:val="600" w:hRule="atLeast"/>
        </w:trPr>
        <w:tc>
          <w:tcPr>
            <w:tcW w:w="84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sz w:val="20"/>
                <w:szCs w:val="20"/>
              </w:rPr>
            </w:pPr>
          </w:p>
        </w:tc>
        <w:tc>
          <w:tcPr>
            <w:tcW w:w="11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1080"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小计</w:t>
            </w:r>
          </w:p>
        </w:tc>
        <w:tc>
          <w:tcPr>
            <w:tcW w:w="1200"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公务用车购置费</w:t>
            </w:r>
          </w:p>
        </w:tc>
        <w:tc>
          <w:tcPr>
            <w:tcW w:w="1060"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公务用车运行费</w:t>
            </w:r>
          </w:p>
        </w:tc>
        <w:tc>
          <w:tcPr>
            <w:tcW w:w="10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820"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1120"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c>
          <w:tcPr>
            <w:tcW w:w="1020"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小计</w:t>
            </w:r>
          </w:p>
        </w:tc>
        <w:tc>
          <w:tcPr>
            <w:tcW w:w="1165" w:type="dxa"/>
            <w:gridSpan w:val="2"/>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公务用车购置费</w:t>
            </w:r>
          </w:p>
        </w:tc>
        <w:tc>
          <w:tcPr>
            <w:tcW w:w="1276"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公务用车运行费</w:t>
            </w:r>
          </w:p>
        </w:tc>
        <w:tc>
          <w:tcPr>
            <w:tcW w:w="2126" w:type="dxa"/>
            <w:vMerge w:val="continue"/>
            <w:tcBorders>
              <w:top w:val="nil"/>
              <w:left w:val="nil"/>
              <w:bottom w:val="single" w:color="000000" w:sz="4" w:space="0"/>
              <w:right w:val="single" w:color="000000" w:sz="4" w:space="0"/>
            </w:tcBorders>
            <w:vAlign w:val="center"/>
          </w:tcPr>
          <w:p>
            <w:pPr>
              <w:widowControl/>
              <w:jc w:val="left"/>
              <w:rPr>
                <w:rFonts w:ascii="宋体" w:hAnsi="宋体" w:cs="Arial"/>
                <w:kern w:val="0"/>
                <w:sz w:val="20"/>
                <w:szCs w:val="20"/>
              </w:rPr>
            </w:pPr>
          </w:p>
        </w:tc>
      </w:tr>
      <w:tr>
        <w:tblPrEx>
          <w:tblCellMar>
            <w:top w:w="0" w:type="dxa"/>
            <w:left w:w="108" w:type="dxa"/>
            <w:bottom w:w="0" w:type="dxa"/>
            <w:right w:w="108" w:type="dxa"/>
          </w:tblCellMar>
        </w:tblPrEx>
        <w:trPr>
          <w:trHeight w:val="300" w:hRule="atLeast"/>
        </w:trPr>
        <w:tc>
          <w:tcPr>
            <w:tcW w:w="840" w:type="dxa"/>
            <w:tcBorders>
              <w:top w:val="nil"/>
              <w:left w:val="single" w:color="000000" w:sz="4" w:space="0"/>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1</w:t>
            </w:r>
          </w:p>
        </w:tc>
        <w:tc>
          <w:tcPr>
            <w:tcW w:w="1160"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2</w:t>
            </w:r>
          </w:p>
        </w:tc>
        <w:tc>
          <w:tcPr>
            <w:tcW w:w="1080"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3</w:t>
            </w:r>
          </w:p>
        </w:tc>
        <w:tc>
          <w:tcPr>
            <w:tcW w:w="1200"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4</w:t>
            </w:r>
          </w:p>
        </w:tc>
        <w:tc>
          <w:tcPr>
            <w:tcW w:w="1060"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5</w:t>
            </w:r>
          </w:p>
        </w:tc>
        <w:tc>
          <w:tcPr>
            <w:tcW w:w="1040"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6</w:t>
            </w:r>
          </w:p>
        </w:tc>
        <w:tc>
          <w:tcPr>
            <w:tcW w:w="820"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7</w:t>
            </w:r>
          </w:p>
        </w:tc>
        <w:tc>
          <w:tcPr>
            <w:tcW w:w="1120"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8</w:t>
            </w:r>
          </w:p>
        </w:tc>
        <w:tc>
          <w:tcPr>
            <w:tcW w:w="1020"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9</w:t>
            </w:r>
          </w:p>
        </w:tc>
        <w:tc>
          <w:tcPr>
            <w:tcW w:w="1165" w:type="dxa"/>
            <w:gridSpan w:val="2"/>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10</w:t>
            </w:r>
          </w:p>
        </w:tc>
        <w:tc>
          <w:tcPr>
            <w:tcW w:w="1276"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11</w:t>
            </w:r>
          </w:p>
        </w:tc>
        <w:tc>
          <w:tcPr>
            <w:tcW w:w="2126" w:type="dxa"/>
            <w:tcBorders>
              <w:top w:val="nil"/>
              <w:left w:val="nil"/>
              <w:bottom w:val="single" w:color="000000" w:sz="4" w:space="0"/>
              <w:right w:val="single" w:color="000000" w:sz="4" w:space="0"/>
            </w:tcBorders>
            <w:shd w:val="clear" w:color="000000" w:fill="C0C0C0"/>
            <w:vAlign w:val="center"/>
          </w:tcPr>
          <w:p>
            <w:pPr>
              <w:widowControl/>
              <w:jc w:val="center"/>
              <w:rPr>
                <w:rFonts w:ascii="宋体" w:hAnsi="宋体" w:cs="Arial"/>
                <w:kern w:val="0"/>
                <w:sz w:val="20"/>
                <w:szCs w:val="20"/>
              </w:rPr>
            </w:pPr>
            <w:r>
              <w:rPr>
                <w:rFonts w:hint="eastAsia" w:ascii="宋体" w:hAnsi="宋体" w:cs="Arial"/>
                <w:kern w:val="0"/>
                <w:sz w:val="20"/>
                <w:szCs w:val="20"/>
              </w:rPr>
              <w:t>12</w:t>
            </w:r>
          </w:p>
        </w:tc>
      </w:tr>
      <w:tr>
        <w:tblPrEx>
          <w:tblCellMar>
            <w:top w:w="0" w:type="dxa"/>
            <w:left w:w="108" w:type="dxa"/>
            <w:bottom w:w="0" w:type="dxa"/>
            <w:right w:w="108" w:type="dxa"/>
          </w:tblCellMar>
        </w:tblPrEx>
        <w:trPr>
          <w:trHeight w:val="300" w:hRule="atLeast"/>
        </w:trPr>
        <w:tc>
          <w:tcPr>
            <w:tcW w:w="840"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11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10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12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10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　</w:t>
            </w:r>
          </w:p>
        </w:tc>
        <w:tc>
          <w:tcPr>
            <w:tcW w:w="8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0.06</w:t>
            </w:r>
          </w:p>
        </w:tc>
        <w:tc>
          <w:tcPr>
            <w:tcW w:w="11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0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165"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12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0.00</w:t>
            </w:r>
          </w:p>
        </w:tc>
        <w:tc>
          <w:tcPr>
            <w:tcW w:w="21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kern w:val="0"/>
                <w:sz w:val="20"/>
                <w:szCs w:val="20"/>
              </w:rPr>
            </w:pPr>
            <w:r>
              <w:rPr>
                <w:rFonts w:hint="eastAsia" w:ascii="宋体" w:hAnsi="宋体" w:cs="Arial"/>
                <w:kern w:val="0"/>
                <w:sz w:val="20"/>
                <w:szCs w:val="20"/>
              </w:rPr>
              <w:t>0.06</w:t>
            </w:r>
          </w:p>
        </w:tc>
      </w:tr>
      <w:tr>
        <w:tblPrEx>
          <w:tblCellMar>
            <w:top w:w="0" w:type="dxa"/>
            <w:left w:w="108" w:type="dxa"/>
            <w:bottom w:w="0" w:type="dxa"/>
            <w:right w:w="108" w:type="dxa"/>
          </w:tblCellMar>
        </w:tblPrEx>
        <w:trPr>
          <w:trHeight w:val="930" w:hRule="atLeast"/>
        </w:trPr>
        <w:tc>
          <w:tcPr>
            <w:tcW w:w="13907" w:type="dxa"/>
            <w:gridSpan w:val="13"/>
            <w:tcBorders>
              <w:top w:val="nil"/>
              <w:left w:val="nil"/>
              <w:bottom w:val="nil"/>
              <w:right w:val="nil"/>
            </w:tcBorders>
            <w:shd w:val="clear" w:color="000000" w:fill="FFFFFF"/>
            <w:vAlign w:val="center"/>
          </w:tcPr>
          <w:p>
            <w:pPr>
              <w:widowControl/>
              <w:jc w:val="left"/>
              <w:rPr>
                <w:rFonts w:ascii="宋体" w:hAnsi="宋体" w:cs="Arial"/>
                <w:kern w:val="0"/>
                <w:sz w:val="20"/>
                <w:szCs w:val="20"/>
              </w:rPr>
            </w:pPr>
            <w:r>
              <w:rPr>
                <w:rFonts w:hint="eastAsia" w:ascii="宋体" w:hAnsi="宋体" w:cs="Arial"/>
                <w:kern w:val="0"/>
                <w:sz w:val="20"/>
                <w:szCs w:val="20"/>
              </w:rPr>
              <w:t>注：本表反映部门本年度财政拨款“三公”经费支出预决算情况。其中，预算数为“三公”经费年初预算数，包括一般公共预算财政拨款预算数和政府性基金财政拨款及国有资本经营预算财政拨款预算数，此数据由单位自己填报。决算数包括当年一般公共预算财政拨款、政府性基金预算财政拨款、国有资本经营预算财政拨款和以前年度结转资金安排的实际支出。</w:t>
            </w:r>
          </w:p>
        </w:tc>
      </w:tr>
    </w:tbl>
    <w:p>
      <w:pPr>
        <w:pStyle w:val="13"/>
        <w:spacing w:before="76" w:beforeAutospacing="0" w:after="76" w:afterAutospacing="0" w:line="450" w:lineRule="atLeast"/>
        <w:jc w:val="both"/>
      </w:pPr>
    </w:p>
    <w:p>
      <w:pPr>
        <w:pStyle w:val="13"/>
        <w:spacing w:before="76" w:beforeAutospacing="0" w:after="76" w:afterAutospacing="0" w:line="450" w:lineRule="atLeast"/>
        <w:jc w:val="both"/>
      </w:pPr>
    </w:p>
    <w:p>
      <w:pPr>
        <w:pStyle w:val="13"/>
        <w:spacing w:before="76" w:beforeAutospacing="0" w:after="76" w:afterAutospacing="0" w:line="450" w:lineRule="atLeast"/>
        <w:jc w:val="both"/>
      </w:pPr>
    </w:p>
    <w:p>
      <w:pPr>
        <w:pStyle w:val="13"/>
        <w:spacing w:before="76" w:beforeAutospacing="0" w:after="76" w:afterAutospacing="0" w:line="450" w:lineRule="atLeast"/>
        <w:jc w:val="both"/>
      </w:pPr>
    </w:p>
    <w:tbl>
      <w:tblPr>
        <w:tblStyle w:val="7"/>
        <w:tblpPr w:leftFromText="180" w:rightFromText="180" w:vertAnchor="text" w:horzAnchor="page" w:tblpX="1535" w:tblpY="-4091"/>
        <w:tblOverlap w:val="never"/>
        <w:tblW w:w="13820" w:type="dxa"/>
        <w:tblInd w:w="0" w:type="dxa"/>
        <w:shd w:val="clear" w:color="auto" w:fill="auto"/>
        <w:tblLayout w:type="fixed"/>
        <w:tblCellMar>
          <w:top w:w="0" w:type="dxa"/>
          <w:left w:w="0" w:type="dxa"/>
          <w:bottom w:w="0" w:type="dxa"/>
          <w:right w:w="0" w:type="dxa"/>
        </w:tblCellMar>
      </w:tblPr>
      <w:tblGrid>
        <w:gridCol w:w="4240"/>
        <w:gridCol w:w="1329"/>
        <w:gridCol w:w="843"/>
        <w:gridCol w:w="843"/>
        <w:gridCol w:w="843"/>
        <w:gridCol w:w="843"/>
        <w:gridCol w:w="843"/>
        <w:gridCol w:w="4036"/>
      </w:tblGrid>
      <w:tr>
        <w:tblPrEx>
          <w:shd w:val="clear" w:color="auto" w:fill="auto"/>
          <w:tblCellMar>
            <w:top w:w="0" w:type="dxa"/>
            <w:left w:w="0" w:type="dxa"/>
            <w:bottom w:w="0" w:type="dxa"/>
            <w:right w:w="0" w:type="dxa"/>
          </w:tblCellMar>
        </w:tblPrEx>
        <w:trPr>
          <w:trHeight w:val="215" w:hRule="atLeast"/>
        </w:trPr>
        <w:tc>
          <w:tcPr>
            <w:tcW w:w="1382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黑体" w:hAnsi="黑体" w:eastAsia="黑体"/>
                <w:color w:val="000000"/>
                <w:sz w:val="30"/>
                <w:shd w:val="clear" w:color="auto" w:fill="FFFFFF"/>
                <w:lang w:val="en-US" w:eastAsia="zh-CN"/>
              </w:rPr>
              <w:t>政府性基金预算财政拨款收入支出决算表</w:t>
            </w:r>
          </w:p>
        </w:tc>
      </w:tr>
      <w:tr>
        <w:tblPrEx>
          <w:tblCellMar>
            <w:top w:w="0" w:type="dxa"/>
            <w:left w:w="0" w:type="dxa"/>
            <w:bottom w:w="0" w:type="dxa"/>
            <w:right w:w="0" w:type="dxa"/>
          </w:tblCellMar>
        </w:tblPrEx>
        <w:trPr>
          <w:trHeight w:val="110" w:hRule="atLeast"/>
        </w:trPr>
        <w:tc>
          <w:tcPr>
            <w:tcW w:w="1382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110" w:hRule="atLeast"/>
        </w:trPr>
        <w:tc>
          <w:tcPr>
            <w:tcW w:w="5569"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eastAsia="宋体" w:cs="宋体"/>
                <w:i w:val="0"/>
                <w:color w:val="000000"/>
                <w:kern w:val="0"/>
                <w:sz w:val="22"/>
                <w:szCs w:val="22"/>
                <w:u w:val="none"/>
                <w:lang w:val="en-US" w:eastAsia="zh-CN" w:bidi="ar"/>
              </w:rPr>
              <w:t>黄石市黄石港区</w:t>
            </w:r>
            <w:r>
              <w:rPr>
                <w:rFonts w:hint="eastAsia" w:ascii="宋体" w:hAnsi="宋体" w:cs="宋体"/>
                <w:i w:val="0"/>
                <w:color w:val="000000"/>
                <w:kern w:val="0"/>
                <w:sz w:val="22"/>
                <w:szCs w:val="22"/>
                <w:u w:val="none"/>
                <w:lang w:val="en-US" w:eastAsia="zh-CN" w:bidi="ar"/>
              </w:rPr>
              <w:t>司法局</w:t>
            </w: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036"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114" w:hRule="atLeast"/>
        </w:trPr>
        <w:tc>
          <w:tcPr>
            <w:tcW w:w="5569"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84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84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2529"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403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12" w:hRule="atLeast"/>
        </w:trPr>
        <w:tc>
          <w:tcPr>
            <w:tcW w:w="4240"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329"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2" w:hRule="atLeast"/>
        </w:trPr>
        <w:tc>
          <w:tcPr>
            <w:tcW w:w="424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9"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2" w:hRule="atLeast"/>
        </w:trPr>
        <w:tc>
          <w:tcPr>
            <w:tcW w:w="424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9"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14" w:hRule="atLeast"/>
        </w:trPr>
        <w:tc>
          <w:tcPr>
            <w:tcW w:w="5569"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03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114" w:hRule="atLeast"/>
        </w:trPr>
        <w:tc>
          <w:tcPr>
            <w:tcW w:w="5569"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4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r>
      <w:tr>
        <w:tblPrEx>
          <w:tblCellMar>
            <w:top w:w="0" w:type="dxa"/>
            <w:left w:w="0" w:type="dxa"/>
            <w:bottom w:w="0" w:type="dxa"/>
            <w:right w:w="0" w:type="dxa"/>
          </w:tblCellMar>
        </w:tblPrEx>
        <w:trPr>
          <w:trHeight w:val="114" w:hRule="atLeast"/>
        </w:trPr>
        <w:tc>
          <w:tcPr>
            <w:tcW w:w="42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14" w:hRule="atLeast"/>
        </w:trPr>
        <w:tc>
          <w:tcPr>
            <w:tcW w:w="1382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pStyle w:val="13"/>
        <w:spacing w:before="76" w:beforeAutospacing="0" w:after="76" w:afterAutospacing="0" w:line="450" w:lineRule="atLeast"/>
        <w:jc w:val="both"/>
        <w:sectPr>
          <w:pgSz w:w="16838" w:h="11906" w:orient="landscape"/>
          <w:pgMar w:top="1800" w:right="1440" w:bottom="1800" w:left="1440" w:header="851" w:footer="992" w:gutter="0"/>
          <w:cols w:space="720" w:num="1"/>
          <w:docGrid w:type="lines" w:linePitch="312" w:charSpace="0"/>
        </w:sectPr>
      </w:pPr>
    </w:p>
    <w:p>
      <w:pPr>
        <w:pStyle w:val="13"/>
        <w:spacing w:before="76" w:beforeAutospacing="0" w:after="76" w:afterAutospacing="0" w:line="450" w:lineRule="atLeast"/>
        <w:ind w:firstLine="240" w:firstLineChars="100"/>
        <w:rPr>
          <w:color w:val="333333"/>
        </w:rPr>
      </w:pPr>
      <w:r>
        <w:rPr>
          <w:rStyle w:val="9"/>
          <w:rFonts w:hint="eastAsia" w:ascii="微软雅黑" w:hAnsi="微软雅黑" w:eastAsia="微软雅黑" w:cs="微软雅黑"/>
          <w:color w:val="333333"/>
          <w:shd w:val="clear" w:color="080000" w:fill="FFFFFF"/>
        </w:rPr>
        <w:t>第三部分：部门2020年部门决算情况说明</w:t>
      </w:r>
    </w:p>
    <w:p>
      <w:pPr>
        <w:widowControl/>
        <w:shd w:val="clear" w:color="auto" w:fill="FFFFFF"/>
        <w:ind w:firstLine="360" w:firstLineChars="150"/>
        <w:jc w:val="left"/>
        <w:rPr>
          <w:rStyle w:val="9"/>
          <w:rFonts w:ascii="微软雅黑" w:hAnsi="微软雅黑" w:eastAsia="微软雅黑" w:cs="微软雅黑"/>
          <w:color w:val="333333"/>
          <w:kern w:val="0"/>
          <w:sz w:val="24"/>
          <w:shd w:val="clear" w:color="080000" w:fill="FFFFFF"/>
        </w:rPr>
      </w:pPr>
      <w:r>
        <w:rPr>
          <w:rStyle w:val="9"/>
          <w:rFonts w:hint="eastAsia" w:ascii="微软雅黑" w:hAnsi="微软雅黑" w:eastAsia="微软雅黑" w:cs="微软雅黑"/>
          <w:color w:val="333333"/>
          <w:kern w:val="0"/>
          <w:sz w:val="24"/>
          <w:shd w:val="clear" w:color="080000" w:fill="FFFFFF"/>
        </w:rPr>
        <w:t>（一）预算执行情况分析</w:t>
      </w:r>
    </w:p>
    <w:p>
      <w:pPr>
        <w:widowControl/>
        <w:ind w:firstLine="480" w:firstLineChars="200"/>
        <w:rPr>
          <w:rStyle w:val="9"/>
          <w:rFonts w:ascii="微软雅黑" w:hAnsi="微软雅黑" w:eastAsia="微软雅黑" w:cs="微软雅黑"/>
          <w:b w:val="0"/>
          <w:color w:val="333333"/>
          <w:kern w:val="0"/>
          <w:sz w:val="24"/>
          <w:shd w:val="clear" w:color="080000" w:fill="FFFFFF"/>
        </w:rPr>
      </w:pPr>
      <w:r>
        <w:rPr>
          <w:rStyle w:val="9"/>
          <w:rFonts w:hint="eastAsia" w:ascii="微软雅黑" w:hAnsi="微软雅黑" w:eastAsia="微软雅黑" w:cs="微软雅黑"/>
          <w:b w:val="0"/>
          <w:color w:val="333333"/>
          <w:kern w:val="0"/>
          <w:sz w:val="24"/>
          <w:shd w:val="clear" w:color="080000" w:fill="FFFFFF"/>
        </w:rPr>
        <w:t>2020年财政收入预算执行数2902300元，其中人员经费1678900元，公用经费1223400元, 2019年财政收入预算执行数2826758.6元，其中人员经费1848889.02元，公用经费977869.58元；</w:t>
      </w:r>
    </w:p>
    <w:p>
      <w:pPr>
        <w:widowControl/>
        <w:ind w:firstLine="480" w:firstLineChars="200"/>
        <w:rPr>
          <w:rStyle w:val="9"/>
          <w:rFonts w:ascii="微软雅黑" w:hAnsi="微软雅黑" w:eastAsia="微软雅黑" w:cs="微软雅黑"/>
          <w:b w:val="0"/>
          <w:color w:val="333333"/>
          <w:kern w:val="0"/>
          <w:sz w:val="24"/>
          <w:shd w:val="clear" w:color="080000" w:fill="FFFFFF"/>
        </w:rPr>
      </w:pPr>
      <w:r>
        <w:rPr>
          <w:rStyle w:val="9"/>
          <w:rFonts w:hint="eastAsia" w:ascii="微软雅黑" w:hAnsi="微软雅黑" w:eastAsia="微软雅黑" w:cs="微软雅黑"/>
          <w:b w:val="0"/>
          <w:color w:val="333333"/>
          <w:kern w:val="0"/>
          <w:sz w:val="24"/>
          <w:shd w:val="clear" w:color="080000" w:fill="FFFFFF"/>
        </w:rPr>
        <w:t>2020年财政支出预算执行数2902300元，其中人员经费1678900元，公用经费1223400元, 2019年财政支出预算执行数2826758.6元，其中人员经费1848889.02元，公用经费977869.58元；</w:t>
      </w:r>
    </w:p>
    <w:p>
      <w:pPr>
        <w:widowControl/>
        <w:ind w:firstLine="360" w:firstLineChars="150"/>
        <w:rPr>
          <w:rStyle w:val="9"/>
          <w:rFonts w:ascii="微软雅黑" w:hAnsi="微软雅黑" w:eastAsia="微软雅黑" w:cs="微软雅黑"/>
          <w:b w:val="0"/>
          <w:color w:val="333333"/>
          <w:kern w:val="0"/>
          <w:sz w:val="24"/>
          <w:shd w:val="clear" w:color="080000" w:fill="FFFFFF"/>
        </w:rPr>
      </w:pPr>
      <w:r>
        <w:rPr>
          <w:rStyle w:val="9"/>
          <w:rFonts w:hint="eastAsia" w:ascii="微软雅黑" w:hAnsi="微软雅黑" w:eastAsia="微软雅黑" w:cs="微软雅黑"/>
          <w:b w:val="0"/>
          <w:color w:val="333333"/>
          <w:kern w:val="0"/>
          <w:sz w:val="24"/>
          <w:shd w:val="clear" w:color="080000" w:fill="FFFFFF"/>
        </w:rPr>
        <w:t>2020年收入预算执行数比上年增加75541.4元，2020年支出预算执行数比上年增加75541.4元。</w:t>
      </w:r>
    </w:p>
    <w:p>
      <w:pPr>
        <w:widowControl/>
        <w:rPr>
          <w:rStyle w:val="9"/>
          <w:rFonts w:ascii="微软雅黑" w:hAnsi="微软雅黑" w:eastAsia="微软雅黑" w:cs="微软雅黑"/>
          <w:b w:val="0"/>
          <w:color w:val="333333"/>
          <w:kern w:val="0"/>
          <w:sz w:val="24"/>
          <w:shd w:val="clear" w:color="080000" w:fill="FFFFFF"/>
        </w:rPr>
      </w:pPr>
      <w:r>
        <w:rPr>
          <w:rStyle w:val="9"/>
          <w:rFonts w:hint="eastAsia" w:ascii="微软雅黑" w:hAnsi="微软雅黑" w:eastAsia="微软雅黑" w:cs="微软雅黑"/>
          <w:b w:val="0"/>
          <w:color w:val="333333"/>
          <w:kern w:val="0"/>
          <w:sz w:val="24"/>
          <w:shd w:val="clear" w:color="080000" w:fill="FFFFFF"/>
        </w:rPr>
        <w:t>1、收入支出与预算对比分析</w:t>
      </w:r>
    </w:p>
    <w:p>
      <w:pPr>
        <w:widowControl/>
        <w:ind w:firstLine="360" w:firstLineChars="150"/>
        <w:rPr>
          <w:rStyle w:val="9"/>
          <w:rFonts w:ascii="微软雅黑" w:hAnsi="微软雅黑" w:eastAsia="微软雅黑" w:cs="微软雅黑"/>
          <w:b w:val="0"/>
          <w:color w:val="333333"/>
          <w:kern w:val="0"/>
          <w:sz w:val="24"/>
          <w:shd w:val="clear" w:color="080000" w:fill="FFFFFF"/>
        </w:rPr>
      </w:pPr>
      <w:r>
        <w:rPr>
          <w:rStyle w:val="9"/>
          <w:rFonts w:hint="eastAsia" w:ascii="微软雅黑" w:hAnsi="微软雅黑" w:eastAsia="微软雅黑" w:cs="微软雅黑"/>
          <w:b w:val="0"/>
          <w:color w:val="333333"/>
          <w:kern w:val="0"/>
          <w:sz w:val="24"/>
          <w:shd w:val="clear" w:color="080000" w:fill="FFFFFF"/>
        </w:rPr>
        <w:t>2020年全年总收入2946400元,其中财拨款决算收入2902300元,其它收入44100元, 2019年全年决算总支出3071439.15元,其中财拨款决算支出2826758.6元,其它资金支出244680.55元；</w:t>
      </w:r>
    </w:p>
    <w:p>
      <w:pPr>
        <w:widowControl/>
        <w:ind w:firstLine="360" w:firstLineChars="150"/>
        <w:rPr>
          <w:rStyle w:val="9"/>
          <w:rFonts w:hint="eastAsia" w:ascii="微软雅黑" w:hAnsi="微软雅黑" w:eastAsia="微软雅黑" w:cs="微软雅黑"/>
          <w:b w:val="0"/>
          <w:color w:val="333333"/>
          <w:kern w:val="0"/>
          <w:sz w:val="24"/>
          <w:shd w:val="clear" w:color="080000" w:fill="FFFFFF"/>
        </w:rPr>
      </w:pPr>
      <w:r>
        <w:rPr>
          <w:rStyle w:val="9"/>
          <w:rFonts w:hint="eastAsia" w:ascii="微软雅黑" w:hAnsi="微软雅黑" w:eastAsia="微软雅黑" w:cs="微软雅黑"/>
          <w:b w:val="0"/>
          <w:color w:val="333333"/>
          <w:kern w:val="0"/>
          <w:sz w:val="24"/>
          <w:shd w:val="clear" w:color="080000" w:fill="FFFFFF"/>
        </w:rPr>
        <w:t>2020年财政预算数2902300元，财拨款决算比预算少44100,幅度为1.52%,原因为缩减开支。</w:t>
      </w:r>
    </w:p>
    <w:p>
      <w:pPr>
        <w:widowControl/>
        <w:rPr>
          <w:rStyle w:val="9"/>
          <w:rFonts w:ascii="微软雅黑" w:hAnsi="微软雅黑" w:eastAsia="微软雅黑" w:cs="微软雅黑"/>
          <w:b w:val="0"/>
          <w:color w:val="333333"/>
          <w:kern w:val="0"/>
          <w:sz w:val="24"/>
          <w:shd w:val="clear" w:color="080000" w:fill="FFFFFF"/>
        </w:rPr>
      </w:pPr>
      <w:r>
        <w:rPr>
          <w:rStyle w:val="9"/>
          <w:rFonts w:hint="eastAsia" w:ascii="微软雅黑" w:hAnsi="微软雅黑" w:eastAsia="微软雅黑" w:cs="微软雅黑"/>
          <w:b w:val="0"/>
          <w:color w:val="333333"/>
          <w:kern w:val="0"/>
          <w:sz w:val="24"/>
          <w:shd w:val="clear" w:color="080000" w:fill="FFFFFF"/>
        </w:rPr>
        <w:t>2、收入支出结构分析</w:t>
      </w:r>
    </w:p>
    <w:p>
      <w:pPr>
        <w:widowControl/>
        <w:ind w:firstLine="360" w:firstLineChars="150"/>
        <w:rPr>
          <w:rStyle w:val="9"/>
          <w:rFonts w:ascii="微软雅黑" w:hAnsi="微软雅黑" w:eastAsia="微软雅黑" w:cs="微软雅黑"/>
          <w:b w:val="0"/>
          <w:color w:val="333333"/>
          <w:kern w:val="0"/>
          <w:sz w:val="24"/>
          <w:shd w:val="clear" w:color="080000" w:fill="FFFFFF"/>
        </w:rPr>
      </w:pPr>
      <w:r>
        <w:rPr>
          <w:rStyle w:val="9"/>
          <w:rFonts w:hint="eastAsia" w:ascii="微软雅黑" w:hAnsi="微软雅黑" w:eastAsia="微软雅黑" w:cs="微软雅黑"/>
          <w:b w:val="0"/>
          <w:color w:val="333333"/>
          <w:kern w:val="0"/>
          <w:sz w:val="24"/>
          <w:shd w:val="clear" w:color="080000" w:fill="FFFFFF"/>
        </w:rPr>
        <w:t>1、2020年全年总收入2946400元,其中财拨款决算收入2902300元,其它收入44100元。</w:t>
      </w:r>
    </w:p>
    <w:p>
      <w:pPr>
        <w:widowControl/>
        <w:ind w:firstLine="360" w:firstLineChars="150"/>
        <w:rPr>
          <w:rStyle w:val="9"/>
          <w:rFonts w:ascii="微软雅黑" w:hAnsi="微软雅黑" w:eastAsia="微软雅黑" w:cs="微软雅黑"/>
          <w:b w:val="0"/>
          <w:color w:val="333333"/>
          <w:kern w:val="0"/>
          <w:sz w:val="24"/>
          <w:shd w:val="clear" w:color="080000" w:fill="FFFFFF"/>
        </w:rPr>
      </w:pPr>
      <w:r>
        <w:rPr>
          <w:rStyle w:val="9"/>
          <w:rFonts w:hint="eastAsia" w:ascii="微软雅黑" w:hAnsi="微软雅黑" w:eastAsia="微软雅黑" w:cs="微软雅黑"/>
          <w:b w:val="0"/>
          <w:color w:val="333333"/>
          <w:kern w:val="0"/>
          <w:sz w:val="24"/>
          <w:shd w:val="clear" w:color="080000" w:fill="FFFFFF"/>
        </w:rPr>
        <w:t>2、2020年全年决算总支出2946400元,其中财拨款决算支出2902300元,其它资金支出44100元。</w:t>
      </w:r>
    </w:p>
    <w:p>
      <w:pPr>
        <w:widowControl/>
        <w:ind w:firstLine="360" w:firstLineChars="150"/>
        <w:rPr>
          <w:rStyle w:val="9"/>
          <w:rFonts w:ascii="微软雅黑" w:hAnsi="微软雅黑" w:eastAsia="微软雅黑" w:cs="微软雅黑"/>
          <w:b w:val="0"/>
          <w:color w:val="333333"/>
          <w:kern w:val="0"/>
          <w:sz w:val="24"/>
          <w:shd w:val="clear" w:color="080000" w:fill="FFFFFF"/>
        </w:rPr>
      </w:pPr>
      <w:r>
        <w:rPr>
          <w:rStyle w:val="9"/>
          <w:rFonts w:hint="eastAsia" w:ascii="微软雅黑" w:hAnsi="微软雅黑" w:eastAsia="微软雅黑" w:cs="微软雅黑"/>
          <w:b w:val="0"/>
          <w:color w:val="333333"/>
          <w:kern w:val="0"/>
          <w:sz w:val="24"/>
          <w:shd w:val="clear" w:color="080000" w:fill="FFFFFF"/>
        </w:rPr>
        <w:t>支出按以下分类说明：</w:t>
      </w:r>
    </w:p>
    <w:p>
      <w:pPr>
        <w:widowControl/>
        <w:ind w:firstLine="360" w:firstLineChars="150"/>
        <w:rPr>
          <w:rStyle w:val="9"/>
          <w:rFonts w:ascii="微软雅黑" w:hAnsi="微软雅黑" w:eastAsia="微软雅黑" w:cs="微软雅黑"/>
          <w:b w:val="0"/>
          <w:color w:val="333333"/>
          <w:kern w:val="0"/>
          <w:sz w:val="24"/>
          <w:shd w:val="clear" w:color="080000" w:fill="FFFFFF"/>
        </w:rPr>
      </w:pPr>
      <w:r>
        <w:rPr>
          <w:rStyle w:val="9"/>
          <w:rFonts w:hint="eastAsia" w:ascii="微软雅黑" w:hAnsi="微软雅黑" w:eastAsia="微软雅黑" w:cs="微软雅黑"/>
          <w:b w:val="0"/>
          <w:color w:val="333333"/>
          <w:kern w:val="0"/>
          <w:sz w:val="24"/>
          <w:shd w:val="clear" w:color="080000" w:fill="FFFFFF"/>
        </w:rPr>
        <w:t>（1）支出功能分类：全年决算总支出2946400元;其中公共安全支出2946400。</w:t>
      </w:r>
    </w:p>
    <w:p>
      <w:pPr>
        <w:widowControl/>
        <w:ind w:firstLine="360" w:firstLineChars="150"/>
        <w:rPr>
          <w:rStyle w:val="9"/>
          <w:rFonts w:ascii="微软雅黑" w:hAnsi="微软雅黑" w:eastAsia="微软雅黑" w:cs="微软雅黑"/>
          <w:b w:val="0"/>
          <w:color w:val="333333"/>
          <w:kern w:val="0"/>
          <w:sz w:val="24"/>
          <w:shd w:val="clear" w:color="080000" w:fill="FFFFFF"/>
        </w:rPr>
      </w:pPr>
      <w:r>
        <w:rPr>
          <w:rStyle w:val="9"/>
          <w:rFonts w:hint="eastAsia" w:ascii="微软雅黑" w:hAnsi="微软雅黑" w:eastAsia="微软雅黑" w:cs="微软雅黑"/>
          <w:b w:val="0"/>
          <w:color w:val="333333"/>
          <w:kern w:val="0"/>
          <w:sz w:val="24"/>
          <w:shd w:val="clear" w:color="080000" w:fill="FFFFFF"/>
        </w:rPr>
        <w:t>（2）支出性质分类：全年决算总支出2946400元，其中人员经费1678900元，公用经费1223400元;</w:t>
      </w:r>
    </w:p>
    <w:p>
      <w:pPr>
        <w:widowControl/>
        <w:ind w:firstLine="360" w:firstLineChars="150"/>
        <w:rPr>
          <w:rStyle w:val="9"/>
          <w:rFonts w:ascii="微软雅黑" w:hAnsi="微软雅黑" w:eastAsia="微软雅黑" w:cs="微软雅黑"/>
          <w:b w:val="0"/>
          <w:color w:val="333333"/>
          <w:kern w:val="0"/>
          <w:sz w:val="24"/>
          <w:shd w:val="clear" w:color="080000" w:fill="FFFFFF"/>
        </w:rPr>
      </w:pPr>
      <w:r>
        <w:rPr>
          <w:rStyle w:val="9"/>
          <w:rFonts w:hint="eastAsia" w:ascii="微软雅黑" w:hAnsi="微软雅黑" w:eastAsia="微软雅黑" w:cs="微软雅黑"/>
          <w:b w:val="0"/>
          <w:color w:val="333333"/>
          <w:kern w:val="0"/>
          <w:sz w:val="24"/>
          <w:shd w:val="clear" w:color="080000" w:fill="FFFFFF"/>
        </w:rPr>
        <w:t>（3）支出经济分类：全年决算总支出2946400元，其中工资福利支出1678900元，商品服务支出1206900元，对个人和家庭的补助支出0元，其它资本性支出16600元。</w:t>
      </w:r>
    </w:p>
    <w:p>
      <w:pPr>
        <w:widowControl/>
        <w:ind w:firstLine="360" w:firstLineChars="150"/>
        <w:rPr>
          <w:rStyle w:val="9"/>
          <w:rFonts w:ascii="微软雅黑" w:hAnsi="微软雅黑" w:eastAsia="微软雅黑" w:cs="微软雅黑"/>
          <w:b w:val="0"/>
          <w:color w:val="333333"/>
          <w:kern w:val="0"/>
          <w:sz w:val="24"/>
          <w:shd w:val="clear" w:color="080000" w:fill="FFFFFF"/>
        </w:rPr>
      </w:pPr>
      <w:r>
        <w:rPr>
          <w:rStyle w:val="9"/>
          <w:rFonts w:hint="eastAsia" w:ascii="微软雅黑" w:hAnsi="微软雅黑" w:eastAsia="微软雅黑" w:cs="微软雅黑"/>
          <w:b w:val="0"/>
          <w:color w:val="333333"/>
          <w:kern w:val="0"/>
          <w:sz w:val="24"/>
          <w:shd w:val="clear" w:color="080000" w:fill="FFFFFF"/>
        </w:rPr>
        <w:t>3、支出按经济分类科目分析</w:t>
      </w:r>
    </w:p>
    <w:p>
      <w:pPr>
        <w:widowControl/>
        <w:ind w:firstLine="360" w:firstLineChars="150"/>
        <w:rPr>
          <w:rStyle w:val="9"/>
          <w:rFonts w:ascii="微软雅黑" w:hAnsi="微软雅黑" w:eastAsia="微软雅黑" w:cs="微软雅黑"/>
          <w:b w:val="0"/>
          <w:color w:val="333333"/>
          <w:kern w:val="0"/>
          <w:sz w:val="24"/>
          <w:shd w:val="clear" w:color="080000" w:fill="FFFFFF"/>
        </w:rPr>
      </w:pPr>
      <w:r>
        <w:rPr>
          <w:rStyle w:val="9"/>
          <w:rFonts w:hint="eastAsia" w:ascii="微软雅黑" w:hAnsi="微软雅黑" w:eastAsia="微软雅黑" w:cs="微软雅黑"/>
          <w:b w:val="0"/>
          <w:color w:val="333333"/>
          <w:kern w:val="0"/>
          <w:sz w:val="24"/>
          <w:shd w:val="clear" w:color="080000" w:fill="FFFFFF"/>
        </w:rPr>
        <w:t>（1）2020年全年总支出2946400元，其中工资福利支出1678900元，商品服务支出1206900元，对个人和家庭的补助支出0元，其它资本性支出16600元。</w:t>
      </w:r>
    </w:p>
    <w:p>
      <w:pPr>
        <w:widowControl/>
        <w:ind w:firstLine="360" w:firstLineChars="150"/>
        <w:rPr>
          <w:rStyle w:val="9"/>
          <w:rFonts w:ascii="微软雅黑" w:hAnsi="微软雅黑" w:eastAsia="微软雅黑" w:cs="微软雅黑"/>
          <w:color w:val="333333"/>
          <w:kern w:val="0"/>
          <w:sz w:val="24"/>
          <w:shd w:val="clear" w:color="080000" w:fill="FFFFFF"/>
        </w:rPr>
      </w:pPr>
      <w:r>
        <w:rPr>
          <w:rStyle w:val="9"/>
          <w:rFonts w:hint="eastAsia" w:ascii="微软雅黑" w:hAnsi="微软雅黑" w:eastAsia="微软雅黑" w:cs="微软雅黑"/>
          <w:color w:val="333333"/>
          <w:kern w:val="0"/>
          <w:sz w:val="24"/>
          <w:shd w:val="clear" w:color="080000" w:fill="FFFFFF"/>
        </w:rPr>
        <w:t>（二）关于“三公”经费支出说明</w:t>
      </w:r>
    </w:p>
    <w:p>
      <w:pPr>
        <w:widowControl/>
        <w:ind w:firstLine="360" w:firstLineChars="150"/>
        <w:rPr>
          <w:rStyle w:val="9"/>
          <w:rFonts w:ascii="微软雅黑" w:hAnsi="微软雅黑" w:eastAsia="微软雅黑" w:cs="微软雅黑"/>
          <w:b w:val="0"/>
          <w:color w:val="333333"/>
          <w:kern w:val="0"/>
          <w:sz w:val="24"/>
          <w:shd w:val="clear" w:color="080000" w:fill="FFFFFF"/>
        </w:rPr>
      </w:pPr>
      <w:r>
        <w:rPr>
          <w:rStyle w:val="9"/>
          <w:rFonts w:hint="eastAsia" w:ascii="微软雅黑" w:hAnsi="微软雅黑" w:eastAsia="微软雅黑" w:cs="微软雅黑"/>
          <w:b w:val="0"/>
          <w:color w:val="333333"/>
          <w:kern w:val="0"/>
          <w:sz w:val="24"/>
          <w:shd w:val="clear" w:color="080000" w:fill="FFFFFF"/>
        </w:rPr>
        <w:t>2020年“三公”经费决算总支出630元，其中：</w:t>
      </w:r>
    </w:p>
    <w:p>
      <w:pPr>
        <w:widowControl/>
        <w:ind w:firstLine="360" w:firstLineChars="150"/>
        <w:rPr>
          <w:rStyle w:val="9"/>
          <w:rFonts w:ascii="微软雅黑" w:hAnsi="微软雅黑" w:eastAsia="微软雅黑" w:cs="微软雅黑"/>
          <w:b w:val="0"/>
          <w:color w:val="333333"/>
          <w:kern w:val="0"/>
          <w:sz w:val="24"/>
          <w:shd w:val="clear" w:color="080000" w:fill="FFFFFF"/>
        </w:rPr>
      </w:pPr>
      <w:r>
        <w:rPr>
          <w:rStyle w:val="9"/>
          <w:rFonts w:hint="eastAsia" w:ascii="微软雅黑" w:hAnsi="微软雅黑" w:eastAsia="微软雅黑" w:cs="微软雅黑"/>
          <w:b w:val="0"/>
          <w:color w:val="333333"/>
          <w:kern w:val="0"/>
          <w:sz w:val="24"/>
          <w:shd w:val="clear" w:color="080000" w:fill="FFFFFF"/>
        </w:rPr>
        <w:t>公务车运行维护费0元，年初预算数0元，决算数比预算数减少0元，减少幅度为0；</w:t>
      </w:r>
    </w:p>
    <w:p>
      <w:pPr>
        <w:widowControl/>
        <w:ind w:firstLine="360" w:firstLineChars="150"/>
        <w:rPr>
          <w:rStyle w:val="9"/>
          <w:rFonts w:ascii="微软雅黑" w:hAnsi="微软雅黑" w:eastAsia="微软雅黑" w:cs="微软雅黑"/>
          <w:b w:val="0"/>
          <w:color w:val="333333"/>
          <w:kern w:val="0"/>
          <w:sz w:val="24"/>
          <w:shd w:val="clear" w:color="080000" w:fill="FFFFFF"/>
        </w:rPr>
      </w:pPr>
      <w:r>
        <w:rPr>
          <w:rStyle w:val="9"/>
          <w:rFonts w:hint="eastAsia" w:ascii="微软雅黑" w:hAnsi="微软雅黑" w:eastAsia="微软雅黑" w:cs="微软雅黑"/>
          <w:b w:val="0"/>
          <w:color w:val="333333"/>
          <w:kern w:val="0"/>
          <w:sz w:val="24"/>
          <w:shd w:val="clear" w:color="080000" w:fill="FFFFFF"/>
        </w:rPr>
        <w:t>公务接待费630元，年初预算数0元，决算数比预算数增加630元，增长幅度为0%；公务接待共计一次，人数为7人。</w:t>
      </w:r>
    </w:p>
    <w:p>
      <w:pPr>
        <w:widowControl/>
        <w:ind w:firstLine="360" w:firstLineChars="150"/>
        <w:rPr>
          <w:rStyle w:val="9"/>
          <w:rFonts w:ascii="微软雅黑" w:hAnsi="微软雅黑" w:eastAsia="微软雅黑" w:cs="微软雅黑"/>
          <w:b w:val="0"/>
          <w:color w:val="333333"/>
          <w:kern w:val="0"/>
          <w:sz w:val="24"/>
          <w:shd w:val="clear" w:color="080000" w:fill="FFFFFF"/>
        </w:rPr>
      </w:pPr>
      <w:r>
        <w:rPr>
          <w:rStyle w:val="9"/>
          <w:rFonts w:hint="eastAsia" w:ascii="微软雅黑" w:hAnsi="微软雅黑" w:eastAsia="微软雅黑" w:cs="微软雅黑"/>
          <w:b w:val="0"/>
          <w:color w:val="333333"/>
          <w:kern w:val="0"/>
          <w:sz w:val="24"/>
          <w:shd w:val="clear" w:color="080000" w:fill="FFFFFF"/>
        </w:rPr>
        <w:t>因公出国（境）费0元，预算数0元，决算数比预算数增加0元，增长幅度为0%；</w:t>
      </w:r>
    </w:p>
    <w:p>
      <w:pPr>
        <w:widowControl/>
        <w:ind w:firstLine="360" w:firstLineChars="150"/>
        <w:rPr>
          <w:rStyle w:val="9"/>
          <w:rFonts w:ascii="微软雅黑" w:hAnsi="微软雅黑" w:eastAsia="微软雅黑" w:cs="微软雅黑"/>
          <w:b w:val="0"/>
          <w:color w:val="333333"/>
          <w:kern w:val="0"/>
          <w:sz w:val="24"/>
          <w:shd w:val="clear" w:color="080000" w:fill="FFFFFF"/>
        </w:rPr>
      </w:pPr>
      <w:r>
        <w:rPr>
          <w:rStyle w:val="9"/>
          <w:rFonts w:hint="eastAsia" w:ascii="微软雅黑" w:hAnsi="微软雅黑" w:eastAsia="微软雅黑" w:cs="微软雅黑"/>
          <w:b w:val="0"/>
          <w:color w:val="333333"/>
          <w:kern w:val="0"/>
          <w:sz w:val="24"/>
          <w:shd w:val="clear" w:color="080000" w:fill="FFFFFF"/>
        </w:rPr>
        <w:t>2019年“三公”经费决算总支出2595元，其中：</w:t>
      </w:r>
    </w:p>
    <w:p>
      <w:pPr>
        <w:widowControl/>
        <w:ind w:firstLine="360" w:firstLineChars="150"/>
        <w:rPr>
          <w:rStyle w:val="9"/>
          <w:rFonts w:ascii="微软雅黑" w:hAnsi="微软雅黑" w:eastAsia="微软雅黑" w:cs="微软雅黑"/>
          <w:b w:val="0"/>
          <w:color w:val="333333"/>
          <w:kern w:val="0"/>
          <w:sz w:val="24"/>
          <w:shd w:val="clear" w:color="080000" w:fill="FFFFFF"/>
        </w:rPr>
      </w:pPr>
      <w:r>
        <w:rPr>
          <w:rStyle w:val="9"/>
          <w:rFonts w:hint="eastAsia" w:ascii="微软雅黑" w:hAnsi="微软雅黑" w:eastAsia="微软雅黑" w:cs="微软雅黑"/>
          <w:b w:val="0"/>
          <w:color w:val="333333"/>
          <w:kern w:val="0"/>
          <w:sz w:val="24"/>
          <w:shd w:val="clear" w:color="080000" w:fill="FFFFFF"/>
        </w:rPr>
        <w:t>公务车运行维护费0元，年初预算数0元，决算数比预算数减少0元，减少幅度为0；</w:t>
      </w:r>
    </w:p>
    <w:p>
      <w:pPr>
        <w:widowControl/>
        <w:ind w:firstLine="360" w:firstLineChars="150"/>
        <w:rPr>
          <w:rStyle w:val="9"/>
          <w:rFonts w:ascii="微软雅黑" w:hAnsi="微软雅黑" w:eastAsia="微软雅黑" w:cs="微软雅黑"/>
          <w:b w:val="0"/>
          <w:color w:val="333333"/>
          <w:kern w:val="0"/>
          <w:sz w:val="24"/>
          <w:shd w:val="clear" w:color="080000" w:fill="FFFFFF"/>
        </w:rPr>
      </w:pPr>
      <w:r>
        <w:rPr>
          <w:rStyle w:val="9"/>
          <w:rFonts w:hint="eastAsia" w:ascii="微软雅黑" w:hAnsi="微软雅黑" w:eastAsia="微软雅黑" w:cs="微软雅黑"/>
          <w:b w:val="0"/>
          <w:color w:val="333333"/>
          <w:kern w:val="0"/>
          <w:sz w:val="24"/>
          <w:shd w:val="clear" w:color="080000" w:fill="FFFFFF"/>
        </w:rPr>
        <w:t>公务接待费2595元，年初预算数0元，决算数比预算数增加2595元，增长幅度为0%；公务接待四次，人数分别为7人、10人、10人、7人。</w:t>
      </w:r>
    </w:p>
    <w:p>
      <w:pPr>
        <w:widowControl/>
        <w:ind w:firstLine="360" w:firstLineChars="150"/>
        <w:rPr>
          <w:rStyle w:val="9"/>
          <w:rFonts w:ascii="微软雅黑" w:hAnsi="微软雅黑" w:eastAsia="微软雅黑" w:cs="微软雅黑"/>
          <w:b w:val="0"/>
          <w:color w:val="333333"/>
          <w:kern w:val="0"/>
          <w:sz w:val="24"/>
          <w:shd w:val="clear" w:color="080000" w:fill="FFFFFF"/>
        </w:rPr>
      </w:pPr>
      <w:r>
        <w:rPr>
          <w:rStyle w:val="9"/>
          <w:rFonts w:hint="eastAsia" w:ascii="微软雅黑" w:hAnsi="微软雅黑" w:eastAsia="微软雅黑" w:cs="微软雅黑"/>
          <w:b w:val="0"/>
          <w:color w:val="333333"/>
          <w:kern w:val="0"/>
          <w:sz w:val="24"/>
          <w:shd w:val="clear" w:color="080000" w:fill="FFFFFF"/>
        </w:rPr>
        <w:t>因公出国（境）费0元，预算数0元，决算数比预算数增加0元，增长幅度为0%；</w:t>
      </w:r>
    </w:p>
    <w:p>
      <w:pPr>
        <w:widowControl/>
        <w:shd w:val="clear" w:color="auto" w:fill="FFFFFF"/>
        <w:jc w:val="left"/>
        <w:rPr>
          <w:rStyle w:val="9"/>
          <w:rFonts w:ascii="微软雅黑" w:hAnsi="微软雅黑" w:eastAsia="微软雅黑" w:cs="微软雅黑"/>
          <w:color w:val="333333"/>
          <w:kern w:val="0"/>
          <w:sz w:val="24"/>
          <w:shd w:val="clear" w:color="080000" w:fill="FFFFFF"/>
        </w:rPr>
      </w:pPr>
      <w:r>
        <w:rPr>
          <w:rStyle w:val="9"/>
          <w:rFonts w:hint="eastAsia" w:ascii="微软雅黑" w:hAnsi="微软雅黑" w:eastAsia="微软雅黑" w:cs="微软雅黑"/>
          <w:b w:val="0"/>
          <w:color w:val="333333"/>
          <w:kern w:val="0"/>
          <w:sz w:val="24"/>
          <w:shd w:val="clear" w:color="080000" w:fill="FFFFFF"/>
        </w:rPr>
        <w:t>　　</w:t>
      </w:r>
      <w:r>
        <w:rPr>
          <w:rStyle w:val="9"/>
          <w:rFonts w:hint="eastAsia" w:ascii="微软雅黑" w:hAnsi="微软雅黑" w:eastAsia="微软雅黑" w:cs="微软雅黑"/>
          <w:color w:val="333333"/>
          <w:kern w:val="0"/>
          <w:sz w:val="24"/>
          <w:shd w:val="clear" w:color="080000" w:fill="FFFFFF"/>
        </w:rPr>
        <w:t>（三）关于机关运行经费支出说明</w:t>
      </w:r>
    </w:p>
    <w:p>
      <w:pPr>
        <w:widowControl/>
        <w:shd w:val="clear" w:color="auto" w:fill="FFFFFF"/>
        <w:jc w:val="left"/>
        <w:rPr>
          <w:rStyle w:val="9"/>
          <w:rFonts w:ascii="微软雅黑" w:hAnsi="微软雅黑" w:eastAsia="微软雅黑" w:cs="微软雅黑"/>
          <w:b w:val="0"/>
          <w:color w:val="333333"/>
          <w:kern w:val="0"/>
          <w:sz w:val="24"/>
          <w:shd w:val="clear" w:color="080000" w:fill="FFFFFF"/>
        </w:rPr>
      </w:pPr>
      <w:r>
        <w:rPr>
          <w:rStyle w:val="9"/>
          <w:rFonts w:hint="eastAsia" w:ascii="微软雅黑" w:hAnsi="微软雅黑" w:eastAsia="微软雅黑" w:cs="微软雅黑"/>
          <w:b w:val="0"/>
          <w:color w:val="333333"/>
          <w:kern w:val="0"/>
          <w:sz w:val="24"/>
          <w:shd w:val="clear" w:color="080000" w:fill="FFFFFF"/>
        </w:rPr>
        <w:t xml:space="preserve">    2020年机关运行经费支出2532200元, 2019年机关运行经费支出2931091.03元,同比上年减少398891.03元，同比上年减少15.75%，黄石港区司法局业务增加。</w:t>
      </w:r>
    </w:p>
    <w:p>
      <w:pPr>
        <w:widowControl/>
        <w:shd w:val="clear" w:color="auto" w:fill="FFFFFF"/>
        <w:jc w:val="left"/>
        <w:rPr>
          <w:rStyle w:val="9"/>
          <w:rFonts w:ascii="微软雅黑" w:hAnsi="微软雅黑" w:eastAsia="微软雅黑" w:cs="微软雅黑"/>
          <w:color w:val="333333"/>
          <w:kern w:val="0"/>
          <w:sz w:val="24"/>
          <w:shd w:val="clear" w:color="080000" w:fill="FFFFFF"/>
        </w:rPr>
      </w:pPr>
      <w:r>
        <w:rPr>
          <w:rStyle w:val="9"/>
          <w:rFonts w:hint="eastAsia" w:ascii="微软雅黑" w:hAnsi="微软雅黑" w:eastAsia="微软雅黑" w:cs="微软雅黑"/>
          <w:b w:val="0"/>
          <w:color w:val="333333"/>
          <w:kern w:val="0"/>
          <w:sz w:val="24"/>
          <w:shd w:val="clear" w:color="080000" w:fill="FFFFFF"/>
        </w:rPr>
        <w:t>　　</w:t>
      </w:r>
      <w:r>
        <w:rPr>
          <w:rStyle w:val="9"/>
          <w:rFonts w:hint="eastAsia" w:ascii="微软雅黑" w:hAnsi="微软雅黑" w:eastAsia="微软雅黑" w:cs="微软雅黑"/>
          <w:color w:val="333333"/>
          <w:kern w:val="0"/>
          <w:sz w:val="24"/>
          <w:shd w:val="clear" w:color="080000" w:fill="FFFFFF"/>
        </w:rPr>
        <w:t>（四）关于政府采购支出说明</w:t>
      </w:r>
    </w:p>
    <w:p>
      <w:pPr>
        <w:pStyle w:val="14"/>
        <w:ind w:firstLine="480" w:firstLineChars="200"/>
        <w:rPr>
          <w:rStyle w:val="9"/>
          <w:rFonts w:ascii="微软雅黑" w:hAnsi="微软雅黑" w:eastAsia="微软雅黑" w:cs="微软雅黑"/>
          <w:b w:val="0"/>
          <w:color w:val="333333"/>
          <w:kern w:val="0"/>
          <w:sz w:val="24"/>
          <w:szCs w:val="24"/>
          <w:shd w:val="clear" w:color="080000" w:fill="FFFFFF"/>
        </w:rPr>
      </w:pPr>
      <w:r>
        <w:rPr>
          <w:rStyle w:val="9"/>
          <w:rFonts w:hint="eastAsia" w:ascii="微软雅黑" w:hAnsi="微软雅黑" w:eastAsia="微软雅黑" w:cs="微软雅黑"/>
          <w:b w:val="0"/>
          <w:color w:val="333333"/>
          <w:kern w:val="0"/>
          <w:sz w:val="24"/>
          <w:szCs w:val="24"/>
          <w:shd w:val="clear" w:color="080000" w:fill="FFFFFF"/>
        </w:rPr>
        <w:t>2020年政府采购总支出16600元，其中政府采购货物支出16600元，政府采购工程支出0，政府采购服务支出0元。</w:t>
      </w:r>
    </w:p>
    <w:p>
      <w:pPr>
        <w:widowControl/>
        <w:shd w:val="clear" w:color="auto" w:fill="FFFFFF"/>
        <w:jc w:val="left"/>
        <w:rPr>
          <w:rStyle w:val="9"/>
          <w:rFonts w:ascii="微软雅黑" w:hAnsi="微软雅黑" w:eastAsia="微软雅黑" w:cs="微软雅黑"/>
          <w:color w:val="333333"/>
          <w:kern w:val="0"/>
          <w:sz w:val="24"/>
          <w:shd w:val="clear" w:color="080000" w:fill="FFFFFF"/>
        </w:rPr>
      </w:pPr>
      <w:r>
        <w:rPr>
          <w:rStyle w:val="9"/>
          <w:rFonts w:hint="eastAsia" w:ascii="微软雅黑" w:hAnsi="微软雅黑" w:eastAsia="微软雅黑" w:cs="微软雅黑"/>
          <w:b w:val="0"/>
          <w:color w:val="333333"/>
          <w:kern w:val="0"/>
          <w:sz w:val="24"/>
          <w:shd w:val="clear" w:color="080000" w:fill="FFFFFF"/>
        </w:rPr>
        <w:t>　　</w:t>
      </w:r>
      <w:r>
        <w:rPr>
          <w:rStyle w:val="9"/>
          <w:rFonts w:hint="eastAsia" w:ascii="微软雅黑" w:hAnsi="微软雅黑" w:eastAsia="微软雅黑" w:cs="微软雅黑"/>
          <w:color w:val="333333"/>
          <w:kern w:val="0"/>
          <w:sz w:val="24"/>
          <w:shd w:val="clear" w:color="080000" w:fill="FFFFFF"/>
        </w:rPr>
        <w:t>（五）关于国有资产占用情况说明</w:t>
      </w:r>
    </w:p>
    <w:p>
      <w:pPr>
        <w:pStyle w:val="14"/>
        <w:ind w:firstLine="840" w:firstLineChars="300"/>
        <w:rPr>
          <w:rStyle w:val="9"/>
          <w:rFonts w:hint="eastAsia" w:asciiTheme="minorEastAsia" w:hAnsiTheme="minorEastAsia" w:eastAsiaTheme="minorEastAsia" w:cstheme="minorEastAsia"/>
          <w:b w:val="0"/>
          <w:color w:val="333333"/>
          <w:kern w:val="0"/>
          <w:sz w:val="28"/>
          <w:szCs w:val="28"/>
          <w:shd w:val="clear" w:color="080000" w:fill="FFFFFF"/>
        </w:rPr>
      </w:pPr>
      <w:r>
        <w:rPr>
          <w:rStyle w:val="9"/>
          <w:rFonts w:hint="eastAsia" w:asciiTheme="minorEastAsia" w:hAnsiTheme="minorEastAsia" w:eastAsiaTheme="minorEastAsia" w:cstheme="minorEastAsia"/>
          <w:b w:val="0"/>
          <w:color w:val="333333"/>
          <w:kern w:val="0"/>
          <w:sz w:val="28"/>
          <w:szCs w:val="28"/>
          <w:shd w:val="clear" w:color="080000" w:fill="FFFFFF"/>
        </w:rPr>
        <w:t>截至2020年12月31日，本单位共有车辆0辆，其中领导干部用车0辆，一般公务用车0辆，一般执法执勤用车0辆，特种专业技术用车0辆，其它用车0辆。</w:t>
      </w:r>
    </w:p>
    <w:p>
      <w:pPr>
        <w:pStyle w:val="14"/>
        <w:ind w:firstLine="840" w:firstLineChars="300"/>
        <w:rPr>
          <w:rStyle w:val="9"/>
          <w:rFonts w:hint="eastAsia" w:asciiTheme="minorEastAsia" w:hAnsiTheme="minorEastAsia" w:eastAsiaTheme="minorEastAsia" w:cstheme="minorEastAsia"/>
          <w:b w:val="0"/>
          <w:color w:val="333333"/>
          <w:kern w:val="0"/>
          <w:sz w:val="28"/>
          <w:szCs w:val="28"/>
          <w:shd w:val="clear" w:color="080000" w:fill="FFFFFF"/>
        </w:rPr>
      </w:pPr>
      <w:r>
        <w:rPr>
          <w:rStyle w:val="9"/>
          <w:rFonts w:hint="eastAsia" w:asciiTheme="minorEastAsia" w:hAnsiTheme="minorEastAsia" w:eastAsiaTheme="minorEastAsia" w:cstheme="minorEastAsia"/>
          <w:b w:val="0"/>
          <w:color w:val="333333"/>
          <w:kern w:val="0"/>
          <w:sz w:val="28"/>
          <w:szCs w:val="28"/>
          <w:shd w:val="clear" w:color="080000" w:fill="FFFFFF"/>
        </w:rPr>
        <w:t>2019年12月31日，本单位共有车辆0辆，其中领导干部用车0辆，一般公务用车0辆，一般执法执勤用车0辆，特种专业技术用车0辆，其它用车0辆。</w:t>
      </w:r>
    </w:p>
    <w:p>
      <w:pPr>
        <w:widowControl/>
        <w:shd w:val="clear" w:color="auto" w:fill="FFFFFF"/>
        <w:ind w:firstLine="480" w:firstLineChars="200"/>
        <w:jc w:val="left"/>
        <w:rPr>
          <w:rStyle w:val="9"/>
          <w:rFonts w:ascii="微软雅黑" w:hAnsi="微软雅黑" w:eastAsia="微软雅黑" w:cs="微软雅黑"/>
          <w:color w:val="333333"/>
          <w:kern w:val="0"/>
          <w:sz w:val="24"/>
          <w:shd w:val="clear" w:color="080000" w:fill="FFFFFF"/>
        </w:rPr>
      </w:pPr>
      <w:r>
        <w:rPr>
          <w:rStyle w:val="9"/>
          <w:rFonts w:hint="eastAsia" w:ascii="微软雅黑" w:hAnsi="微软雅黑" w:eastAsia="微软雅黑" w:cs="微软雅黑"/>
          <w:color w:val="333333"/>
          <w:kern w:val="0"/>
          <w:sz w:val="24"/>
          <w:shd w:val="clear" w:color="080000" w:fill="FFFFFF"/>
        </w:rPr>
        <w:t>（六）重点绩效评价结果等预算绩效情况说明</w:t>
      </w:r>
    </w:p>
    <w:p>
      <w:pPr>
        <w:pStyle w:val="14"/>
        <w:ind w:left="0" w:leftChars="0" w:firstLine="560" w:firstLineChars="200"/>
        <w:rPr>
          <w:rStyle w:val="9"/>
          <w:rFonts w:hint="eastAsia" w:asciiTheme="minorEastAsia" w:hAnsiTheme="minorEastAsia" w:eastAsiaTheme="minorEastAsia" w:cstheme="minorEastAsia"/>
          <w:b w:val="0"/>
          <w:color w:val="333333"/>
          <w:kern w:val="0"/>
          <w:sz w:val="28"/>
          <w:szCs w:val="28"/>
          <w:shd w:val="clear" w:color="080000" w:fill="FFFFFF"/>
          <w:lang w:val="en-US" w:eastAsia="zh-CN"/>
        </w:rPr>
      </w:pPr>
      <w:r>
        <w:rPr>
          <w:rStyle w:val="9"/>
          <w:rFonts w:hint="eastAsia" w:asciiTheme="minorEastAsia" w:hAnsiTheme="minorEastAsia" w:eastAsiaTheme="minorEastAsia" w:cstheme="minorEastAsia"/>
          <w:b w:val="0"/>
          <w:color w:val="333333"/>
          <w:kern w:val="0"/>
          <w:sz w:val="28"/>
          <w:szCs w:val="28"/>
          <w:shd w:val="clear" w:color="080000" w:fill="FFFFFF"/>
          <w:lang w:val="en-US" w:eastAsia="zh-CN"/>
        </w:rPr>
        <w:t>2020年，我单位本年度没有重点项目，因此未展开绩效评价。</w:t>
      </w:r>
    </w:p>
    <w:p>
      <w:pPr>
        <w:spacing w:line="440" w:lineRule="exact"/>
        <w:ind w:firstLine="562" w:firstLineChars="200"/>
        <w:rPr>
          <w:rFonts w:hint="eastAsia" w:ascii="宋体" w:hAnsi="宋体"/>
          <w:b/>
          <w:color w:val="FF6600"/>
          <w:spacing w:val="2"/>
          <w:sz w:val="28"/>
          <w:szCs w:val="28"/>
        </w:rPr>
      </w:pPr>
      <w:r>
        <w:rPr>
          <w:rFonts w:hint="eastAsia" w:ascii="宋体" w:hAnsi="宋体" w:cs="宋体"/>
          <w:b/>
          <w:bCs/>
          <w:sz w:val="28"/>
          <w:szCs w:val="28"/>
          <w:lang w:val="en-US" w:eastAsia="zh-CN"/>
        </w:rPr>
        <w:t>（七）</w:t>
      </w:r>
      <w:r>
        <w:rPr>
          <w:rFonts w:hint="eastAsia" w:ascii="宋体" w:hAnsi="宋体"/>
          <w:b/>
          <w:spacing w:val="2"/>
          <w:sz w:val="28"/>
          <w:szCs w:val="28"/>
        </w:rPr>
        <w:t>决算收支增减变化情况</w:t>
      </w:r>
    </w:p>
    <w:p>
      <w:pPr>
        <w:spacing w:line="440" w:lineRule="exact"/>
        <w:ind w:firstLine="568" w:firstLineChars="200"/>
        <w:rPr>
          <w:rFonts w:hint="eastAsia" w:ascii="宋体" w:hAnsi="宋体"/>
          <w:spacing w:val="2"/>
          <w:sz w:val="28"/>
          <w:szCs w:val="28"/>
        </w:rPr>
      </w:pPr>
      <w:r>
        <w:rPr>
          <w:rFonts w:hint="eastAsia" w:ascii="宋体" w:hAnsi="宋体"/>
          <w:spacing w:val="2"/>
          <w:sz w:val="28"/>
          <w:szCs w:val="28"/>
        </w:rPr>
        <w:t>1、收入增减变化情况</w:t>
      </w:r>
    </w:p>
    <w:p>
      <w:pPr>
        <w:widowControl/>
        <w:ind w:firstLine="568" w:firstLineChars="200"/>
        <w:rPr>
          <w:rFonts w:hint="eastAsia" w:ascii="宋体" w:hAnsi="宋体"/>
          <w:spacing w:val="2"/>
          <w:sz w:val="28"/>
          <w:szCs w:val="28"/>
        </w:rPr>
      </w:pPr>
      <w:r>
        <w:rPr>
          <w:rFonts w:hint="eastAsia" w:ascii="宋体" w:hAnsi="宋体"/>
          <w:spacing w:val="2"/>
          <w:sz w:val="28"/>
          <w:szCs w:val="28"/>
        </w:rPr>
        <w:t>2019年全年总收入</w:t>
      </w:r>
      <w:r>
        <w:rPr>
          <w:rFonts w:hint="eastAsia" w:ascii="宋体" w:hAnsi="宋体"/>
          <w:spacing w:val="2"/>
          <w:sz w:val="28"/>
          <w:szCs w:val="28"/>
          <w:lang w:val="en-US" w:eastAsia="zh-CN"/>
        </w:rPr>
        <w:t>358.11万</w:t>
      </w:r>
      <w:r>
        <w:rPr>
          <w:rFonts w:hint="eastAsia" w:ascii="宋体" w:hAnsi="宋体"/>
          <w:spacing w:val="2"/>
          <w:sz w:val="28"/>
          <w:szCs w:val="28"/>
        </w:rPr>
        <w:t>元,2020年全年总收入</w:t>
      </w:r>
      <w:r>
        <w:rPr>
          <w:rFonts w:hint="eastAsia" w:ascii="宋体" w:hAnsi="宋体"/>
          <w:spacing w:val="2"/>
          <w:sz w:val="28"/>
          <w:szCs w:val="28"/>
          <w:lang w:val="en-US" w:eastAsia="zh-CN"/>
        </w:rPr>
        <w:t>345.6万</w:t>
      </w:r>
      <w:r>
        <w:rPr>
          <w:rFonts w:hint="eastAsia" w:ascii="宋体" w:hAnsi="宋体"/>
          <w:spacing w:val="2"/>
          <w:sz w:val="28"/>
          <w:szCs w:val="28"/>
        </w:rPr>
        <w:t>元，同比</w:t>
      </w:r>
      <w:r>
        <w:rPr>
          <w:rFonts w:hint="eastAsia" w:ascii="宋体" w:hAnsi="宋体"/>
          <w:spacing w:val="2"/>
          <w:sz w:val="28"/>
          <w:szCs w:val="28"/>
          <w:lang w:eastAsia="zh-CN"/>
        </w:rPr>
        <w:t>减少</w:t>
      </w:r>
      <w:r>
        <w:rPr>
          <w:rFonts w:hint="eastAsia" w:ascii="宋体" w:hAnsi="宋体"/>
          <w:spacing w:val="2"/>
          <w:sz w:val="28"/>
          <w:szCs w:val="28"/>
          <w:lang w:val="en-US" w:eastAsia="zh-CN"/>
        </w:rPr>
        <w:t>12.51万</w:t>
      </w:r>
      <w:r>
        <w:rPr>
          <w:rFonts w:hint="eastAsia" w:ascii="宋体" w:hAnsi="宋体"/>
          <w:spacing w:val="2"/>
          <w:sz w:val="28"/>
          <w:szCs w:val="28"/>
        </w:rPr>
        <w:t>元，</w:t>
      </w:r>
      <w:r>
        <w:rPr>
          <w:rFonts w:hint="eastAsia" w:ascii="宋体" w:hAnsi="宋体"/>
          <w:spacing w:val="2"/>
          <w:sz w:val="28"/>
          <w:szCs w:val="28"/>
          <w:lang w:eastAsia="zh-CN"/>
        </w:rPr>
        <w:t>下降</w:t>
      </w:r>
      <w:r>
        <w:rPr>
          <w:rFonts w:hint="eastAsia" w:ascii="宋体" w:hAnsi="宋体"/>
          <w:spacing w:val="2"/>
          <w:sz w:val="28"/>
          <w:szCs w:val="28"/>
        </w:rPr>
        <w:t>幅度为</w:t>
      </w:r>
      <w:r>
        <w:rPr>
          <w:rFonts w:hint="eastAsia" w:ascii="宋体" w:hAnsi="宋体"/>
          <w:spacing w:val="2"/>
          <w:sz w:val="28"/>
          <w:szCs w:val="28"/>
          <w:lang w:val="en-US" w:eastAsia="zh-CN"/>
        </w:rPr>
        <w:t>3.49</w:t>
      </w:r>
      <w:r>
        <w:rPr>
          <w:rFonts w:hint="eastAsia" w:ascii="宋体" w:hAnsi="宋体"/>
          <w:spacing w:val="2"/>
          <w:sz w:val="28"/>
          <w:szCs w:val="28"/>
        </w:rPr>
        <w:t>%，原因是业务量</w:t>
      </w:r>
      <w:r>
        <w:rPr>
          <w:rFonts w:hint="eastAsia" w:ascii="宋体" w:hAnsi="宋体"/>
          <w:spacing w:val="2"/>
          <w:sz w:val="28"/>
          <w:szCs w:val="28"/>
          <w:lang w:eastAsia="zh-CN"/>
        </w:rPr>
        <w:t>减少</w:t>
      </w:r>
      <w:r>
        <w:rPr>
          <w:rFonts w:hint="eastAsia" w:ascii="宋体" w:hAnsi="宋体"/>
          <w:spacing w:val="2"/>
          <w:sz w:val="28"/>
          <w:szCs w:val="28"/>
        </w:rPr>
        <w:t>。</w:t>
      </w:r>
    </w:p>
    <w:p>
      <w:pPr>
        <w:spacing w:line="440" w:lineRule="exact"/>
        <w:ind w:firstLine="568" w:firstLineChars="200"/>
        <w:rPr>
          <w:rFonts w:hint="eastAsia" w:ascii="宋体" w:hAnsi="宋体"/>
          <w:spacing w:val="2"/>
          <w:sz w:val="28"/>
          <w:szCs w:val="28"/>
        </w:rPr>
      </w:pPr>
      <w:r>
        <w:rPr>
          <w:rFonts w:hint="eastAsia" w:ascii="宋体" w:hAnsi="宋体"/>
          <w:spacing w:val="2"/>
          <w:sz w:val="28"/>
          <w:szCs w:val="28"/>
        </w:rPr>
        <w:t>2、支出增减变化情况</w:t>
      </w:r>
    </w:p>
    <w:p>
      <w:pPr>
        <w:widowControl/>
        <w:ind w:firstLine="568" w:firstLineChars="200"/>
        <w:rPr>
          <w:rFonts w:hint="eastAsia" w:ascii="宋体" w:hAnsi="宋体"/>
          <w:spacing w:val="2"/>
          <w:sz w:val="28"/>
          <w:szCs w:val="28"/>
        </w:rPr>
      </w:pPr>
      <w:r>
        <w:rPr>
          <w:rFonts w:hint="eastAsia" w:ascii="宋体" w:hAnsi="宋体"/>
          <w:spacing w:val="2"/>
          <w:sz w:val="28"/>
          <w:szCs w:val="28"/>
        </w:rPr>
        <w:t>2019年全年总</w:t>
      </w:r>
      <w:r>
        <w:rPr>
          <w:rFonts w:hint="eastAsia" w:ascii="宋体" w:hAnsi="宋体"/>
          <w:spacing w:val="2"/>
          <w:sz w:val="28"/>
          <w:szCs w:val="28"/>
          <w:lang w:eastAsia="zh-CN"/>
        </w:rPr>
        <w:t>支出</w:t>
      </w:r>
      <w:r>
        <w:rPr>
          <w:rFonts w:hint="eastAsia" w:ascii="宋体" w:hAnsi="宋体"/>
          <w:spacing w:val="2"/>
          <w:sz w:val="28"/>
          <w:szCs w:val="28"/>
          <w:lang w:val="en-US" w:eastAsia="zh-CN"/>
        </w:rPr>
        <w:t>358.11万</w:t>
      </w:r>
      <w:r>
        <w:rPr>
          <w:rFonts w:hint="eastAsia" w:ascii="宋体" w:hAnsi="宋体"/>
          <w:spacing w:val="2"/>
          <w:sz w:val="28"/>
          <w:szCs w:val="28"/>
        </w:rPr>
        <w:t>元,2020年全年总</w:t>
      </w:r>
      <w:r>
        <w:rPr>
          <w:rFonts w:hint="eastAsia" w:ascii="宋体" w:hAnsi="宋体"/>
          <w:spacing w:val="2"/>
          <w:sz w:val="28"/>
          <w:szCs w:val="28"/>
          <w:lang w:eastAsia="zh-CN"/>
        </w:rPr>
        <w:t>支出</w:t>
      </w:r>
      <w:bookmarkStart w:id="0" w:name="_GoBack"/>
      <w:bookmarkEnd w:id="0"/>
      <w:r>
        <w:rPr>
          <w:rFonts w:hint="eastAsia" w:ascii="宋体" w:hAnsi="宋体"/>
          <w:spacing w:val="2"/>
          <w:sz w:val="28"/>
          <w:szCs w:val="28"/>
          <w:lang w:val="en-US" w:eastAsia="zh-CN"/>
        </w:rPr>
        <w:t>345.6万</w:t>
      </w:r>
      <w:r>
        <w:rPr>
          <w:rFonts w:hint="eastAsia" w:ascii="宋体" w:hAnsi="宋体"/>
          <w:spacing w:val="2"/>
          <w:sz w:val="28"/>
          <w:szCs w:val="28"/>
        </w:rPr>
        <w:t>元，同比</w:t>
      </w:r>
      <w:r>
        <w:rPr>
          <w:rFonts w:hint="eastAsia" w:ascii="宋体" w:hAnsi="宋体"/>
          <w:spacing w:val="2"/>
          <w:sz w:val="28"/>
          <w:szCs w:val="28"/>
          <w:lang w:eastAsia="zh-CN"/>
        </w:rPr>
        <w:t>减少</w:t>
      </w:r>
      <w:r>
        <w:rPr>
          <w:rFonts w:hint="eastAsia" w:ascii="宋体" w:hAnsi="宋体"/>
          <w:spacing w:val="2"/>
          <w:sz w:val="28"/>
          <w:szCs w:val="28"/>
          <w:lang w:val="en-US" w:eastAsia="zh-CN"/>
        </w:rPr>
        <w:t>12.51万</w:t>
      </w:r>
      <w:r>
        <w:rPr>
          <w:rFonts w:hint="eastAsia" w:ascii="宋体" w:hAnsi="宋体"/>
          <w:spacing w:val="2"/>
          <w:sz w:val="28"/>
          <w:szCs w:val="28"/>
        </w:rPr>
        <w:t>元，</w:t>
      </w:r>
      <w:r>
        <w:rPr>
          <w:rFonts w:hint="eastAsia" w:ascii="宋体" w:hAnsi="宋体"/>
          <w:spacing w:val="2"/>
          <w:sz w:val="28"/>
          <w:szCs w:val="28"/>
          <w:lang w:eastAsia="zh-CN"/>
        </w:rPr>
        <w:t>下降</w:t>
      </w:r>
      <w:r>
        <w:rPr>
          <w:rFonts w:hint="eastAsia" w:ascii="宋体" w:hAnsi="宋体"/>
          <w:spacing w:val="2"/>
          <w:sz w:val="28"/>
          <w:szCs w:val="28"/>
        </w:rPr>
        <w:t>幅度为</w:t>
      </w:r>
      <w:r>
        <w:rPr>
          <w:rFonts w:hint="eastAsia" w:ascii="宋体" w:hAnsi="宋体"/>
          <w:spacing w:val="2"/>
          <w:sz w:val="28"/>
          <w:szCs w:val="28"/>
          <w:lang w:val="en-US" w:eastAsia="zh-CN"/>
        </w:rPr>
        <w:t>3.49</w:t>
      </w:r>
      <w:r>
        <w:rPr>
          <w:rFonts w:hint="eastAsia" w:ascii="宋体" w:hAnsi="宋体"/>
          <w:spacing w:val="2"/>
          <w:sz w:val="28"/>
          <w:szCs w:val="28"/>
        </w:rPr>
        <w:t>%，原因是业务量</w:t>
      </w:r>
      <w:r>
        <w:rPr>
          <w:rFonts w:hint="eastAsia" w:ascii="宋体" w:hAnsi="宋体"/>
          <w:spacing w:val="2"/>
          <w:sz w:val="28"/>
          <w:szCs w:val="28"/>
          <w:lang w:eastAsia="zh-CN"/>
        </w:rPr>
        <w:t>减少</w:t>
      </w:r>
      <w:r>
        <w:rPr>
          <w:rFonts w:hint="eastAsia" w:ascii="宋体" w:hAnsi="宋体"/>
          <w:spacing w:val="2"/>
          <w:sz w:val="28"/>
          <w:szCs w:val="28"/>
        </w:rPr>
        <w:t>。</w:t>
      </w:r>
    </w:p>
    <w:p>
      <w:pPr>
        <w:pStyle w:val="14"/>
        <w:ind w:left="0" w:leftChars="0" w:firstLine="560" w:firstLineChars="200"/>
        <w:rPr>
          <w:rStyle w:val="9"/>
          <w:rFonts w:hint="eastAsia" w:asciiTheme="minorEastAsia" w:hAnsiTheme="minorEastAsia" w:eastAsiaTheme="minorEastAsia" w:cstheme="minorEastAsia"/>
          <w:b w:val="0"/>
          <w:color w:val="333333"/>
          <w:kern w:val="0"/>
          <w:sz w:val="28"/>
          <w:szCs w:val="28"/>
          <w:shd w:val="clear" w:color="080000" w:fill="FFFFFF"/>
          <w:lang w:val="en-US" w:eastAsia="zh-CN"/>
        </w:rPr>
      </w:pPr>
    </w:p>
    <w:p>
      <w:pPr>
        <w:pStyle w:val="14"/>
        <w:ind w:firstLine="840" w:firstLineChars="300"/>
        <w:rPr>
          <w:rStyle w:val="9"/>
          <w:rFonts w:hint="eastAsia" w:asciiTheme="minorEastAsia" w:hAnsiTheme="minorEastAsia" w:eastAsiaTheme="minorEastAsia" w:cstheme="minorEastAsia"/>
          <w:b w:val="0"/>
          <w:color w:val="333333"/>
          <w:kern w:val="0"/>
          <w:sz w:val="28"/>
          <w:szCs w:val="28"/>
          <w:shd w:val="clear" w:color="080000" w:fill="FFFFFF"/>
          <w:lang w:val="en-US" w:eastAsia="zh-CN"/>
        </w:rPr>
      </w:pPr>
    </w:p>
    <w:p>
      <w:pPr>
        <w:pStyle w:val="13"/>
        <w:spacing w:before="76" w:beforeAutospacing="0" w:after="76" w:afterAutospacing="0" w:line="450" w:lineRule="atLeast"/>
        <w:rPr>
          <w:rStyle w:val="9"/>
          <w:rFonts w:ascii="微软雅黑" w:hAnsi="微软雅黑" w:eastAsia="微软雅黑" w:cs="微软雅黑"/>
          <w:color w:val="333333"/>
          <w:shd w:val="clear" w:color="080000" w:fill="FFFFFF"/>
        </w:rPr>
      </w:pPr>
    </w:p>
    <w:p>
      <w:pPr>
        <w:pStyle w:val="13"/>
        <w:spacing w:before="76" w:beforeAutospacing="0" w:after="76" w:afterAutospacing="0" w:line="450" w:lineRule="atLeast"/>
        <w:rPr>
          <w:rStyle w:val="9"/>
          <w:rFonts w:ascii="微软雅黑" w:hAnsi="微软雅黑" w:eastAsia="微软雅黑" w:cs="微软雅黑"/>
          <w:color w:val="333333"/>
          <w:shd w:val="clear" w:color="080000" w:fill="FFFFFF"/>
        </w:rPr>
      </w:pPr>
    </w:p>
    <w:p>
      <w:pPr>
        <w:pStyle w:val="13"/>
        <w:spacing w:before="76" w:beforeAutospacing="0" w:after="76" w:afterAutospacing="0" w:line="450" w:lineRule="atLeast"/>
        <w:rPr>
          <w:rStyle w:val="9"/>
          <w:rFonts w:hint="eastAsia" w:ascii="微软雅黑" w:hAnsi="微软雅黑" w:eastAsia="微软雅黑" w:cs="微软雅黑"/>
          <w:color w:val="333333"/>
          <w:shd w:val="clear" w:color="080000" w:fill="FFFFFF"/>
        </w:rPr>
      </w:pPr>
    </w:p>
    <w:p>
      <w:pPr>
        <w:pStyle w:val="13"/>
        <w:spacing w:before="76" w:beforeAutospacing="0" w:after="76" w:afterAutospacing="0" w:line="450" w:lineRule="atLeast"/>
        <w:rPr>
          <w:rStyle w:val="9"/>
          <w:rFonts w:ascii="微软雅黑" w:hAnsi="微软雅黑" w:eastAsia="微软雅黑" w:cs="微软雅黑"/>
          <w:color w:val="333333"/>
          <w:shd w:val="clear" w:color="080000" w:fill="FFFFFF"/>
        </w:rPr>
      </w:pPr>
    </w:p>
    <w:p>
      <w:pPr>
        <w:pStyle w:val="13"/>
        <w:spacing w:before="76" w:beforeAutospacing="0" w:after="76" w:afterAutospacing="0" w:line="450" w:lineRule="atLeast"/>
        <w:rPr>
          <w:rStyle w:val="9"/>
          <w:rFonts w:ascii="微软雅黑" w:hAnsi="微软雅黑" w:eastAsia="微软雅黑" w:cs="微软雅黑"/>
          <w:shd w:val="clear" w:color="080000" w:fill="FFFFFF"/>
        </w:rPr>
      </w:pPr>
      <w:r>
        <w:rPr>
          <w:rStyle w:val="9"/>
          <w:rFonts w:hint="eastAsia" w:ascii="微软雅黑" w:hAnsi="微软雅黑" w:eastAsia="微软雅黑" w:cs="微软雅黑"/>
          <w:color w:val="333333"/>
          <w:shd w:val="clear" w:color="080000" w:fill="FFFFFF"/>
        </w:rPr>
        <w:t>第四部分名词解释</w:t>
      </w:r>
    </w:p>
    <w:p>
      <w:pPr>
        <w:pStyle w:val="10"/>
        <w:spacing w:line="600" w:lineRule="exact"/>
        <w:ind w:firstLine="0" w:firstLineChars="0"/>
        <w:rPr>
          <w:rStyle w:val="9"/>
          <w:rFonts w:ascii="微软雅黑" w:hAnsi="微软雅黑" w:eastAsia="微软雅黑" w:cs="微软雅黑"/>
          <w:b w:val="0"/>
          <w:color w:val="333333"/>
          <w:kern w:val="0"/>
          <w:sz w:val="24"/>
          <w:shd w:val="clear" w:color="080000" w:fill="FFFFFF"/>
        </w:rPr>
      </w:pPr>
      <w:r>
        <w:rPr>
          <w:rStyle w:val="9"/>
          <w:rFonts w:hint="eastAsia" w:ascii="微软雅黑" w:hAnsi="微软雅黑" w:eastAsia="微软雅黑" w:cs="微软雅黑"/>
          <w:b w:val="0"/>
          <w:color w:val="333333"/>
          <w:kern w:val="0"/>
          <w:sz w:val="24"/>
          <w:shd w:val="clear" w:color="080000" w:fill="FFFFFF"/>
        </w:rPr>
        <w:t>（一）财政拨款（补助）：指省级财政当年拨付的资金。</w:t>
      </w:r>
    </w:p>
    <w:p>
      <w:pPr>
        <w:pStyle w:val="10"/>
        <w:spacing w:line="600" w:lineRule="exact"/>
        <w:ind w:firstLine="0" w:firstLineChars="0"/>
        <w:rPr>
          <w:rStyle w:val="9"/>
          <w:rFonts w:ascii="微软雅黑" w:hAnsi="微软雅黑" w:eastAsia="微软雅黑" w:cs="微软雅黑"/>
          <w:b w:val="0"/>
          <w:color w:val="333333"/>
          <w:kern w:val="0"/>
          <w:sz w:val="24"/>
          <w:shd w:val="clear" w:color="080000" w:fill="FFFFFF"/>
        </w:rPr>
      </w:pPr>
      <w:r>
        <w:rPr>
          <w:rStyle w:val="9"/>
          <w:rFonts w:hint="eastAsia" w:ascii="微软雅黑" w:hAnsi="微软雅黑" w:eastAsia="微软雅黑" w:cs="微软雅黑"/>
          <w:b w:val="0"/>
          <w:color w:val="333333"/>
          <w:kern w:val="0"/>
          <w:sz w:val="24"/>
          <w:shd w:val="clear" w:color="080000" w:fill="FFFFFF"/>
        </w:rPr>
        <w:t xml:space="preserve">（二）事业收入：指事业单位开展专业业务活动及其辅助活动取得的收入。 </w:t>
      </w:r>
      <w:r>
        <w:rPr>
          <w:rStyle w:val="9"/>
          <w:rFonts w:hint="eastAsia" w:ascii="微软雅黑" w:hAnsi="微软雅黑" w:eastAsia="微软雅黑" w:cs="微软雅黑"/>
          <w:b w:val="0"/>
          <w:color w:val="333333"/>
          <w:kern w:val="0"/>
          <w:sz w:val="24"/>
          <w:shd w:val="clear" w:color="080000" w:fill="FFFFFF"/>
        </w:rPr>
        <w:br w:type="textWrapping"/>
      </w:r>
      <w:r>
        <w:rPr>
          <w:rStyle w:val="9"/>
          <w:rFonts w:hint="eastAsia" w:ascii="微软雅黑" w:hAnsi="微软雅黑" w:eastAsia="微软雅黑" w:cs="微软雅黑"/>
          <w:b w:val="0"/>
          <w:color w:val="333333"/>
          <w:kern w:val="0"/>
          <w:sz w:val="24"/>
          <w:shd w:val="clear" w:color="080000" w:fill="FFFFFF"/>
        </w:rPr>
        <w:t>（三）其他收入：指预算单位在“财政拨款补助收入”、“事业收入”、“经营收入”以外取得的收入。</w:t>
      </w:r>
    </w:p>
    <w:p>
      <w:pPr>
        <w:pStyle w:val="10"/>
        <w:spacing w:line="600" w:lineRule="exact"/>
        <w:ind w:firstLine="0" w:firstLineChars="0"/>
        <w:rPr>
          <w:rStyle w:val="9"/>
          <w:rFonts w:ascii="微软雅黑" w:hAnsi="微软雅黑" w:eastAsia="微软雅黑" w:cs="微软雅黑"/>
          <w:b w:val="0"/>
          <w:color w:val="333333"/>
          <w:kern w:val="0"/>
          <w:sz w:val="24"/>
          <w:shd w:val="clear" w:color="080000" w:fill="FFFFFF"/>
        </w:rPr>
      </w:pPr>
      <w:r>
        <w:rPr>
          <w:rStyle w:val="9"/>
          <w:rFonts w:hint="eastAsia" w:ascii="微软雅黑" w:hAnsi="微软雅黑" w:eastAsia="微软雅黑" w:cs="微软雅黑"/>
          <w:b w:val="0"/>
          <w:color w:val="333333"/>
          <w:kern w:val="0"/>
          <w:sz w:val="24"/>
          <w:shd w:val="clear" w:color="080000" w:fill="FFFFFF"/>
        </w:rPr>
        <w:t>（四）“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pStyle w:val="10"/>
        <w:spacing w:line="600" w:lineRule="exact"/>
        <w:ind w:firstLine="0" w:firstLineChars="0"/>
        <w:rPr>
          <w:rStyle w:val="9"/>
          <w:rFonts w:ascii="微软雅黑" w:hAnsi="微软雅黑" w:eastAsia="微软雅黑" w:cs="微软雅黑"/>
          <w:b w:val="0"/>
          <w:color w:val="333333"/>
          <w:kern w:val="0"/>
          <w:sz w:val="24"/>
          <w:shd w:val="clear" w:color="080000" w:fill="FFFFFF"/>
        </w:rPr>
      </w:pPr>
      <w:r>
        <w:rPr>
          <w:rStyle w:val="9"/>
          <w:rFonts w:hint="eastAsia" w:ascii="微软雅黑" w:hAnsi="微软雅黑" w:eastAsia="微软雅黑" w:cs="微软雅黑"/>
          <w:b w:val="0"/>
          <w:color w:val="333333"/>
          <w:kern w:val="0"/>
          <w:sz w:val="24"/>
          <w:shd w:val="clear" w:color="080000" w:fill="FFFFFF"/>
        </w:rPr>
        <w:t>（五）行政运行（项）：指机关和实行公务员法管理事业单位用于保障机构正常运转的基本支出。</w:t>
      </w:r>
    </w:p>
    <w:p>
      <w:pPr>
        <w:pStyle w:val="10"/>
        <w:spacing w:line="600" w:lineRule="exact"/>
        <w:ind w:firstLine="0" w:firstLineChars="0"/>
        <w:rPr>
          <w:rStyle w:val="9"/>
          <w:rFonts w:ascii="微软雅黑" w:hAnsi="微软雅黑" w:eastAsia="微软雅黑" w:cs="微软雅黑"/>
          <w:b w:val="0"/>
          <w:color w:val="333333"/>
          <w:kern w:val="0"/>
          <w:sz w:val="24"/>
          <w:shd w:val="clear" w:color="080000" w:fill="FFFFFF"/>
        </w:rPr>
      </w:pPr>
      <w:r>
        <w:rPr>
          <w:rStyle w:val="9"/>
          <w:rFonts w:hint="eastAsia" w:ascii="微软雅黑" w:hAnsi="微软雅黑" w:eastAsia="微软雅黑" w:cs="微软雅黑"/>
          <w:b w:val="0"/>
          <w:color w:val="333333"/>
          <w:kern w:val="0"/>
          <w:sz w:val="24"/>
          <w:shd w:val="clear" w:color="080000" w:fill="FFFFFF"/>
        </w:rPr>
        <w:t>（六）基层事务业务：1、法律援助经费：指办理法律援助案件的案件补贴；2、装备经费：指购买办公所需的电脑、空调、复印机、打印机等办公设施所需的经费；3、社区矫正经费：指我局矫正办管理矫正对象所需的司法E通经费（移动电话监控平台）及日常管理经费；4、普法经费：指普法迎接检查经费及日常办公经费；5、人民调解经费：指办理人民调解案件的案件补贴。</w:t>
      </w:r>
    </w:p>
    <w:p>
      <w:pPr>
        <w:pStyle w:val="10"/>
        <w:spacing w:line="600" w:lineRule="exact"/>
        <w:ind w:firstLine="2400" w:firstLineChars="1000"/>
        <w:rPr>
          <w:rStyle w:val="9"/>
          <w:rFonts w:ascii="微软雅黑" w:hAnsi="微软雅黑" w:eastAsia="微软雅黑" w:cs="微软雅黑"/>
          <w:b w:val="0"/>
          <w:color w:val="333333"/>
          <w:kern w:val="0"/>
          <w:sz w:val="24"/>
          <w:shd w:val="clear" w:color="080000" w:fill="FFFFFF"/>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87C"/>
    <w:rsid w:val="00032DAC"/>
    <w:rsid w:val="00086A3B"/>
    <w:rsid w:val="000B29FA"/>
    <w:rsid w:val="000B7043"/>
    <w:rsid w:val="00167FD4"/>
    <w:rsid w:val="00190ABD"/>
    <w:rsid w:val="001A587C"/>
    <w:rsid w:val="002151A5"/>
    <w:rsid w:val="00226DE8"/>
    <w:rsid w:val="002C6224"/>
    <w:rsid w:val="002E1C4F"/>
    <w:rsid w:val="002F076E"/>
    <w:rsid w:val="00363BA3"/>
    <w:rsid w:val="003950AC"/>
    <w:rsid w:val="003E001E"/>
    <w:rsid w:val="00462DDE"/>
    <w:rsid w:val="004722BA"/>
    <w:rsid w:val="00483C48"/>
    <w:rsid w:val="004F1A72"/>
    <w:rsid w:val="00583D68"/>
    <w:rsid w:val="005C1E14"/>
    <w:rsid w:val="005D5D02"/>
    <w:rsid w:val="005F50F6"/>
    <w:rsid w:val="006362D2"/>
    <w:rsid w:val="0064542C"/>
    <w:rsid w:val="00715305"/>
    <w:rsid w:val="00765CDA"/>
    <w:rsid w:val="0077576E"/>
    <w:rsid w:val="00800243"/>
    <w:rsid w:val="0086467B"/>
    <w:rsid w:val="00904F27"/>
    <w:rsid w:val="00930A0A"/>
    <w:rsid w:val="00965B83"/>
    <w:rsid w:val="009C48FD"/>
    <w:rsid w:val="009D2869"/>
    <w:rsid w:val="009E2959"/>
    <w:rsid w:val="009E31B8"/>
    <w:rsid w:val="00A8400D"/>
    <w:rsid w:val="00AE63CE"/>
    <w:rsid w:val="00B453A3"/>
    <w:rsid w:val="00B75D20"/>
    <w:rsid w:val="00C21D82"/>
    <w:rsid w:val="00C44423"/>
    <w:rsid w:val="00C97ED7"/>
    <w:rsid w:val="00CC5D69"/>
    <w:rsid w:val="00D04558"/>
    <w:rsid w:val="00D07AC4"/>
    <w:rsid w:val="00D86BE9"/>
    <w:rsid w:val="00DF1384"/>
    <w:rsid w:val="00E34C37"/>
    <w:rsid w:val="00E54DDA"/>
    <w:rsid w:val="00E55808"/>
    <w:rsid w:val="00F30F57"/>
    <w:rsid w:val="00F33E81"/>
    <w:rsid w:val="00F40FC6"/>
    <w:rsid w:val="00FE3DEA"/>
    <w:rsid w:val="067C402A"/>
    <w:rsid w:val="216B0A11"/>
    <w:rsid w:val="507575A1"/>
    <w:rsid w:val="5F185741"/>
    <w:rsid w:val="62575C5E"/>
    <w:rsid w:val="6DD85900"/>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ascii="宋体" w:hAnsi="宋体" w:cs="宋体"/>
      <w:b/>
      <w:bCs/>
      <w:sz w:val="27"/>
      <w:szCs w:val="27"/>
    </w:rPr>
  </w:style>
  <w:style w:type="paragraph" w:styleId="3">
    <w:name w:val="heading 5"/>
    <w:basedOn w:val="1"/>
    <w:next w:val="1"/>
    <w:qFormat/>
    <w:uiPriority w:val="0"/>
    <w:pPr>
      <w:spacing w:beforeAutospacing="1" w:afterAutospacing="1"/>
      <w:jc w:val="left"/>
      <w:outlineLvl w:val="4"/>
    </w:pPr>
    <w:rPr>
      <w:rFonts w:hint="eastAsia" w:ascii="宋体" w:hAnsi="宋体" w:cs="宋体"/>
      <w:b/>
      <w:kern w:val="0"/>
      <w:sz w:val="20"/>
      <w:szCs w:val="20"/>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paragraph" w:customStyle="1" w:styleId="10">
    <w:name w:val="正文文本缩进1"/>
    <w:basedOn w:val="1"/>
    <w:qFormat/>
    <w:uiPriority w:val="0"/>
    <w:pPr>
      <w:spacing w:line="500" w:lineRule="exact"/>
      <w:ind w:firstLine="640" w:firstLineChars="200"/>
    </w:pPr>
    <w:rPr>
      <w:rFonts w:ascii="宋体"/>
      <w:sz w:val="32"/>
    </w:rPr>
  </w:style>
  <w:style w:type="paragraph" w:customStyle="1" w:styleId="11">
    <w:name w:val="HTML 地址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
    <w:name w:val="纯文本1"/>
    <w:basedOn w:val="1"/>
    <w:qFormat/>
    <w:uiPriority w:val="0"/>
    <w:rPr>
      <w:rFonts w:ascii="宋体" w:hAnsi="Courier New" w:cs="Courier New"/>
      <w:szCs w:val="21"/>
    </w:rPr>
  </w:style>
  <w:style w:type="paragraph" w:customStyle="1" w:styleId="13">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14">
    <w:name w:val="正文缩进 + 首行缩进:  2 字符"/>
    <w:basedOn w:val="1"/>
    <w:qFormat/>
    <w:uiPriority w:val="0"/>
    <w:pPr>
      <w:spacing w:line="560" w:lineRule="exact"/>
      <w:ind w:firstLine="640"/>
    </w:pPr>
    <w:rPr>
      <w:rFonts w:ascii="仿宋" w:hAnsi="仿宋" w:cs="宋体"/>
      <w:sz w:val="32"/>
      <w:szCs w:val="32"/>
    </w:rPr>
  </w:style>
  <w:style w:type="paragraph" w:customStyle="1" w:styleId="15">
    <w:name w:val="列出段落1"/>
    <w:basedOn w:val="1"/>
    <w:qFormat/>
    <w:uiPriority w:val="0"/>
    <w:pPr>
      <w:ind w:firstLine="420" w:firstLineChars="200"/>
    </w:pPr>
    <w:rPr>
      <w:rFonts w:eastAsia="仿宋_GB2312"/>
      <w:sz w:val="32"/>
      <w:szCs w:val="22"/>
    </w:rPr>
  </w:style>
  <w:style w:type="character" w:customStyle="1" w:styleId="16">
    <w:name w:val="ca-2"/>
    <w:basedOn w:val="8"/>
    <w:qFormat/>
    <w:uiPriority w:val="0"/>
  </w:style>
  <w:style w:type="paragraph" w:styleId="17">
    <w:name w:val="List Paragraph"/>
    <w:basedOn w:val="1"/>
    <w:qFormat/>
    <w:uiPriority w:val="34"/>
    <w:pPr>
      <w:ind w:firstLine="420" w:firstLineChars="200"/>
    </w:pPr>
    <w:rPr>
      <w:rFonts w:eastAsia="仿宋_GB2312"/>
      <w:sz w:val="3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409777-6FDD-4091-A707-1E4C912BB045}">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Pages>
  <Words>2493</Words>
  <Characters>14214</Characters>
  <Lines>118</Lines>
  <Paragraphs>33</Paragraphs>
  <TotalTime>0</TotalTime>
  <ScaleCrop>false</ScaleCrop>
  <LinksUpToDate>false</LinksUpToDate>
  <CharactersWithSpaces>16674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gg</dc:creator>
  <cp:lastModifiedBy>盼</cp:lastModifiedBy>
  <cp:lastPrinted>2021-09-01T08:06:00Z</cp:lastPrinted>
  <dcterms:modified xsi:type="dcterms:W3CDTF">2021-09-15T02:53:07Z</dcterms:modified>
  <dc:title>asd</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