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lang w:eastAsia="zh-CN"/>
        </w:rPr>
        <w:t>沈家营</w:t>
      </w:r>
      <w:r>
        <w:rPr>
          <w:rFonts w:hint="eastAsia" w:ascii="微软雅黑" w:hAnsi="微软雅黑" w:eastAsia="微软雅黑" w:cs="微软雅黑"/>
          <w:color w:val="BC1010"/>
          <w:sz w:val="40"/>
          <w:szCs w:val="40"/>
          <w:shd w:val="clear" w:color="auto" w:fill="FFFFFF"/>
        </w:rPr>
        <w:t>街办</w:t>
      </w:r>
      <w:r>
        <w:rPr>
          <w:rFonts w:hint="eastAsia" w:ascii="微软雅黑" w:hAnsi="微软雅黑" w:eastAsia="微软雅黑" w:cs="微软雅黑"/>
          <w:color w:val="BC1010"/>
          <w:sz w:val="40"/>
          <w:szCs w:val="40"/>
          <w:shd w:val="clear" w:color="auto" w:fill="FFFFFF"/>
          <w:lang w:eastAsia="zh-CN"/>
        </w:rPr>
        <w:t>2019年</w:t>
      </w:r>
      <w:r>
        <w:rPr>
          <w:rFonts w:hint="eastAsia" w:ascii="微软雅黑" w:hAnsi="微软雅黑" w:eastAsia="微软雅黑" w:cs="微软雅黑"/>
          <w:color w:val="BC1010"/>
          <w:sz w:val="40"/>
          <w:szCs w:val="40"/>
          <w:shd w:val="clear" w:color="auto" w:fill="FFFFFF"/>
        </w:rPr>
        <w:t>决算公开</w:t>
      </w:r>
    </w:p>
    <w:p>
      <w:pPr>
        <w:pStyle w:val="5"/>
        <w:widowControl/>
        <w:spacing w:before="76" w:beforeAutospacing="0" w:after="76" w:afterAutospacing="0" w:line="450" w:lineRule="atLeast"/>
        <w:ind w:firstLine="420"/>
        <w:jc w:val="center"/>
        <w:rPr>
          <w:color w:val="333333"/>
        </w:rPr>
      </w:pPr>
      <w:r>
        <w:rPr>
          <w:rStyle w:val="9"/>
          <w:rFonts w:hint="eastAsia" w:ascii="微软雅黑" w:hAnsi="微软雅黑" w:eastAsia="微软雅黑" w:cs="微软雅黑"/>
          <w:color w:val="333333"/>
          <w:shd w:val="clear" w:color="auto" w:fill="FFFFFF"/>
        </w:rPr>
        <w:t>黄石港区</w:t>
      </w:r>
      <w:r>
        <w:rPr>
          <w:rStyle w:val="9"/>
          <w:rFonts w:hint="eastAsia" w:ascii="微软雅黑" w:hAnsi="微软雅黑" w:eastAsia="微软雅黑" w:cs="微软雅黑"/>
          <w:color w:val="333333"/>
          <w:shd w:val="clear" w:color="auto" w:fill="FFFFFF"/>
          <w:lang w:eastAsia="zh-CN"/>
        </w:rPr>
        <w:t>沈家营</w:t>
      </w:r>
      <w:r>
        <w:rPr>
          <w:rStyle w:val="9"/>
          <w:rFonts w:hint="eastAsia" w:ascii="微软雅黑" w:hAnsi="微软雅黑" w:eastAsia="微软雅黑" w:cs="微软雅黑"/>
          <w:color w:val="333333"/>
          <w:shd w:val="clear" w:color="auto" w:fill="FFFFFF"/>
        </w:rPr>
        <w:t>街办</w:t>
      </w:r>
      <w:r>
        <w:rPr>
          <w:rStyle w:val="9"/>
          <w:rFonts w:hint="eastAsia" w:ascii="微软雅黑" w:hAnsi="微软雅黑" w:eastAsia="微软雅黑" w:cs="微软雅黑"/>
          <w:color w:val="333333"/>
          <w:shd w:val="clear" w:color="auto" w:fill="FFFFFF"/>
          <w:lang w:eastAsia="zh-CN"/>
        </w:rPr>
        <w:t>2019年</w:t>
      </w:r>
      <w:r>
        <w:rPr>
          <w:rStyle w:val="9"/>
          <w:rFonts w:hint="eastAsia" w:ascii="微软雅黑" w:hAnsi="微软雅黑" w:eastAsia="微软雅黑" w:cs="微软雅黑"/>
          <w:color w:val="333333"/>
          <w:shd w:val="clear" w:color="auto" w:fill="FFFFFF"/>
        </w:rPr>
        <w:t>决算公开</w:t>
      </w:r>
    </w:p>
    <w:p>
      <w:pPr>
        <w:pStyle w:val="5"/>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w:t>
      </w:r>
      <w:r>
        <w:rPr>
          <w:rFonts w:ascii="Microsoft YaHei Western" w:hAnsi="Microsoft YaHei Western" w:eastAsia="微软雅黑" w:cs="Microsoft YaHei Western"/>
          <w:color w:val="333333"/>
          <w:shd w:val="clear" w:color="auto" w:fill="FFFFFF"/>
        </w:rPr>
        <w:t xml:space="preserve">  </w:t>
      </w:r>
      <w:r>
        <w:rPr>
          <w:rFonts w:hint="eastAsia" w:ascii="微软雅黑" w:hAnsi="微软雅黑" w:eastAsia="微软雅黑" w:cs="微软雅黑"/>
          <w:color w:val="333333"/>
          <w:shd w:val="clear" w:color="auto" w:fill="FFFFFF"/>
        </w:rPr>
        <w:t>录</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第一部分</w:t>
      </w:r>
      <w:r>
        <w:rPr>
          <w:rFonts w:ascii="微软雅黑" w:hAnsi="微软雅黑" w:eastAsia="微软雅黑" w:cs="微软雅黑"/>
          <w:color w:val="333333"/>
          <w:shd w:val="clear" w:color="auto" w:fill="FFFFFF"/>
        </w:rPr>
        <w:t>:</w:t>
      </w:r>
      <w:r>
        <w:rPr>
          <w:rFonts w:hint="eastAsia" w:ascii="微软雅黑" w:hAnsi="微软雅黑" w:eastAsia="微软雅黑" w:cs="微软雅黑"/>
          <w:color w:val="333333"/>
          <w:shd w:val="clear" w:color="auto" w:fill="FFFFFF"/>
        </w:rPr>
        <w:t>部门基本情况</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一、部门主要职责</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二、部门决算单位构成</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第二部分</w:t>
      </w:r>
      <w:r>
        <w:rPr>
          <w:rFonts w:ascii="微软雅黑" w:hAnsi="微软雅黑" w:eastAsia="微软雅黑" w:cs="微软雅黑"/>
          <w:color w:val="333333"/>
          <w:shd w:val="clear" w:color="auto" w:fill="FFFFFF"/>
        </w:rPr>
        <w:t xml:space="preserve">: </w:t>
      </w:r>
      <w:r>
        <w:rPr>
          <w:rFonts w:hint="eastAsia" w:ascii="微软雅黑" w:hAnsi="微软雅黑" w:eastAsia="微软雅黑" w:cs="微软雅黑"/>
          <w:color w:val="333333"/>
          <w:shd w:val="clear" w:color="auto" w:fill="FFFFFF"/>
        </w:rPr>
        <w:t>部门</w:t>
      </w:r>
      <w:r>
        <w:rPr>
          <w:rFonts w:hint="eastAsia" w:ascii="微软雅黑" w:hAnsi="微软雅黑" w:eastAsia="微软雅黑" w:cs="微软雅黑"/>
          <w:color w:val="333333"/>
          <w:shd w:val="clear" w:color="auto" w:fill="FFFFFF"/>
          <w:lang w:eastAsia="zh-CN"/>
        </w:rPr>
        <w:t>2019年</w:t>
      </w:r>
      <w:r>
        <w:rPr>
          <w:rFonts w:hint="eastAsia" w:ascii="微软雅黑" w:hAnsi="微软雅黑" w:eastAsia="微软雅黑" w:cs="微软雅黑"/>
          <w:color w:val="333333"/>
          <w:shd w:val="clear" w:color="auto" w:fill="FFFFFF"/>
        </w:rPr>
        <w:t>部门决算表</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一、收入支出决算总表（表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二、收入决算表（表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三、支出决算表（表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四、财政拨款收入支出决算总表（表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五、一般公共预算财政拨款支出决算表（表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六、一般公共预算财政拨款基本支出决算表（表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七、一般公共预算财政拨款“三公”经费支出决算表（表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第三部分：部门</w:t>
      </w:r>
      <w:r>
        <w:rPr>
          <w:rFonts w:hint="eastAsia" w:ascii="微软雅黑" w:hAnsi="微软雅黑" w:eastAsia="微软雅黑" w:cs="微软雅黑"/>
          <w:color w:val="333333"/>
          <w:shd w:val="clear" w:color="auto" w:fill="FFFFFF"/>
          <w:lang w:eastAsia="zh-CN"/>
        </w:rPr>
        <w:t>2019年</w:t>
      </w:r>
      <w:r>
        <w:rPr>
          <w:rFonts w:hint="eastAsia" w:ascii="微软雅黑" w:hAnsi="微软雅黑" w:eastAsia="微软雅黑" w:cs="微软雅黑"/>
          <w:color w:val="333333"/>
          <w:shd w:val="clear" w:color="auto" w:fill="FFFFFF"/>
        </w:rPr>
        <w:t>部门决算情况说明</w:t>
      </w:r>
    </w:p>
    <w:p>
      <w:pPr>
        <w:pStyle w:val="5"/>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一、预算执行情况分析</w:t>
      </w:r>
    </w:p>
    <w:p>
      <w:pPr>
        <w:pStyle w:val="5"/>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二、关于“三公”经费支出说明</w:t>
      </w:r>
    </w:p>
    <w:p>
      <w:pPr>
        <w:pStyle w:val="5"/>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三、关于机关运行经费支出说明</w:t>
      </w:r>
    </w:p>
    <w:p>
      <w:pPr>
        <w:pStyle w:val="5"/>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四、关于政府采购支出说明</w:t>
      </w:r>
    </w:p>
    <w:p>
      <w:pPr>
        <w:pStyle w:val="5"/>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五、关于国有资产占用情况说明</w:t>
      </w:r>
    </w:p>
    <w:p>
      <w:pPr>
        <w:pStyle w:val="5"/>
        <w:widowControl/>
        <w:spacing w:before="76" w:beforeAutospacing="0" w:after="76" w:afterAutospacing="0" w:line="450" w:lineRule="atLeast"/>
        <w:ind w:firstLine="420"/>
        <w:rPr>
          <w:rFonts w:hint="eastAsia" w:ascii="Microsoft YaHei Western" w:hAnsi="Microsoft YaHei Western" w:eastAsia="微软雅黑" w:cs="Microsoft YaHei Western"/>
          <w:color w:val="333333"/>
          <w:shd w:val="clear" w:color="auto" w:fill="FFFFFF"/>
        </w:rPr>
      </w:pPr>
      <w:r>
        <w:rPr>
          <w:rFonts w:hint="eastAsia" w:ascii="微软雅黑" w:hAnsi="微软雅黑" w:eastAsia="微软雅黑" w:cs="微软雅黑"/>
          <w:color w:val="333333"/>
          <w:shd w:val="clear" w:color="auto" w:fill="FFFFFF"/>
        </w:rPr>
        <w:t>第四部分：名词解释</w:t>
      </w:r>
      <w:r>
        <w:rPr>
          <w:rFonts w:ascii="Microsoft YaHei Western" w:hAnsi="Microsoft YaHei Western" w:eastAsia="微软雅黑" w:cs="Microsoft YaHei Western"/>
          <w:color w:val="333333"/>
          <w:shd w:val="clear" w:color="auto" w:fill="FFFFFF"/>
        </w:rPr>
        <w:t> </w:t>
      </w:r>
    </w:p>
    <w:p>
      <w:pPr>
        <w:pStyle w:val="5"/>
        <w:widowControl/>
        <w:spacing w:before="76" w:beforeAutospacing="0" w:after="76" w:afterAutospacing="0" w:line="450" w:lineRule="atLeast"/>
        <w:ind w:firstLine="420"/>
        <w:rPr>
          <w:rFonts w:hint="eastAsia"/>
          <w:color w:val="333333"/>
        </w:rPr>
      </w:pPr>
    </w:p>
    <w:p>
      <w:pPr>
        <w:pStyle w:val="5"/>
        <w:widowControl/>
        <w:spacing w:before="76" w:beforeAutospacing="0" w:after="76" w:afterAutospacing="0" w:line="450" w:lineRule="atLeast"/>
        <w:ind w:firstLine="420"/>
        <w:jc w:val="center"/>
        <w:rPr>
          <w:rStyle w:val="9"/>
          <w:rFonts w:hint="eastAsia" w:ascii="微软雅黑" w:hAnsi="微软雅黑" w:eastAsia="微软雅黑" w:cs="微软雅黑"/>
          <w:color w:val="333333"/>
          <w:shd w:val="clear" w:color="auto" w:fill="FFFFFF"/>
          <w:lang w:eastAsia="zh-CN"/>
        </w:rPr>
      </w:pPr>
    </w:p>
    <w:p>
      <w:pPr>
        <w:pStyle w:val="5"/>
        <w:widowControl/>
        <w:spacing w:before="76" w:beforeAutospacing="0" w:after="76" w:afterAutospacing="0" w:line="450" w:lineRule="atLeast"/>
        <w:ind w:firstLine="420"/>
        <w:jc w:val="center"/>
        <w:rPr>
          <w:color w:val="333333"/>
        </w:rPr>
      </w:pPr>
      <w:r>
        <w:rPr>
          <w:rStyle w:val="9"/>
          <w:rFonts w:hint="eastAsia" w:ascii="微软雅黑" w:hAnsi="微软雅黑" w:eastAsia="微软雅黑" w:cs="微软雅黑"/>
          <w:color w:val="333333"/>
          <w:shd w:val="clear" w:color="auto" w:fill="FFFFFF"/>
          <w:lang w:eastAsia="zh-CN"/>
        </w:rPr>
        <w:t>2019年</w:t>
      </w:r>
      <w:r>
        <w:rPr>
          <w:rStyle w:val="9"/>
          <w:rFonts w:hint="eastAsia" w:ascii="微软雅黑" w:hAnsi="微软雅黑" w:eastAsia="微软雅黑" w:cs="微软雅黑"/>
          <w:color w:val="333333"/>
          <w:shd w:val="clear" w:color="auto" w:fill="FFFFFF"/>
        </w:rPr>
        <w:t>部门决算</w:t>
      </w:r>
    </w:p>
    <w:p>
      <w:pPr>
        <w:pStyle w:val="5"/>
        <w:widowControl/>
        <w:spacing w:before="76" w:beforeAutospacing="0" w:after="76" w:afterAutospacing="0" w:line="450" w:lineRule="atLeast"/>
        <w:ind w:firstLine="420"/>
        <w:rPr>
          <w:color w:val="333333"/>
        </w:rPr>
      </w:pPr>
      <w:r>
        <w:rPr>
          <w:rStyle w:val="9"/>
          <w:rFonts w:hint="eastAsia" w:ascii="微软雅黑" w:hAnsi="微软雅黑" w:eastAsia="微软雅黑" w:cs="微软雅黑"/>
          <w:color w:val="333333"/>
          <w:shd w:val="clear" w:color="auto" w:fill="FFFFFF"/>
        </w:rPr>
        <w:t>第一部分</w:t>
      </w:r>
      <w:r>
        <w:rPr>
          <w:rStyle w:val="9"/>
          <w:rFonts w:ascii="微软雅黑" w:hAnsi="微软雅黑" w:eastAsia="微软雅黑" w:cs="微软雅黑"/>
          <w:color w:val="333333"/>
          <w:shd w:val="clear" w:color="auto" w:fill="FFFFFF"/>
        </w:rPr>
        <w:t xml:space="preserve"> </w:t>
      </w:r>
      <w:r>
        <w:rPr>
          <w:rStyle w:val="9"/>
          <w:rFonts w:hint="eastAsia" w:ascii="微软雅黑" w:hAnsi="微软雅黑" w:eastAsia="微软雅黑" w:cs="微软雅黑"/>
          <w:color w:val="333333"/>
          <w:shd w:val="clear" w:color="auto" w:fill="FFFFFF"/>
        </w:rPr>
        <w:t>部门概况</w:t>
      </w:r>
    </w:p>
    <w:p>
      <w:pPr>
        <w:snapToGrid w:val="0"/>
        <w:spacing w:line="520" w:lineRule="exact"/>
        <w:ind w:firstLine="560"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（一）基本职能</w:t>
      </w:r>
    </w:p>
    <w:p>
      <w:pPr>
        <w:widowControl/>
        <w:shd w:val="clear" w:color="auto" w:fill="FFFFFF"/>
        <w:ind w:firstLine="560" w:firstLineChars="200"/>
        <w:jc w:val="left"/>
        <w:rPr>
          <w:rFonts w:hint="eastAsia" w:asciiTheme="minorEastAsia" w:hAnsiTheme="minorEastAsia" w:eastAsiaTheme="minorEastAsia" w:cstheme="minorEastAsia"/>
          <w:b w:val="0"/>
          <w:bCs w:val="0"/>
          <w:color w:val="333333"/>
          <w:kern w:val="0"/>
          <w:sz w:val="28"/>
          <w:szCs w:val="28"/>
        </w:rPr>
      </w:pPr>
      <w:r>
        <w:rPr>
          <w:rFonts w:hint="eastAsia" w:asciiTheme="minorEastAsia" w:hAnsiTheme="minorEastAsia" w:eastAsiaTheme="minorEastAsia" w:cstheme="minorEastAsia"/>
          <w:sz w:val="28"/>
          <w:szCs w:val="28"/>
        </w:rPr>
        <w:t>黄石市黄石港区</w:t>
      </w:r>
      <w:r>
        <w:rPr>
          <w:rFonts w:hint="eastAsia" w:asciiTheme="minorEastAsia" w:hAnsiTheme="minorEastAsia" w:eastAsiaTheme="minorEastAsia" w:cstheme="minorEastAsia"/>
          <w:sz w:val="28"/>
          <w:szCs w:val="28"/>
          <w:lang w:eastAsia="zh-CN"/>
        </w:rPr>
        <w:t>沈家营</w:t>
      </w:r>
      <w:r>
        <w:rPr>
          <w:rFonts w:hint="eastAsia" w:asciiTheme="minorEastAsia" w:hAnsiTheme="minorEastAsia" w:eastAsiaTheme="minorEastAsia" w:cstheme="minorEastAsia"/>
          <w:sz w:val="28"/>
          <w:szCs w:val="28"/>
        </w:rPr>
        <w:t>街道办事处是黄石港区人民政府的派出机关，受区人民政府领导，依据法律、法规的规定，</w:t>
      </w:r>
      <w:r>
        <w:rPr>
          <w:rFonts w:hint="eastAsia" w:asciiTheme="minorEastAsia" w:hAnsiTheme="minorEastAsia" w:eastAsiaTheme="minorEastAsia" w:cstheme="minorEastAsia"/>
          <w:b w:val="0"/>
          <w:bCs w:val="0"/>
          <w:sz w:val="28"/>
          <w:szCs w:val="28"/>
        </w:rPr>
        <w:t>在本辖区内行使相应的政府管理职能。</w:t>
      </w:r>
    </w:p>
    <w:p>
      <w:pPr>
        <w:numPr>
          <w:ilvl w:val="0"/>
          <w:numId w:val="1"/>
        </w:numPr>
        <w:snapToGrid w:val="0"/>
        <w:spacing w:line="520" w:lineRule="exact"/>
        <w:ind w:firstLine="560" w:firstLineChars="200"/>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机构设置</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公共服务中心、经济服务中心、城市建设管理中心、综合办、法治办、司法所</w:t>
      </w:r>
      <w:r>
        <w:rPr>
          <w:rFonts w:hint="eastAsia" w:asciiTheme="minorEastAsia" w:hAnsiTheme="minorEastAsia" w:eastAsiaTheme="minorEastAsia" w:cstheme="minorEastAsia"/>
          <w:sz w:val="28"/>
          <w:szCs w:val="28"/>
          <w:lang w:eastAsia="zh-CN"/>
        </w:rPr>
        <w:t>、沈家营城管中队</w:t>
      </w:r>
      <w:r>
        <w:rPr>
          <w:rFonts w:hint="eastAsia" w:asciiTheme="minorEastAsia" w:hAnsiTheme="minorEastAsia" w:eastAsiaTheme="minorEastAsia" w:cstheme="minorEastAsia"/>
          <w:sz w:val="28"/>
          <w:szCs w:val="28"/>
        </w:rPr>
        <w:t>。</w:t>
      </w:r>
    </w:p>
    <w:p>
      <w:pPr>
        <w:ind w:firstLine="560" w:firstLineChars="200"/>
        <w:rPr>
          <w:rFonts w:hint="eastAsia" w:ascii="宋体" w:hAnsi="宋体" w:cs="宋体"/>
          <w:sz w:val="28"/>
          <w:szCs w:val="28"/>
        </w:rPr>
      </w:pPr>
    </w:p>
    <w:p>
      <w:pPr>
        <w:ind w:firstLine="560" w:firstLineChars="200"/>
        <w:rPr>
          <w:rFonts w:hint="eastAsia" w:ascii="宋体" w:hAnsi="宋体" w:cs="宋体"/>
          <w:sz w:val="28"/>
          <w:szCs w:val="28"/>
        </w:rPr>
      </w:pPr>
    </w:p>
    <w:p>
      <w:pPr>
        <w:ind w:firstLine="560" w:firstLineChars="200"/>
        <w:rPr>
          <w:rFonts w:hint="eastAsia" w:ascii="宋体" w:hAnsi="宋体" w:cs="宋体"/>
          <w:sz w:val="28"/>
          <w:szCs w:val="28"/>
        </w:rPr>
      </w:pPr>
    </w:p>
    <w:p>
      <w:pPr>
        <w:ind w:firstLine="560" w:firstLineChars="200"/>
        <w:rPr>
          <w:rFonts w:hint="eastAsia" w:ascii="宋体" w:hAnsi="宋体" w:cs="宋体"/>
          <w:sz w:val="28"/>
          <w:szCs w:val="28"/>
        </w:rPr>
      </w:pPr>
    </w:p>
    <w:p>
      <w:pPr>
        <w:pStyle w:val="5"/>
        <w:widowControl/>
        <w:spacing w:before="76" w:beforeAutospacing="0" w:after="76" w:afterAutospacing="0" w:line="450" w:lineRule="atLeast"/>
        <w:rPr>
          <w:rStyle w:val="9"/>
          <w:rFonts w:hint="eastAsia" w:ascii="微软雅黑" w:hAnsi="微软雅黑" w:eastAsia="微软雅黑" w:cs="微软雅黑"/>
          <w:color w:val="333333"/>
          <w:shd w:val="clear" w:color="auto" w:fill="FFFFFF"/>
        </w:rPr>
      </w:pPr>
    </w:p>
    <w:p>
      <w:pPr>
        <w:pStyle w:val="5"/>
        <w:widowControl/>
        <w:spacing w:before="76" w:beforeAutospacing="0" w:after="76" w:afterAutospacing="0" w:line="450" w:lineRule="atLeast"/>
        <w:rPr>
          <w:rStyle w:val="9"/>
          <w:rFonts w:hint="eastAsia" w:ascii="微软雅黑" w:hAnsi="微软雅黑" w:eastAsia="微软雅黑" w:cs="微软雅黑"/>
          <w:color w:val="333333"/>
          <w:shd w:val="clear" w:color="auto" w:fill="FFFFFF"/>
        </w:rPr>
      </w:pPr>
    </w:p>
    <w:p>
      <w:pPr>
        <w:pStyle w:val="5"/>
        <w:widowControl/>
        <w:spacing w:before="76" w:beforeAutospacing="0" w:after="76" w:afterAutospacing="0" w:line="450" w:lineRule="atLeast"/>
        <w:ind w:firstLine="420"/>
        <w:rPr>
          <w:rFonts w:hint="eastAsia"/>
        </w:rPr>
      </w:pPr>
      <w:r>
        <w:rPr>
          <w:rStyle w:val="9"/>
          <w:rFonts w:hint="eastAsia" w:ascii="微软雅黑" w:hAnsi="微软雅黑" w:eastAsia="微软雅黑" w:cs="微软雅黑"/>
          <w:color w:val="333333"/>
          <w:shd w:val="clear" w:color="auto" w:fill="FFFFFF"/>
        </w:rPr>
        <w:t>第二部分</w:t>
      </w:r>
      <w:r>
        <w:rPr>
          <w:rStyle w:val="9"/>
          <w:rFonts w:ascii="微软雅黑" w:hAnsi="微软雅黑" w:eastAsia="微软雅黑" w:cs="微软雅黑"/>
          <w:color w:val="333333"/>
          <w:shd w:val="clear" w:color="auto" w:fill="FFFFFF"/>
        </w:rPr>
        <w:t xml:space="preserve"> </w:t>
      </w:r>
      <w:r>
        <w:rPr>
          <w:rStyle w:val="9"/>
          <w:rFonts w:hint="eastAsia" w:ascii="微软雅黑" w:hAnsi="微软雅黑" w:eastAsia="微软雅黑" w:cs="微软雅黑"/>
          <w:color w:val="333333"/>
          <w:shd w:val="clear" w:color="auto" w:fill="FFFFFF"/>
          <w:lang w:eastAsia="zh-CN"/>
        </w:rPr>
        <w:t>2019年</w:t>
      </w:r>
      <w:r>
        <w:rPr>
          <w:rStyle w:val="9"/>
          <w:rFonts w:hint="eastAsia" w:ascii="微软雅黑" w:hAnsi="微软雅黑" w:eastAsia="微软雅黑" w:cs="微软雅黑"/>
          <w:color w:val="333333"/>
          <w:shd w:val="clear" w:color="auto" w:fill="FFFFFF"/>
        </w:rPr>
        <w:t>部门决算表</w:t>
      </w:r>
    </w:p>
    <w:tbl>
      <w:tblPr>
        <w:tblStyle w:val="6"/>
        <w:tblW w:w="14185" w:type="dxa"/>
        <w:tblInd w:w="0" w:type="dxa"/>
        <w:shd w:val="clear" w:color="auto" w:fill="auto"/>
        <w:tblLayout w:type="fixed"/>
        <w:tblCellMar>
          <w:top w:w="0" w:type="dxa"/>
          <w:left w:w="0" w:type="dxa"/>
          <w:bottom w:w="0" w:type="dxa"/>
          <w:right w:w="0" w:type="dxa"/>
        </w:tblCellMar>
      </w:tblPr>
      <w:tblGrid>
        <w:gridCol w:w="142"/>
        <w:gridCol w:w="328"/>
        <w:gridCol w:w="329"/>
        <w:gridCol w:w="329"/>
        <w:gridCol w:w="496"/>
        <w:gridCol w:w="1155"/>
        <w:gridCol w:w="566"/>
        <w:gridCol w:w="784"/>
        <w:gridCol w:w="621"/>
        <w:gridCol w:w="697"/>
        <w:gridCol w:w="482"/>
        <w:gridCol w:w="90"/>
        <w:gridCol w:w="1650"/>
        <w:gridCol w:w="119"/>
        <w:gridCol w:w="248"/>
        <w:gridCol w:w="8"/>
        <w:gridCol w:w="558"/>
        <w:gridCol w:w="327"/>
        <w:gridCol w:w="1050"/>
        <w:gridCol w:w="270"/>
        <w:gridCol w:w="237"/>
        <w:gridCol w:w="528"/>
        <w:gridCol w:w="480"/>
        <w:gridCol w:w="324"/>
        <w:gridCol w:w="105"/>
        <w:gridCol w:w="467"/>
        <w:gridCol w:w="226"/>
        <w:gridCol w:w="153"/>
        <w:gridCol w:w="105"/>
        <w:gridCol w:w="971"/>
        <w:gridCol w:w="143"/>
        <w:gridCol w:w="26"/>
        <w:gridCol w:w="171"/>
      </w:tblGrid>
      <w:tr>
        <w:tblPrEx>
          <w:shd w:val="clear" w:color="auto" w:fill="auto"/>
          <w:tblCellMar>
            <w:top w:w="0" w:type="dxa"/>
            <w:left w:w="0" w:type="dxa"/>
            <w:bottom w:w="0" w:type="dxa"/>
            <w:right w:w="0" w:type="dxa"/>
          </w:tblCellMar>
        </w:tblPrEx>
        <w:trPr>
          <w:trHeight w:val="534" w:hRule="atLeast"/>
        </w:trPr>
        <w:tc>
          <w:tcPr>
            <w:tcW w:w="14185" w:type="dxa"/>
            <w:gridSpan w:val="33"/>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30"/>
                <w:szCs w:val="30"/>
                <w:u w:val="none"/>
                <w:lang w:val="en-US" w:eastAsia="zh-CN" w:bidi="ar"/>
              </w:rPr>
              <w:t>收入支出决算总表</w:t>
            </w:r>
          </w:p>
        </w:tc>
      </w:tr>
      <w:tr>
        <w:tblPrEx>
          <w:tblCellMar>
            <w:top w:w="0" w:type="dxa"/>
            <w:left w:w="0" w:type="dxa"/>
            <w:bottom w:w="0" w:type="dxa"/>
            <w:right w:w="0" w:type="dxa"/>
          </w:tblCellMar>
        </w:tblPrEx>
        <w:trPr>
          <w:trHeight w:val="300" w:hRule="atLeast"/>
        </w:trPr>
        <w:tc>
          <w:tcPr>
            <w:tcW w:w="5447" w:type="dxa"/>
            <w:gridSpan w:val="10"/>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72"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69"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30" w:type="dxa"/>
            <w:gridSpan w:val="10"/>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72"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95" w:type="dxa"/>
            <w:gridSpan w:val="7"/>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公开01表</w:t>
            </w:r>
          </w:p>
        </w:tc>
      </w:tr>
      <w:tr>
        <w:tblPrEx>
          <w:tblCellMar>
            <w:top w:w="0" w:type="dxa"/>
            <w:left w:w="0" w:type="dxa"/>
            <w:bottom w:w="0" w:type="dxa"/>
            <w:right w:w="0" w:type="dxa"/>
          </w:tblCellMar>
        </w:tblPrEx>
        <w:trPr>
          <w:trHeight w:val="300" w:hRule="atLeast"/>
        </w:trPr>
        <w:tc>
          <w:tcPr>
            <w:tcW w:w="5447" w:type="dxa"/>
            <w:gridSpan w:val="10"/>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部门：黄石市黄石港区沈家营街道办事处</w:t>
            </w:r>
          </w:p>
        </w:tc>
        <w:tc>
          <w:tcPr>
            <w:tcW w:w="572"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69"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4030" w:type="dxa"/>
            <w:gridSpan w:val="10"/>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2"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95" w:type="dxa"/>
            <w:gridSpan w:val="7"/>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CellMar>
            <w:top w:w="0" w:type="dxa"/>
            <w:left w:w="0" w:type="dxa"/>
            <w:bottom w:w="0" w:type="dxa"/>
            <w:right w:w="0" w:type="dxa"/>
          </w:tblCellMar>
        </w:tblPrEx>
        <w:trPr>
          <w:trHeight w:val="300" w:hRule="atLeast"/>
        </w:trPr>
        <w:tc>
          <w:tcPr>
            <w:tcW w:w="7788" w:type="dxa"/>
            <w:gridSpan w:val="1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6397" w:type="dxa"/>
            <w:gridSpan w:val="19"/>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CellMar>
            <w:top w:w="0" w:type="dxa"/>
            <w:left w:w="0" w:type="dxa"/>
            <w:bottom w:w="0" w:type="dxa"/>
            <w:right w:w="0" w:type="dxa"/>
          </w:tblCellMar>
        </w:tblPrEx>
        <w:trPr>
          <w:trHeight w:val="300" w:hRule="atLeast"/>
        </w:trPr>
        <w:tc>
          <w:tcPr>
            <w:tcW w:w="5447" w:type="dxa"/>
            <w:gridSpan w:val="10"/>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7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795" w:type="dxa"/>
            <w:gridSpan w:val="7"/>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r>
      <w:tr>
        <w:tblPrEx>
          <w:tblCellMar>
            <w:top w:w="0" w:type="dxa"/>
            <w:left w:w="0" w:type="dxa"/>
            <w:bottom w:w="0" w:type="dxa"/>
            <w:right w:w="0" w:type="dxa"/>
          </w:tblCellMar>
        </w:tblPrEx>
        <w:trPr>
          <w:trHeight w:val="300" w:hRule="atLeast"/>
        </w:trPr>
        <w:tc>
          <w:tcPr>
            <w:tcW w:w="5447" w:type="dxa"/>
            <w:gridSpan w:val="10"/>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95" w:type="dxa"/>
            <w:gridSpan w:val="7"/>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300" w:hRule="atLeast"/>
        </w:trPr>
        <w:tc>
          <w:tcPr>
            <w:tcW w:w="5447" w:type="dxa"/>
            <w:gridSpan w:val="10"/>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一、一般公共预算财政拨款收入</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16,057,286.94</w:t>
            </w: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795" w:type="dxa"/>
            <w:gridSpan w:val="7"/>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1,153,352.90</w:t>
            </w:r>
          </w:p>
        </w:tc>
      </w:tr>
      <w:tr>
        <w:tblPrEx>
          <w:tblCellMar>
            <w:top w:w="0" w:type="dxa"/>
            <w:left w:w="0" w:type="dxa"/>
            <w:bottom w:w="0" w:type="dxa"/>
            <w:right w:w="0" w:type="dxa"/>
          </w:tblCellMar>
        </w:tblPrEx>
        <w:trPr>
          <w:trHeight w:val="300" w:hRule="atLeast"/>
        </w:trPr>
        <w:tc>
          <w:tcPr>
            <w:tcW w:w="5447" w:type="dxa"/>
            <w:gridSpan w:val="10"/>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二、政府性基金预算财政拨款收入</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795" w:type="dxa"/>
            <w:gridSpan w:val="7"/>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447" w:type="dxa"/>
            <w:gridSpan w:val="10"/>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三、上级补助收入</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795" w:type="dxa"/>
            <w:gridSpan w:val="7"/>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447" w:type="dxa"/>
            <w:gridSpan w:val="10"/>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四、事业收入</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795" w:type="dxa"/>
            <w:gridSpan w:val="7"/>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447" w:type="dxa"/>
            <w:gridSpan w:val="10"/>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五、经营收入</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795" w:type="dxa"/>
            <w:gridSpan w:val="7"/>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447" w:type="dxa"/>
            <w:gridSpan w:val="10"/>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六、附属单位上缴收入</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795" w:type="dxa"/>
            <w:gridSpan w:val="7"/>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100,000.00</w:t>
            </w:r>
          </w:p>
        </w:tc>
      </w:tr>
      <w:tr>
        <w:tblPrEx>
          <w:tblCellMar>
            <w:top w:w="0" w:type="dxa"/>
            <w:left w:w="0" w:type="dxa"/>
            <w:bottom w:w="0" w:type="dxa"/>
            <w:right w:w="0" w:type="dxa"/>
          </w:tblCellMar>
        </w:tblPrEx>
        <w:trPr>
          <w:trHeight w:val="300" w:hRule="atLeast"/>
        </w:trPr>
        <w:tc>
          <w:tcPr>
            <w:tcW w:w="5447" w:type="dxa"/>
            <w:gridSpan w:val="10"/>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七、其他收入</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795" w:type="dxa"/>
            <w:gridSpan w:val="7"/>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447" w:type="dxa"/>
            <w:gridSpan w:val="10"/>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795" w:type="dxa"/>
            <w:gridSpan w:val="7"/>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447" w:type="dxa"/>
            <w:gridSpan w:val="10"/>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795" w:type="dxa"/>
            <w:gridSpan w:val="7"/>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447" w:type="dxa"/>
            <w:gridSpan w:val="10"/>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795" w:type="dxa"/>
            <w:gridSpan w:val="7"/>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447" w:type="dxa"/>
            <w:gridSpan w:val="10"/>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795" w:type="dxa"/>
            <w:gridSpan w:val="7"/>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14,803,934.04</w:t>
            </w:r>
          </w:p>
        </w:tc>
      </w:tr>
      <w:tr>
        <w:tblPrEx>
          <w:tblCellMar>
            <w:top w:w="0" w:type="dxa"/>
            <w:left w:w="0" w:type="dxa"/>
            <w:bottom w:w="0" w:type="dxa"/>
            <w:right w:w="0" w:type="dxa"/>
          </w:tblCellMar>
        </w:tblPrEx>
        <w:trPr>
          <w:trHeight w:val="300" w:hRule="atLeast"/>
        </w:trPr>
        <w:tc>
          <w:tcPr>
            <w:tcW w:w="5447" w:type="dxa"/>
            <w:gridSpan w:val="10"/>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795" w:type="dxa"/>
            <w:gridSpan w:val="7"/>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447" w:type="dxa"/>
            <w:gridSpan w:val="10"/>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795" w:type="dxa"/>
            <w:gridSpan w:val="7"/>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447" w:type="dxa"/>
            <w:gridSpan w:val="10"/>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795" w:type="dxa"/>
            <w:gridSpan w:val="7"/>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447" w:type="dxa"/>
            <w:gridSpan w:val="10"/>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795" w:type="dxa"/>
            <w:gridSpan w:val="7"/>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447" w:type="dxa"/>
            <w:gridSpan w:val="10"/>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795" w:type="dxa"/>
            <w:gridSpan w:val="7"/>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447" w:type="dxa"/>
            <w:gridSpan w:val="10"/>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795" w:type="dxa"/>
            <w:gridSpan w:val="7"/>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447" w:type="dxa"/>
            <w:gridSpan w:val="10"/>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795" w:type="dxa"/>
            <w:gridSpan w:val="7"/>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447" w:type="dxa"/>
            <w:gridSpan w:val="10"/>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795" w:type="dxa"/>
            <w:gridSpan w:val="7"/>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447" w:type="dxa"/>
            <w:gridSpan w:val="10"/>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795" w:type="dxa"/>
            <w:gridSpan w:val="7"/>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447" w:type="dxa"/>
            <w:gridSpan w:val="10"/>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795" w:type="dxa"/>
            <w:gridSpan w:val="7"/>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447" w:type="dxa"/>
            <w:gridSpan w:val="10"/>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二十二、其他支出</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795" w:type="dxa"/>
            <w:gridSpan w:val="7"/>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447" w:type="dxa"/>
            <w:gridSpan w:val="10"/>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795" w:type="dxa"/>
            <w:gridSpan w:val="7"/>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5447" w:type="dxa"/>
            <w:gridSpan w:val="10"/>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16,057,286.94</w:t>
            </w: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795" w:type="dxa"/>
            <w:gridSpan w:val="7"/>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16,057,286.94</w:t>
            </w:r>
          </w:p>
        </w:tc>
      </w:tr>
      <w:tr>
        <w:tblPrEx>
          <w:tblCellMar>
            <w:top w:w="0" w:type="dxa"/>
            <w:left w:w="0" w:type="dxa"/>
            <w:bottom w:w="0" w:type="dxa"/>
            <w:right w:w="0" w:type="dxa"/>
          </w:tblCellMar>
        </w:tblPrEx>
        <w:trPr>
          <w:trHeight w:val="300" w:hRule="atLeast"/>
        </w:trPr>
        <w:tc>
          <w:tcPr>
            <w:tcW w:w="5447" w:type="dxa"/>
            <w:gridSpan w:val="10"/>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用事业基金弥补收支差额</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结余分配</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795" w:type="dxa"/>
            <w:gridSpan w:val="7"/>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447" w:type="dxa"/>
            <w:gridSpan w:val="10"/>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795" w:type="dxa"/>
            <w:gridSpan w:val="7"/>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447" w:type="dxa"/>
            <w:gridSpan w:val="10"/>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795" w:type="dxa"/>
            <w:gridSpan w:val="7"/>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5447" w:type="dxa"/>
            <w:gridSpan w:val="10"/>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76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16,057,286.94</w:t>
            </w:r>
          </w:p>
        </w:tc>
        <w:tc>
          <w:tcPr>
            <w:tcW w:w="4030"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5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795" w:type="dxa"/>
            <w:gridSpan w:val="7"/>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16,057,286.94</w:t>
            </w:r>
          </w:p>
        </w:tc>
      </w:tr>
      <w:tr>
        <w:tblPrEx>
          <w:tblCellMar>
            <w:top w:w="0" w:type="dxa"/>
            <w:left w:w="0" w:type="dxa"/>
            <w:bottom w:w="0" w:type="dxa"/>
            <w:right w:w="0" w:type="dxa"/>
          </w:tblCellMar>
        </w:tblPrEx>
        <w:trPr>
          <w:trHeight w:val="300" w:hRule="atLeast"/>
        </w:trPr>
        <w:tc>
          <w:tcPr>
            <w:tcW w:w="14185" w:type="dxa"/>
            <w:gridSpan w:val="33"/>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注：本表反映部门本年度的总收支和年末结转结余情况。</w:t>
            </w:r>
          </w:p>
        </w:tc>
      </w:tr>
      <w:tr>
        <w:tblPrEx>
          <w:tblCellMar>
            <w:top w:w="0" w:type="dxa"/>
            <w:left w:w="0" w:type="dxa"/>
            <w:bottom w:w="0" w:type="dxa"/>
            <w:right w:w="0" w:type="dxa"/>
          </w:tblCellMar>
        </w:tblPrEx>
        <w:trPr>
          <w:gridAfter w:val="1"/>
          <w:wAfter w:w="171" w:type="dxa"/>
          <w:trHeight w:val="375" w:hRule="atLeast"/>
        </w:trPr>
        <w:tc>
          <w:tcPr>
            <w:tcW w:w="14014" w:type="dxa"/>
            <w:gridSpan w:val="32"/>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收入决算表</w:t>
            </w:r>
          </w:p>
        </w:tc>
      </w:tr>
      <w:tr>
        <w:tblPrEx>
          <w:tblCellMar>
            <w:top w:w="0" w:type="dxa"/>
            <w:left w:w="0" w:type="dxa"/>
            <w:bottom w:w="0" w:type="dxa"/>
            <w:right w:w="0" w:type="dxa"/>
          </w:tblCellMar>
        </w:tblPrEx>
        <w:trPr>
          <w:gridAfter w:val="1"/>
          <w:wAfter w:w="171" w:type="dxa"/>
          <w:trHeight w:val="300" w:hRule="atLeast"/>
        </w:trPr>
        <w:tc>
          <w:tcPr>
            <w:tcW w:w="470"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01" w:type="dxa"/>
            <w:gridSpan w:val="4"/>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00" w:type="dxa"/>
            <w:gridSpan w:val="3"/>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40"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60" w:type="dxa"/>
            <w:gridSpan w:val="5"/>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20"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45" w:type="dxa"/>
            <w:gridSpan w:val="3"/>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gridSpan w:val="5"/>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45" w:type="dxa"/>
            <w:gridSpan w:val="4"/>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公开02表</w:t>
            </w:r>
          </w:p>
        </w:tc>
      </w:tr>
      <w:tr>
        <w:tblPrEx>
          <w:tblCellMar>
            <w:top w:w="0" w:type="dxa"/>
            <w:left w:w="0" w:type="dxa"/>
            <w:bottom w:w="0" w:type="dxa"/>
            <w:right w:w="0" w:type="dxa"/>
          </w:tblCellMar>
        </w:tblPrEx>
        <w:trPr>
          <w:gridAfter w:val="1"/>
          <w:wAfter w:w="171" w:type="dxa"/>
          <w:trHeight w:val="300" w:hRule="atLeast"/>
        </w:trPr>
        <w:tc>
          <w:tcPr>
            <w:tcW w:w="4129" w:type="dxa"/>
            <w:gridSpan w:val="8"/>
            <w:tcBorders>
              <w:top w:val="nil"/>
              <w:left w:val="nil"/>
              <w:bottom w:val="single" w:color="000000" w:sz="4" w:space="0"/>
              <w:right w:val="nil"/>
            </w:tcBorders>
            <w:shd w:val="clear" w:color="auto" w:fill="FFFFFF"/>
            <w:noWrap/>
            <w:tcMar>
              <w:top w:w="15" w:type="dxa"/>
              <w:left w:w="15" w:type="dxa"/>
              <w:right w:w="15" w:type="dxa"/>
            </w:tcMar>
            <w:vAlign w:val="center"/>
          </w:tcPr>
          <w:p>
            <w:pPr>
              <w:jc w:val="both"/>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部门：黄石市黄石港区沈家营街道办事处</w:t>
            </w:r>
          </w:p>
        </w:tc>
        <w:tc>
          <w:tcPr>
            <w:tcW w:w="1800" w:type="dxa"/>
            <w:gridSpan w:val="3"/>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40"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1260" w:type="dxa"/>
            <w:gridSpan w:val="5"/>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20"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5" w:type="dxa"/>
            <w:gridSpan w:val="3"/>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20" w:type="dxa"/>
            <w:gridSpan w:val="9"/>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CellMar>
            <w:top w:w="0" w:type="dxa"/>
            <w:left w:w="0" w:type="dxa"/>
            <w:bottom w:w="0" w:type="dxa"/>
            <w:right w:w="0" w:type="dxa"/>
          </w:tblCellMar>
        </w:tblPrEx>
        <w:trPr>
          <w:gridAfter w:val="1"/>
          <w:wAfter w:w="171" w:type="dxa"/>
          <w:trHeight w:val="300" w:hRule="atLeast"/>
        </w:trPr>
        <w:tc>
          <w:tcPr>
            <w:tcW w:w="4129" w:type="dxa"/>
            <w:gridSpan w:val="8"/>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800" w:type="dxa"/>
            <w:gridSpan w:val="3"/>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1740"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1260" w:type="dxa"/>
            <w:gridSpan w:val="5"/>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1320"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1245" w:type="dxa"/>
            <w:gridSpan w:val="3"/>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1275" w:type="dxa"/>
            <w:gridSpan w:val="5"/>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1245" w:type="dxa"/>
            <w:gridSpan w:val="4"/>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tblCellMar>
            <w:top w:w="0" w:type="dxa"/>
            <w:left w:w="0" w:type="dxa"/>
            <w:bottom w:w="0" w:type="dxa"/>
            <w:right w:w="0" w:type="dxa"/>
          </w:tblCellMar>
        </w:tblPrEx>
        <w:trPr>
          <w:gridAfter w:val="1"/>
          <w:wAfter w:w="171" w:type="dxa"/>
          <w:trHeight w:val="300" w:hRule="atLeast"/>
        </w:trPr>
        <w:tc>
          <w:tcPr>
            <w:tcW w:w="1128" w:type="dxa"/>
            <w:gridSpan w:val="4"/>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3001" w:type="dxa"/>
            <w:gridSpan w:val="4"/>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800" w:type="dxa"/>
            <w:gridSpan w:val="3"/>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4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0" w:type="dxa"/>
            <w:gridSpan w:val="5"/>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2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45" w:type="dxa"/>
            <w:gridSpan w:val="3"/>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gridSpan w:val="5"/>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45" w:type="dxa"/>
            <w:gridSpan w:val="4"/>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71" w:type="dxa"/>
          <w:trHeight w:val="300" w:hRule="atLeast"/>
        </w:trPr>
        <w:tc>
          <w:tcPr>
            <w:tcW w:w="1128" w:type="dxa"/>
            <w:gridSpan w:val="4"/>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01" w:type="dxa"/>
            <w:gridSpan w:val="4"/>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gridSpan w:val="3"/>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4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0" w:type="dxa"/>
            <w:gridSpan w:val="5"/>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2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45" w:type="dxa"/>
            <w:gridSpan w:val="3"/>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gridSpan w:val="5"/>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45" w:type="dxa"/>
            <w:gridSpan w:val="4"/>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71" w:type="dxa"/>
          <w:trHeight w:val="300" w:hRule="atLeast"/>
        </w:trPr>
        <w:tc>
          <w:tcPr>
            <w:tcW w:w="1128" w:type="dxa"/>
            <w:gridSpan w:val="4"/>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01" w:type="dxa"/>
            <w:gridSpan w:val="4"/>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gridSpan w:val="3"/>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4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0" w:type="dxa"/>
            <w:gridSpan w:val="5"/>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2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45" w:type="dxa"/>
            <w:gridSpan w:val="3"/>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gridSpan w:val="5"/>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45" w:type="dxa"/>
            <w:gridSpan w:val="4"/>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71" w:type="dxa"/>
          <w:trHeight w:val="300" w:hRule="atLeast"/>
        </w:trPr>
        <w:tc>
          <w:tcPr>
            <w:tcW w:w="4129" w:type="dxa"/>
            <w:gridSpan w:val="8"/>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800"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740"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60" w:type="dxa"/>
            <w:gridSpan w:val="5"/>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20"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245"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275" w:type="dxa"/>
            <w:gridSpan w:val="5"/>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245" w:type="dxa"/>
            <w:gridSpan w:val="4"/>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CellMar>
            <w:top w:w="0" w:type="dxa"/>
            <w:left w:w="0" w:type="dxa"/>
            <w:bottom w:w="0" w:type="dxa"/>
            <w:right w:w="0" w:type="dxa"/>
          </w:tblCellMar>
        </w:tblPrEx>
        <w:trPr>
          <w:gridAfter w:val="1"/>
          <w:wAfter w:w="171" w:type="dxa"/>
          <w:trHeight w:val="300" w:hRule="atLeast"/>
        </w:trPr>
        <w:tc>
          <w:tcPr>
            <w:tcW w:w="4129" w:type="dxa"/>
            <w:gridSpan w:val="8"/>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800"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16,057,286.94</w:t>
            </w:r>
          </w:p>
        </w:tc>
        <w:tc>
          <w:tcPr>
            <w:tcW w:w="174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16,057,286.94</w:t>
            </w:r>
          </w:p>
        </w:tc>
        <w:tc>
          <w:tcPr>
            <w:tcW w:w="1260" w:type="dxa"/>
            <w:gridSpan w:val="5"/>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2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45"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75" w:type="dxa"/>
            <w:gridSpan w:val="5"/>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45"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1"/>
          <w:wAfter w:w="171" w:type="dxa"/>
          <w:trHeight w:val="300" w:hRule="atLeast"/>
        </w:trPr>
        <w:tc>
          <w:tcPr>
            <w:tcW w:w="1128"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3001"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一般公共服务支出</w:t>
            </w:r>
          </w:p>
        </w:tc>
        <w:tc>
          <w:tcPr>
            <w:tcW w:w="180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1,153,352.90</w:t>
            </w:r>
          </w:p>
        </w:tc>
        <w:tc>
          <w:tcPr>
            <w:tcW w:w="174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1,153,352.90</w:t>
            </w:r>
          </w:p>
        </w:tc>
        <w:tc>
          <w:tcPr>
            <w:tcW w:w="1260"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2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4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75"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45"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1"/>
          <w:wAfter w:w="171" w:type="dxa"/>
          <w:trHeight w:val="300" w:hRule="atLeast"/>
        </w:trPr>
        <w:tc>
          <w:tcPr>
            <w:tcW w:w="1128"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20131</w:t>
            </w:r>
          </w:p>
        </w:tc>
        <w:tc>
          <w:tcPr>
            <w:tcW w:w="3001"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党委办公厅（室）及相关机构事务</w:t>
            </w:r>
          </w:p>
        </w:tc>
        <w:tc>
          <w:tcPr>
            <w:tcW w:w="180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1,153,352.90</w:t>
            </w:r>
          </w:p>
        </w:tc>
        <w:tc>
          <w:tcPr>
            <w:tcW w:w="174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1,153,352.90</w:t>
            </w:r>
          </w:p>
        </w:tc>
        <w:tc>
          <w:tcPr>
            <w:tcW w:w="1260"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2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4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75"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45"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1"/>
          <w:wAfter w:w="171" w:type="dxa"/>
          <w:trHeight w:val="300" w:hRule="atLeast"/>
        </w:trPr>
        <w:tc>
          <w:tcPr>
            <w:tcW w:w="1128" w:type="dxa"/>
            <w:gridSpan w:val="4"/>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2013199</w:t>
            </w:r>
          </w:p>
        </w:tc>
        <w:tc>
          <w:tcPr>
            <w:tcW w:w="3001" w:type="dxa"/>
            <w:gridSpan w:val="4"/>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其他党委办公厅（室）及相关机构事务支出</w:t>
            </w:r>
          </w:p>
        </w:tc>
        <w:tc>
          <w:tcPr>
            <w:tcW w:w="1800"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1,153,352.90</w:t>
            </w:r>
          </w:p>
        </w:tc>
        <w:tc>
          <w:tcPr>
            <w:tcW w:w="174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1,153,352.90</w:t>
            </w:r>
          </w:p>
        </w:tc>
        <w:tc>
          <w:tcPr>
            <w:tcW w:w="1260" w:type="dxa"/>
            <w:gridSpan w:val="5"/>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45"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gridSpan w:val="5"/>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45"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1"/>
          <w:wAfter w:w="171" w:type="dxa"/>
          <w:trHeight w:val="300" w:hRule="atLeast"/>
        </w:trPr>
        <w:tc>
          <w:tcPr>
            <w:tcW w:w="1128"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206</w:t>
            </w:r>
          </w:p>
        </w:tc>
        <w:tc>
          <w:tcPr>
            <w:tcW w:w="3001"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科学技术支出</w:t>
            </w:r>
          </w:p>
        </w:tc>
        <w:tc>
          <w:tcPr>
            <w:tcW w:w="180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100,000.00</w:t>
            </w:r>
          </w:p>
        </w:tc>
        <w:tc>
          <w:tcPr>
            <w:tcW w:w="174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100,000.00</w:t>
            </w:r>
          </w:p>
        </w:tc>
        <w:tc>
          <w:tcPr>
            <w:tcW w:w="1260"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2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4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75"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45"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1"/>
          <w:wAfter w:w="171" w:type="dxa"/>
          <w:trHeight w:val="300" w:hRule="atLeast"/>
        </w:trPr>
        <w:tc>
          <w:tcPr>
            <w:tcW w:w="1128"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20607</w:t>
            </w:r>
          </w:p>
        </w:tc>
        <w:tc>
          <w:tcPr>
            <w:tcW w:w="3001"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科学技术普及</w:t>
            </w:r>
          </w:p>
        </w:tc>
        <w:tc>
          <w:tcPr>
            <w:tcW w:w="180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100,000.00</w:t>
            </w:r>
          </w:p>
        </w:tc>
        <w:tc>
          <w:tcPr>
            <w:tcW w:w="174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100,000.00</w:t>
            </w:r>
          </w:p>
        </w:tc>
        <w:tc>
          <w:tcPr>
            <w:tcW w:w="1260"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2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4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75"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45"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1"/>
          <w:wAfter w:w="171" w:type="dxa"/>
          <w:trHeight w:val="300" w:hRule="atLeast"/>
        </w:trPr>
        <w:tc>
          <w:tcPr>
            <w:tcW w:w="1128" w:type="dxa"/>
            <w:gridSpan w:val="4"/>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2060799</w:t>
            </w:r>
          </w:p>
        </w:tc>
        <w:tc>
          <w:tcPr>
            <w:tcW w:w="3001" w:type="dxa"/>
            <w:gridSpan w:val="4"/>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其他科学技术普及支出</w:t>
            </w:r>
          </w:p>
        </w:tc>
        <w:tc>
          <w:tcPr>
            <w:tcW w:w="1800"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100,000.00</w:t>
            </w:r>
          </w:p>
        </w:tc>
        <w:tc>
          <w:tcPr>
            <w:tcW w:w="174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100,000.00</w:t>
            </w:r>
          </w:p>
        </w:tc>
        <w:tc>
          <w:tcPr>
            <w:tcW w:w="1260" w:type="dxa"/>
            <w:gridSpan w:val="5"/>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45"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gridSpan w:val="5"/>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45"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1"/>
          <w:wAfter w:w="171" w:type="dxa"/>
          <w:trHeight w:val="300" w:hRule="atLeast"/>
        </w:trPr>
        <w:tc>
          <w:tcPr>
            <w:tcW w:w="1128"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212</w:t>
            </w:r>
          </w:p>
        </w:tc>
        <w:tc>
          <w:tcPr>
            <w:tcW w:w="3001"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城乡社区支出</w:t>
            </w:r>
          </w:p>
        </w:tc>
        <w:tc>
          <w:tcPr>
            <w:tcW w:w="180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14,803,934.04</w:t>
            </w:r>
          </w:p>
        </w:tc>
        <w:tc>
          <w:tcPr>
            <w:tcW w:w="174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14,803,934.04</w:t>
            </w:r>
          </w:p>
        </w:tc>
        <w:tc>
          <w:tcPr>
            <w:tcW w:w="1260"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2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4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75"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45"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1"/>
          <w:wAfter w:w="171" w:type="dxa"/>
          <w:trHeight w:val="300" w:hRule="atLeast"/>
        </w:trPr>
        <w:tc>
          <w:tcPr>
            <w:tcW w:w="1128"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21201</w:t>
            </w:r>
          </w:p>
        </w:tc>
        <w:tc>
          <w:tcPr>
            <w:tcW w:w="3001"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城乡社区管理事务</w:t>
            </w:r>
          </w:p>
        </w:tc>
        <w:tc>
          <w:tcPr>
            <w:tcW w:w="180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14,803,934.04</w:t>
            </w:r>
          </w:p>
        </w:tc>
        <w:tc>
          <w:tcPr>
            <w:tcW w:w="174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14,803,934.04</w:t>
            </w:r>
          </w:p>
        </w:tc>
        <w:tc>
          <w:tcPr>
            <w:tcW w:w="1260"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2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4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75"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45"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1"/>
          <w:wAfter w:w="171" w:type="dxa"/>
          <w:trHeight w:val="300" w:hRule="atLeast"/>
        </w:trPr>
        <w:tc>
          <w:tcPr>
            <w:tcW w:w="1128" w:type="dxa"/>
            <w:gridSpan w:val="4"/>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2120101</w:t>
            </w:r>
          </w:p>
        </w:tc>
        <w:tc>
          <w:tcPr>
            <w:tcW w:w="3001" w:type="dxa"/>
            <w:gridSpan w:val="4"/>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800"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14,803,934.04</w:t>
            </w:r>
          </w:p>
        </w:tc>
        <w:tc>
          <w:tcPr>
            <w:tcW w:w="174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14,803,934.04</w:t>
            </w:r>
          </w:p>
        </w:tc>
        <w:tc>
          <w:tcPr>
            <w:tcW w:w="1260" w:type="dxa"/>
            <w:gridSpan w:val="5"/>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45"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gridSpan w:val="5"/>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45"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1"/>
          <w:wAfter w:w="171" w:type="dxa"/>
          <w:trHeight w:val="300" w:hRule="atLeast"/>
        </w:trPr>
        <w:tc>
          <w:tcPr>
            <w:tcW w:w="14014" w:type="dxa"/>
            <w:gridSpan w:val="3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注：本表反映部门本年度取得的各项收入情况。</w:t>
            </w:r>
          </w:p>
        </w:tc>
      </w:tr>
      <w:tr>
        <w:tblPrEx>
          <w:tblCellMar>
            <w:top w:w="0" w:type="dxa"/>
            <w:left w:w="0" w:type="dxa"/>
            <w:bottom w:w="0" w:type="dxa"/>
            <w:right w:w="0" w:type="dxa"/>
          </w:tblCellMar>
        </w:tblPrEx>
        <w:trPr>
          <w:gridAfter w:val="2"/>
          <w:wAfter w:w="197" w:type="dxa"/>
          <w:trHeight w:val="375" w:hRule="atLeast"/>
        </w:trPr>
        <w:tc>
          <w:tcPr>
            <w:tcW w:w="13988" w:type="dxa"/>
            <w:gridSpan w:val="31"/>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30"/>
                <w:szCs w:val="30"/>
                <w:u w:val="none"/>
                <w:lang w:val="en-US" w:eastAsia="zh-CN" w:bidi="ar"/>
              </w:rPr>
              <w:t>支出决算表</w:t>
            </w:r>
          </w:p>
        </w:tc>
      </w:tr>
      <w:tr>
        <w:tblPrEx>
          <w:tblCellMar>
            <w:top w:w="0" w:type="dxa"/>
            <w:left w:w="0" w:type="dxa"/>
            <w:bottom w:w="0" w:type="dxa"/>
            <w:right w:w="0" w:type="dxa"/>
          </w:tblCellMar>
        </w:tblPrEx>
        <w:trPr>
          <w:gridAfter w:val="2"/>
          <w:wAfter w:w="197" w:type="dxa"/>
          <w:trHeight w:val="300" w:hRule="atLeast"/>
        </w:trPr>
        <w:tc>
          <w:tcPr>
            <w:tcW w:w="5929" w:type="dxa"/>
            <w:gridSpan w:val="11"/>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15" w:type="dxa"/>
            <w:gridSpan w:val="5"/>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35" w:type="dxa"/>
            <w:gridSpan w:val="3"/>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5" w:type="dxa"/>
            <w:gridSpan w:val="3"/>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09" w:type="dxa"/>
            <w:gridSpan w:val="3"/>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51" w:type="dxa"/>
            <w:gridSpan w:val="4"/>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4"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公开03表</w:t>
            </w:r>
          </w:p>
        </w:tc>
      </w:tr>
      <w:tr>
        <w:tblPrEx>
          <w:tblCellMar>
            <w:top w:w="0" w:type="dxa"/>
            <w:left w:w="0" w:type="dxa"/>
            <w:bottom w:w="0" w:type="dxa"/>
            <w:right w:w="0" w:type="dxa"/>
          </w:tblCellMar>
        </w:tblPrEx>
        <w:trPr>
          <w:gridAfter w:val="2"/>
          <w:wAfter w:w="197" w:type="dxa"/>
          <w:trHeight w:val="300" w:hRule="atLeast"/>
        </w:trPr>
        <w:tc>
          <w:tcPr>
            <w:tcW w:w="5929" w:type="dxa"/>
            <w:gridSpan w:val="11"/>
            <w:tcBorders>
              <w:top w:val="nil"/>
              <w:left w:val="nil"/>
              <w:bottom w:val="single" w:color="000000" w:sz="4" w:space="0"/>
              <w:right w:val="nil"/>
            </w:tcBorders>
            <w:shd w:val="clear" w:color="auto" w:fill="FFFFFF"/>
            <w:noWrap/>
            <w:tcMar>
              <w:top w:w="15" w:type="dxa"/>
              <w:left w:w="15" w:type="dxa"/>
              <w:right w:w="15" w:type="dxa"/>
            </w:tcMar>
            <w:vAlign w:val="center"/>
          </w:tcPr>
          <w:p>
            <w:pPr>
              <w:jc w:val="both"/>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部门：黄石市黄石港区沈家营街道办事处</w:t>
            </w:r>
          </w:p>
        </w:tc>
        <w:tc>
          <w:tcPr>
            <w:tcW w:w="2115" w:type="dxa"/>
            <w:gridSpan w:val="5"/>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1935" w:type="dxa"/>
            <w:gridSpan w:val="3"/>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35" w:type="dxa"/>
            <w:gridSpan w:val="3"/>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9" w:type="dxa"/>
            <w:gridSpan w:val="3"/>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5" w:type="dxa"/>
            <w:gridSpan w:val="6"/>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CellMar>
            <w:top w:w="0" w:type="dxa"/>
            <w:left w:w="0" w:type="dxa"/>
            <w:bottom w:w="0" w:type="dxa"/>
            <w:right w:w="0" w:type="dxa"/>
          </w:tblCellMar>
        </w:tblPrEx>
        <w:trPr>
          <w:gridAfter w:val="2"/>
          <w:wAfter w:w="197" w:type="dxa"/>
          <w:trHeight w:val="300" w:hRule="atLeast"/>
        </w:trPr>
        <w:tc>
          <w:tcPr>
            <w:tcW w:w="5929" w:type="dxa"/>
            <w:gridSpan w:val="11"/>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2115" w:type="dxa"/>
            <w:gridSpan w:val="5"/>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1935" w:type="dxa"/>
            <w:gridSpan w:val="3"/>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035" w:type="dxa"/>
            <w:gridSpan w:val="3"/>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909" w:type="dxa"/>
            <w:gridSpan w:val="3"/>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上缴上级支出</w:t>
            </w:r>
          </w:p>
        </w:tc>
        <w:tc>
          <w:tcPr>
            <w:tcW w:w="951" w:type="dxa"/>
            <w:gridSpan w:val="4"/>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经营支出</w:t>
            </w:r>
          </w:p>
        </w:tc>
        <w:tc>
          <w:tcPr>
            <w:tcW w:w="1114"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对附属单位补助支出</w:t>
            </w:r>
          </w:p>
        </w:tc>
      </w:tr>
      <w:tr>
        <w:tblPrEx>
          <w:tblCellMar>
            <w:top w:w="0" w:type="dxa"/>
            <w:left w:w="0" w:type="dxa"/>
            <w:bottom w:w="0" w:type="dxa"/>
            <w:right w:w="0" w:type="dxa"/>
          </w:tblCellMar>
        </w:tblPrEx>
        <w:trPr>
          <w:gridAfter w:val="2"/>
          <w:wAfter w:w="197" w:type="dxa"/>
          <w:trHeight w:val="300" w:hRule="atLeast"/>
        </w:trPr>
        <w:tc>
          <w:tcPr>
            <w:tcW w:w="1624" w:type="dxa"/>
            <w:gridSpan w:val="5"/>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4305" w:type="dxa"/>
            <w:gridSpan w:val="6"/>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2115" w:type="dxa"/>
            <w:gridSpan w:val="5"/>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35" w:type="dxa"/>
            <w:gridSpan w:val="3"/>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gridSpan w:val="3"/>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9" w:type="dxa"/>
            <w:gridSpan w:val="3"/>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51" w:type="dxa"/>
            <w:gridSpan w:val="4"/>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14"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2"/>
          <w:wAfter w:w="197" w:type="dxa"/>
          <w:trHeight w:val="300" w:hRule="atLeast"/>
        </w:trPr>
        <w:tc>
          <w:tcPr>
            <w:tcW w:w="1624" w:type="dxa"/>
            <w:gridSpan w:val="5"/>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05" w:type="dxa"/>
            <w:gridSpan w:val="6"/>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15" w:type="dxa"/>
            <w:gridSpan w:val="5"/>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35" w:type="dxa"/>
            <w:gridSpan w:val="3"/>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gridSpan w:val="3"/>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9" w:type="dxa"/>
            <w:gridSpan w:val="3"/>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51" w:type="dxa"/>
            <w:gridSpan w:val="4"/>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14"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2"/>
          <w:wAfter w:w="197" w:type="dxa"/>
          <w:trHeight w:val="300" w:hRule="atLeast"/>
        </w:trPr>
        <w:tc>
          <w:tcPr>
            <w:tcW w:w="1624" w:type="dxa"/>
            <w:gridSpan w:val="5"/>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05" w:type="dxa"/>
            <w:gridSpan w:val="6"/>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15" w:type="dxa"/>
            <w:gridSpan w:val="5"/>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35" w:type="dxa"/>
            <w:gridSpan w:val="3"/>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gridSpan w:val="3"/>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9" w:type="dxa"/>
            <w:gridSpan w:val="3"/>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51" w:type="dxa"/>
            <w:gridSpan w:val="4"/>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14"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2"/>
          <w:wAfter w:w="197" w:type="dxa"/>
          <w:trHeight w:val="300" w:hRule="atLeast"/>
        </w:trPr>
        <w:tc>
          <w:tcPr>
            <w:tcW w:w="5929" w:type="dxa"/>
            <w:gridSpan w:val="11"/>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2115" w:type="dxa"/>
            <w:gridSpan w:val="5"/>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35"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35"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09"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51" w:type="dxa"/>
            <w:gridSpan w:val="4"/>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114"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gridAfter w:val="2"/>
          <w:wAfter w:w="197" w:type="dxa"/>
          <w:trHeight w:val="300" w:hRule="atLeast"/>
        </w:trPr>
        <w:tc>
          <w:tcPr>
            <w:tcW w:w="5929" w:type="dxa"/>
            <w:gridSpan w:val="11"/>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115" w:type="dxa"/>
            <w:gridSpan w:val="5"/>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16,057,286.94</w:t>
            </w:r>
          </w:p>
        </w:tc>
        <w:tc>
          <w:tcPr>
            <w:tcW w:w="1935"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16,057,286.94</w:t>
            </w:r>
          </w:p>
        </w:tc>
        <w:tc>
          <w:tcPr>
            <w:tcW w:w="1035"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0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51"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14"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2"/>
          <w:wAfter w:w="197" w:type="dxa"/>
          <w:trHeight w:val="300" w:hRule="atLeast"/>
        </w:trPr>
        <w:tc>
          <w:tcPr>
            <w:tcW w:w="1624"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4305"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一般公共服务支出</w:t>
            </w:r>
          </w:p>
        </w:tc>
        <w:tc>
          <w:tcPr>
            <w:tcW w:w="2115"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1,153,352.90</w:t>
            </w:r>
          </w:p>
        </w:tc>
        <w:tc>
          <w:tcPr>
            <w:tcW w:w="193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1,153,352.90</w:t>
            </w:r>
          </w:p>
        </w:tc>
        <w:tc>
          <w:tcPr>
            <w:tcW w:w="103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09"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51"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14"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2"/>
          <w:wAfter w:w="197" w:type="dxa"/>
          <w:trHeight w:val="300" w:hRule="atLeast"/>
        </w:trPr>
        <w:tc>
          <w:tcPr>
            <w:tcW w:w="1624"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20131</w:t>
            </w:r>
          </w:p>
        </w:tc>
        <w:tc>
          <w:tcPr>
            <w:tcW w:w="4305"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党委办公厅（室）及相关机构事务</w:t>
            </w:r>
          </w:p>
        </w:tc>
        <w:tc>
          <w:tcPr>
            <w:tcW w:w="2115"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1,153,352.90</w:t>
            </w:r>
          </w:p>
        </w:tc>
        <w:tc>
          <w:tcPr>
            <w:tcW w:w="193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1,153,352.90</w:t>
            </w:r>
          </w:p>
        </w:tc>
        <w:tc>
          <w:tcPr>
            <w:tcW w:w="103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09"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51"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14"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2"/>
          <w:wAfter w:w="197" w:type="dxa"/>
          <w:trHeight w:val="300" w:hRule="atLeast"/>
        </w:trPr>
        <w:tc>
          <w:tcPr>
            <w:tcW w:w="1624" w:type="dxa"/>
            <w:gridSpan w:val="5"/>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2013199</w:t>
            </w:r>
          </w:p>
        </w:tc>
        <w:tc>
          <w:tcPr>
            <w:tcW w:w="4305" w:type="dxa"/>
            <w:gridSpan w:val="6"/>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其他党委办公厅（室）及相关机构事务支出</w:t>
            </w:r>
          </w:p>
        </w:tc>
        <w:tc>
          <w:tcPr>
            <w:tcW w:w="2115" w:type="dxa"/>
            <w:gridSpan w:val="5"/>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1,153,352.90</w:t>
            </w:r>
          </w:p>
        </w:tc>
        <w:tc>
          <w:tcPr>
            <w:tcW w:w="1935"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1,153,352.90</w:t>
            </w:r>
          </w:p>
        </w:tc>
        <w:tc>
          <w:tcPr>
            <w:tcW w:w="1035"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0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51"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14"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2"/>
          <w:wAfter w:w="197" w:type="dxa"/>
          <w:trHeight w:val="300" w:hRule="atLeast"/>
        </w:trPr>
        <w:tc>
          <w:tcPr>
            <w:tcW w:w="1624"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206</w:t>
            </w:r>
          </w:p>
        </w:tc>
        <w:tc>
          <w:tcPr>
            <w:tcW w:w="4305"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科学技术支出</w:t>
            </w:r>
          </w:p>
        </w:tc>
        <w:tc>
          <w:tcPr>
            <w:tcW w:w="2115"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100,000.00</w:t>
            </w:r>
          </w:p>
        </w:tc>
        <w:tc>
          <w:tcPr>
            <w:tcW w:w="193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100,000.00</w:t>
            </w:r>
          </w:p>
        </w:tc>
        <w:tc>
          <w:tcPr>
            <w:tcW w:w="103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09"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51"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14"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2"/>
          <w:wAfter w:w="197" w:type="dxa"/>
          <w:trHeight w:val="300" w:hRule="atLeast"/>
        </w:trPr>
        <w:tc>
          <w:tcPr>
            <w:tcW w:w="1624"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20607</w:t>
            </w:r>
          </w:p>
        </w:tc>
        <w:tc>
          <w:tcPr>
            <w:tcW w:w="4305"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科学技术普及</w:t>
            </w:r>
          </w:p>
        </w:tc>
        <w:tc>
          <w:tcPr>
            <w:tcW w:w="2115"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100,000.00</w:t>
            </w:r>
          </w:p>
        </w:tc>
        <w:tc>
          <w:tcPr>
            <w:tcW w:w="193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100,000.00</w:t>
            </w:r>
          </w:p>
        </w:tc>
        <w:tc>
          <w:tcPr>
            <w:tcW w:w="103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09"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51"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14"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2"/>
          <w:wAfter w:w="197" w:type="dxa"/>
          <w:trHeight w:val="300" w:hRule="atLeast"/>
        </w:trPr>
        <w:tc>
          <w:tcPr>
            <w:tcW w:w="1624" w:type="dxa"/>
            <w:gridSpan w:val="5"/>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2060799</w:t>
            </w:r>
          </w:p>
        </w:tc>
        <w:tc>
          <w:tcPr>
            <w:tcW w:w="4305" w:type="dxa"/>
            <w:gridSpan w:val="6"/>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其他科学技术普及支出</w:t>
            </w:r>
          </w:p>
        </w:tc>
        <w:tc>
          <w:tcPr>
            <w:tcW w:w="2115" w:type="dxa"/>
            <w:gridSpan w:val="5"/>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100,000.00</w:t>
            </w:r>
          </w:p>
        </w:tc>
        <w:tc>
          <w:tcPr>
            <w:tcW w:w="1935"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100,000.00</w:t>
            </w:r>
          </w:p>
        </w:tc>
        <w:tc>
          <w:tcPr>
            <w:tcW w:w="1035"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0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51"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14"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2"/>
          <w:wAfter w:w="197" w:type="dxa"/>
          <w:trHeight w:val="300" w:hRule="atLeast"/>
        </w:trPr>
        <w:tc>
          <w:tcPr>
            <w:tcW w:w="1624"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212</w:t>
            </w:r>
          </w:p>
        </w:tc>
        <w:tc>
          <w:tcPr>
            <w:tcW w:w="4305"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城乡社区支出</w:t>
            </w:r>
          </w:p>
        </w:tc>
        <w:tc>
          <w:tcPr>
            <w:tcW w:w="2115"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14,803,934.04</w:t>
            </w:r>
          </w:p>
        </w:tc>
        <w:tc>
          <w:tcPr>
            <w:tcW w:w="193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14,803,934.04</w:t>
            </w:r>
          </w:p>
        </w:tc>
        <w:tc>
          <w:tcPr>
            <w:tcW w:w="103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09"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51"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14"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2"/>
          <w:wAfter w:w="197" w:type="dxa"/>
          <w:trHeight w:val="300" w:hRule="atLeast"/>
        </w:trPr>
        <w:tc>
          <w:tcPr>
            <w:tcW w:w="1624"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21201</w:t>
            </w:r>
          </w:p>
        </w:tc>
        <w:tc>
          <w:tcPr>
            <w:tcW w:w="4305"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城乡社区管理事务</w:t>
            </w:r>
          </w:p>
        </w:tc>
        <w:tc>
          <w:tcPr>
            <w:tcW w:w="2115"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14,803,934.04</w:t>
            </w:r>
          </w:p>
        </w:tc>
        <w:tc>
          <w:tcPr>
            <w:tcW w:w="193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14,803,934.04</w:t>
            </w:r>
          </w:p>
        </w:tc>
        <w:tc>
          <w:tcPr>
            <w:tcW w:w="103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09"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51"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14"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2"/>
          <w:wAfter w:w="197" w:type="dxa"/>
          <w:trHeight w:val="300" w:hRule="atLeast"/>
        </w:trPr>
        <w:tc>
          <w:tcPr>
            <w:tcW w:w="1624" w:type="dxa"/>
            <w:gridSpan w:val="5"/>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2120101</w:t>
            </w:r>
          </w:p>
        </w:tc>
        <w:tc>
          <w:tcPr>
            <w:tcW w:w="4305" w:type="dxa"/>
            <w:gridSpan w:val="6"/>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115" w:type="dxa"/>
            <w:gridSpan w:val="5"/>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14,803,934.04</w:t>
            </w:r>
          </w:p>
        </w:tc>
        <w:tc>
          <w:tcPr>
            <w:tcW w:w="1935"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14,803,934.04</w:t>
            </w:r>
          </w:p>
        </w:tc>
        <w:tc>
          <w:tcPr>
            <w:tcW w:w="1035"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0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51"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14"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2"/>
          <w:wAfter w:w="197" w:type="dxa"/>
          <w:trHeight w:val="300" w:hRule="atLeast"/>
        </w:trPr>
        <w:tc>
          <w:tcPr>
            <w:tcW w:w="13988" w:type="dxa"/>
            <w:gridSpan w:val="31"/>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注：本表反映部门本年度各项支出情况。</w:t>
            </w:r>
          </w:p>
        </w:tc>
      </w:tr>
      <w:tr>
        <w:tblPrEx>
          <w:tblCellMar>
            <w:top w:w="0" w:type="dxa"/>
            <w:left w:w="0" w:type="dxa"/>
            <w:bottom w:w="0" w:type="dxa"/>
            <w:right w:w="0" w:type="dxa"/>
          </w:tblCellMar>
        </w:tblPrEx>
        <w:trPr>
          <w:gridBefore w:val="1"/>
          <w:gridAfter w:val="3"/>
          <w:wBefore w:w="142" w:type="dxa"/>
          <w:wAfter w:w="340" w:type="dxa"/>
          <w:trHeight w:val="375" w:hRule="atLeast"/>
          <w:jc w:val="center"/>
        </w:trPr>
        <w:tc>
          <w:tcPr>
            <w:tcW w:w="13703" w:type="dxa"/>
            <w:gridSpan w:val="29"/>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财政拨款收入支出决算总表</w:t>
            </w:r>
          </w:p>
        </w:tc>
      </w:tr>
      <w:tr>
        <w:tblPrEx>
          <w:tblCellMar>
            <w:top w:w="0" w:type="dxa"/>
            <w:left w:w="0" w:type="dxa"/>
            <w:bottom w:w="0" w:type="dxa"/>
            <w:right w:w="0" w:type="dxa"/>
          </w:tblCellMar>
        </w:tblPrEx>
        <w:trPr>
          <w:gridBefore w:val="1"/>
          <w:gridAfter w:val="3"/>
          <w:wBefore w:w="142" w:type="dxa"/>
          <w:wAfter w:w="340" w:type="dxa"/>
          <w:trHeight w:val="300" w:hRule="atLeast"/>
          <w:jc w:val="center"/>
        </w:trPr>
        <w:tc>
          <w:tcPr>
            <w:tcW w:w="2637" w:type="dxa"/>
            <w:gridSpan w:val="5"/>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05"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86" w:type="dxa"/>
            <w:gridSpan w:val="6"/>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6"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84" w:type="dxa"/>
            <w:gridSpan w:val="4"/>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30" w:type="dxa"/>
            <w:gridSpan w:val="6"/>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29" w:type="dxa"/>
            <w:gridSpan w:val="3"/>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公开04表</w:t>
            </w:r>
          </w:p>
        </w:tc>
      </w:tr>
      <w:tr>
        <w:tblPrEx>
          <w:tblCellMar>
            <w:top w:w="0" w:type="dxa"/>
            <w:left w:w="0" w:type="dxa"/>
            <w:bottom w:w="0" w:type="dxa"/>
            <w:right w:w="0" w:type="dxa"/>
          </w:tblCellMar>
        </w:tblPrEx>
        <w:trPr>
          <w:gridBefore w:val="1"/>
          <w:gridAfter w:val="3"/>
          <w:wBefore w:w="142" w:type="dxa"/>
          <w:wAfter w:w="340" w:type="dxa"/>
          <w:trHeight w:val="300" w:hRule="atLeast"/>
          <w:jc w:val="center"/>
        </w:trPr>
        <w:tc>
          <w:tcPr>
            <w:tcW w:w="4608" w:type="dxa"/>
            <w:gridSpan w:val="8"/>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部门：黄石市黄石港区沈家营街道办事处</w:t>
            </w:r>
          </w:p>
        </w:tc>
        <w:tc>
          <w:tcPr>
            <w:tcW w:w="3286" w:type="dxa"/>
            <w:gridSpan w:val="6"/>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566"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84" w:type="dxa"/>
            <w:gridSpan w:val="4"/>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59" w:type="dxa"/>
            <w:gridSpan w:val="9"/>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CellMar>
            <w:top w:w="0" w:type="dxa"/>
            <w:left w:w="0" w:type="dxa"/>
            <w:bottom w:w="0" w:type="dxa"/>
            <w:right w:w="0" w:type="dxa"/>
          </w:tblCellMar>
        </w:tblPrEx>
        <w:trPr>
          <w:gridBefore w:val="1"/>
          <w:gridAfter w:val="3"/>
          <w:wBefore w:w="142" w:type="dxa"/>
          <w:wAfter w:w="340" w:type="dxa"/>
          <w:trHeight w:val="300" w:hRule="atLeast"/>
          <w:jc w:val="center"/>
        </w:trPr>
        <w:tc>
          <w:tcPr>
            <w:tcW w:w="4608" w:type="dxa"/>
            <w:gridSpan w:val="8"/>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w:t>
            </w:r>
          </w:p>
        </w:tc>
        <w:tc>
          <w:tcPr>
            <w:tcW w:w="9095" w:type="dxa"/>
            <w:gridSpan w:val="21"/>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w:t>
            </w:r>
          </w:p>
        </w:tc>
      </w:tr>
      <w:tr>
        <w:tblPrEx>
          <w:tblCellMar>
            <w:top w:w="0" w:type="dxa"/>
            <w:left w:w="0" w:type="dxa"/>
            <w:bottom w:w="0" w:type="dxa"/>
            <w:right w:w="0" w:type="dxa"/>
          </w:tblCellMar>
        </w:tblPrEx>
        <w:trPr>
          <w:gridBefore w:val="1"/>
          <w:gridAfter w:val="3"/>
          <w:wBefore w:w="142" w:type="dxa"/>
          <w:wAfter w:w="340" w:type="dxa"/>
          <w:trHeight w:val="285" w:hRule="atLeast"/>
          <w:jc w:val="center"/>
        </w:trPr>
        <w:tc>
          <w:tcPr>
            <w:tcW w:w="2637" w:type="dxa"/>
            <w:gridSpan w:val="5"/>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566"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405"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3286" w:type="dxa"/>
            <w:gridSpan w:val="6"/>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566"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884" w:type="dxa"/>
            <w:gridSpan w:val="4"/>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130" w:type="dxa"/>
            <w:gridSpan w:val="6"/>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w:t>
            </w:r>
          </w:p>
        </w:tc>
        <w:tc>
          <w:tcPr>
            <w:tcW w:w="1229" w:type="dxa"/>
            <w:gridSpan w:val="3"/>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w:t>
            </w:r>
          </w:p>
        </w:tc>
      </w:tr>
      <w:tr>
        <w:tblPrEx>
          <w:tblCellMar>
            <w:top w:w="0" w:type="dxa"/>
            <w:left w:w="0" w:type="dxa"/>
            <w:bottom w:w="0" w:type="dxa"/>
            <w:right w:w="0" w:type="dxa"/>
          </w:tblCellMar>
        </w:tblPrEx>
        <w:trPr>
          <w:gridBefore w:val="1"/>
          <w:gridAfter w:val="3"/>
          <w:wBefore w:w="142" w:type="dxa"/>
          <w:wAfter w:w="340" w:type="dxa"/>
          <w:trHeight w:val="600" w:hRule="atLeast"/>
          <w:jc w:val="center"/>
        </w:trPr>
        <w:tc>
          <w:tcPr>
            <w:tcW w:w="2637" w:type="dxa"/>
            <w:gridSpan w:val="5"/>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both"/>
              <w:rPr>
                <w:rFonts w:hint="eastAsia" w:ascii="宋体" w:hAnsi="宋体" w:eastAsia="宋体" w:cs="宋体"/>
                <w:i w:val="0"/>
                <w:color w:val="000000"/>
                <w:sz w:val="20"/>
                <w:szCs w:val="20"/>
                <w:u w:val="none"/>
              </w:rPr>
            </w:pPr>
          </w:p>
        </w:tc>
        <w:tc>
          <w:tcPr>
            <w:tcW w:w="56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5"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86" w:type="dxa"/>
            <w:gridSpan w:val="6"/>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bottom"/>
          </w:tcPr>
          <w:p>
            <w:pPr>
              <w:jc w:val="both"/>
              <w:rPr>
                <w:rFonts w:hint="eastAsia" w:ascii="宋体" w:hAnsi="宋体" w:eastAsia="宋体" w:cs="宋体"/>
                <w:i w:val="0"/>
                <w:color w:val="000000"/>
                <w:sz w:val="20"/>
                <w:szCs w:val="20"/>
                <w:u w:val="none"/>
              </w:rPr>
            </w:pPr>
          </w:p>
        </w:tc>
        <w:tc>
          <w:tcPr>
            <w:tcW w:w="566"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84" w:type="dxa"/>
            <w:gridSpan w:val="4"/>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30" w:type="dxa"/>
            <w:gridSpan w:val="6"/>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29" w:type="dxa"/>
            <w:gridSpan w:val="3"/>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3"/>
          <w:wBefore w:w="142" w:type="dxa"/>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5"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84"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130"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29"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gridBefore w:val="1"/>
          <w:gridAfter w:val="3"/>
          <w:wBefore w:w="142" w:type="dxa"/>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16,057,286.94</w:t>
            </w: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1,153,352.90</w:t>
            </w: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1,153,352.90</w:t>
            </w: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Before w:val="1"/>
          <w:gridAfter w:val="3"/>
          <w:wBefore w:w="142" w:type="dxa"/>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Before w:val="1"/>
          <w:gridAfter w:val="3"/>
          <w:wBefore w:w="142" w:type="dxa"/>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Before w:val="1"/>
          <w:gridAfter w:val="3"/>
          <w:wBefore w:w="142" w:type="dxa"/>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Before w:val="1"/>
          <w:gridAfter w:val="3"/>
          <w:wBefore w:w="142" w:type="dxa"/>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Before w:val="1"/>
          <w:gridAfter w:val="3"/>
          <w:wBefore w:w="142" w:type="dxa"/>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100,000.00</w:t>
            </w: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100,000.00</w:t>
            </w: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Before w:val="1"/>
          <w:gridAfter w:val="3"/>
          <w:wBefore w:w="142" w:type="dxa"/>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Before w:val="1"/>
          <w:gridAfter w:val="3"/>
          <w:wBefore w:w="142" w:type="dxa"/>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Before w:val="1"/>
          <w:gridAfter w:val="3"/>
          <w:wBefore w:w="142" w:type="dxa"/>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Before w:val="1"/>
          <w:gridAfter w:val="3"/>
          <w:wBefore w:w="142" w:type="dxa"/>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Before w:val="1"/>
          <w:gridAfter w:val="3"/>
          <w:wBefore w:w="142" w:type="dxa"/>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14,803,934.04</w:t>
            </w: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14,803,934.04</w:t>
            </w: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Before w:val="1"/>
          <w:gridAfter w:val="3"/>
          <w:wBefore w:w="142" w:type="dxa"/>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Before w:val="1"/>
          <w:gridAfter w:val="3"/>
          <w:wBefore w:w="142" w:type="dxa"/>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Before w:val="1"/>
          <w:gridAfter w:val="3"/>
          <w:wBefore w:w="142" w:type="dxa"/>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Before w:val="1"/>
          <w:gridAfter w:val="3"/>
          <w:wBefore w:w="142" w:type="dxa"/>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Before w:val="1"/>
          <w:gridAfter w:val="3"/>
          <w:wBefore w:w="142" w:type="dxa"/>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Before w:val="1"/>
          <w:gridAfter w:val="3"/>
          <w:wBefore w:w="142" w:type="dxa"/>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Before w:val="1"/>
          <w:gridAfter w:val="3"/>
          <w:wBefore w:w="142" w:type="dxa"/>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Before w:val="1"/>
          <w:gridAfter w:val="3"/>
          <w:wBefore w:w="142" w:type="dxa"/>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Before w:val="1"/>
          <w:gridAfter w:val="3"/>
          <w:wBefore w:w="142" w:type="dxa"/>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Before w:val="1"/>
          <w:gridAfter w:val="3"/>
          <w:wBefore w:w="142" w:type="dxa"/>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Before w:val="1"/>
          <w:gridAfter w:val="3"/>
          <w:wBefore w:w="142" w:type="dxa"/>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二十二、其他支出</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Before w:val="1"/>
          <w:gridAfter w:val="3"/>
          <w:wBefore w:w="142" w:type="dxa"/>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3"/>
          <w:wBefore w:w="142" w:type="dxa"/>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16,057,286.94</w:t>
            </w: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16,057,286.94</w:t>
            </w: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16,057,286.94</w:t>
            </w: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Before w:val="1"/>
          <w:gridAfter w:val="3"/>
          <w:wBefore w:w="142" w:type="dxa"/>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年初财政拨款结转和结余</w:t>
            </w: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年末财政拨款结转和结余</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Before w:val="1"/>
          <w:gridAfter w:val="3"/>
          <w:wBefore w:w="142" w:type="dxa"/>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3"/>
          <w:wBefore w:w="142" w:type="dxa"/>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3"/>
          <w:wBefore w:w="142" w:type="dxa"/>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Before w:val="1"/>
          <w:gridAfter w:val="3"/>
          <w:wBefore w:w="142" w:type="dxa"/>
          <w:wAfter w:w="340" w:type="dxa"/>
          <w:trHeight w:val="300" w:hRule="atLeast"/>
          <w:jc w:val="center"/>
        </w:trPr>
        <w:tc>
          <w:tcPr>
            <w:tcW w:w="2637" w:type="dxa"/>
            <w:gridSpan w:val="5"/>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5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4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16,057,286.94</w:t>
            </w:r>
          </w:p>
        </w:tc>
        <w:tc>
          <w:tcPr>
            <w:tcW w:w="328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566"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884"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16,057,286.94</w:t>
            </w:r>
          </w:p>
        </w:tc>
        <w:tc>
          <w:tcPr>
            <w:tcW w:w="21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16,057,286.94</w:t>
            </w:r>
          </w:p>
        </w:tc>
        <w:tc>
          <w:tcPr>
            <w:tcW w:w="1229"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Before w:val="1"/>
          <w:gridAfter w:val="3"/>
          <w:wBefore w:w="142" w:type="dxa"/>
          <w:wAfter w:w="340" w:type="dxa"/>
          <w:trHeight w:val="300" w:hRule="atLeast"/>
          <w:jc w:val="center"/>
        </w:trPr>
        <w:tc>
          <w:tcPr>
            <w:tcW w:w="13703" w:type="dxa"/>
            <w:gridSpan w:val="29"/>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注：本表反映部门本年度一般公共预算财政拨款和政府性基金预算财政拨款的总收支和年末结转结余情况。</w:t>
            </w:r>
          </w:p>
        </w:tc>
      </w:tr>
    </w:tbl>
    <w:p>
      <w:pPr>
        <w:pStyle w:val="5"/>
        <w:widowControl/>
        <w:spacing w:before="76" w:beforeAutospacing="0" w:after="76" w:afterAutospacing="0" w:line="450" w:lineRule="atLeast"/>
        <w:rPr>
          <w:rFonts w:hint="eastAsia"/>
        </w:rPr>
      </w:pPr>
    </w:p>
    <w:tbl>
      <w:tblPr>
        <w:tblStyle w:val="6"/>
        <w:tblW w:w="13320" w:type="dxa"/>
        <w:jc w:val="center"/>
        <w:shd w:val="clear" w:color="auto" w:fill="auto"/>
        <w:tblLayout w:type="autofit"/>
        <w:tblCellMar>
          <w:top w:w="0" w:type="dxa"/>
          <w:left w:w="0" w:type="dxa"/>
          <w:bottom w:w="0" w:type="dxa"/>
          <w:right w:w="0" w:type="dxa"/>
        </w:tblCellMar>
      </w:tblPr>
      <w:tblGrid>
        <w:gridCol w:w="245"/>
        <w:gridCol w:w="243"/>
        <w:gridCol w:w="242"/>
        <w:gridCol w:w="5498"/>
        <w:gridCol w:w="2553"/>
        <w:gridCol w:w="2553"/>
        <w:gridCol w:w="2569"/>
      </w:tblGrid>
      <w:tr>
        <w:tblPrEx>
          <w:shd w:val="clear" w:color="auto" w:fill="auto"/>
          <w:tblCellMar>
            <w:top w:w="0" w:type="dxa"/>
            <w:left w:w="0" w:type="dxa"/>
            <w:bottom w:w="0" w:type="dxa"/>
            <w:right w:w="0" w:type="dxa"/>
          </w:tblCellMar>
        </w:tblPrEx>
        <w:trPr>
          <w:trHeight w:val="636" w:hRule="atLeast"/>
          <w:jc w:val="center"/>
        </w:trPr>
        <w:tc>
          <w:tcPr>
            <w:tcW w:w="13320" w:type="dxa"/>
            <w:gridSpan w:val="7"/>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一般公共预算财政拨款支出决算表</w:t>
            </w:r>
          </w:p>
        </w:tc>
      </w:tr>
      <w:tr>
        <w:tblPrEx>
          <w:tblCellMar>
            <w:top w:w="0" w:type="dxa"/>
            <w:left w:w="0" w:type="dxa"/>
            <w:bottom w:w="0" w:type="dxa"/>
            <w:right w:w="0" w:type="dxa"/>
          </w:tblCellMar>
        </w:tblPrEx>
        <w:trPr>
          <w:trHeight w:val="326" w:hRule="atLeast"/>
          <w:jc w:val="center"/>
        </w:trPr>
        <w:tc>
          <w:tcPr>
            <w:tcW w:w="0" w:type="auto"/>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公开05表</w:t>
            </w:r>
          </w:p>
        </w:tc>
      </w:tr>
      <w:tr>
        <w:tblPrEx>
          <w:tblCellMar>
            <w:top w:w="0" w:type="dxa"/>
            <w:left w:w="0" w:type="dxa"/>
            <w:bottom w:w="0" w:type="dxa"/>
            <w:right w:w="0" w:type="dxa"/>
          </w:tblCellMar>
        </w:tblPrEx>
        <w:trPr>
          <w:trHeight w:val="326" w:hRule="atLeast"/>
          <w:jc w:val="center"/>
        </w:trPr>
        <w:tc>
          <w:tcPr>
            <w:tcW w:w="0" w:type="auto"/>
            <w:gridSpan w:val="4"/>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部门：黄石市黄石港区沈家营街道办事处</w:t>
            </w:r>
          </w:p>
        </w:tc>
        <w:tc>
          <w:tcPr>
            <w:tcW w:w="0" w:type="auto"/>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2019年度</w:t>
            </w:r>
          </w:p>
        </w:tc>
        <w:tc>
          <w:tcPr>
            <w:tcW w:w="0" w:type="auto"/>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CellMar>
            <w:top w:w="0" w:type="dxa"/>
            <w:left w:w="0" w:type="dxa"/>
            <w:bottom w:w="0" w:type="dxa"/>
            <w:right w:w="0" w:type="dxa"/>
          </w:tblCellMar>
        </w:tblPrEx>
        <w:trPr>
          <w:trHeight w:val="336" w:hRule="atLeast"/>
          <w:jc w:val="center"/>
        </w:trPr>
        <w:tc>
          <w:tcPr>
            <w:tcW w:w="0" w:type="auto"/>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7218"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r>
      <w:tr>
        <w:tblPrEx>
          <w:tblCellMar>
            <w:top w:w="0" w:type="dxa"/>
            <w:left w:w="0" w:type="dxa"/>
            <w:bottom w:w="0" w:type="dxa"/>
            <w:right w:w="0" w:type="dxa"/>
          </w:tblCellMar>
        </w:tblPrEx>
        <w:trPr>
          <w:trHeight w:val="324" w:hRule="atLeast"/>
          <w:jc w:val="center"/>
        </w:trPr>
        <w:tc>
          <w:tcPr>
            <w:tcW w:w="734" w:type="dxa"/>
            <w:gridSpan w:val="3"/>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2401"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2401"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2416"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CellMar>
            <w:top w:w="0" w:type="dxa"/>
            <w:left w:w="0" w:type="dxa"/>
            <w:bottom w:w="0" w:type="dxa"/>
            <w:right w:w="0" w:type="dxa"/>
          </w:tblCellMar>
        </w:tblPrEx>
        <w:trPr>
          <w:trHeight w:val="312" w:hRule="atLeast"/>
          <w:jc w:val="center"/>
        </w:trPr>
        <w:tc>
          <w:tcPr>
            <w:tcW w:w="734"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0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0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1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atLeast"/>
          <w:jc w:val="center"/>
        </w:trPr>
        <w:tc>
          <w:tcPr>
            <w:tcW w:w="734"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0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0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1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6" w:hRule="atLeast"/>
          <w:jc w:val="center"/>
        </w:trPr>
        <w:tc>
          <w:tcPr>
            <w:tcW w:w="0" w:type="auto"/>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336" w:hRule="atLeast"/>
          <w:jc w:val="center"/>
        </w:trPr>
        <w:tc>
          <w:tcPr>
            <w:tcW w:w="0" w:type="auto"/>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16,057,286.94</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16,057,286.94</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36" w:hRule="atLeast"/>
          <w:jc w:val="center"/>
        </w:trPr>
        <w:tc>
          <w:tcPr>
            <w:tcW w:w="0" w:type="auto"/>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1,153,352.90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1,153,352.90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36" w:hRule="atLeast"/>
          <w:jc w:val="center"/>
        </w:trPr>
        <w:tc>
          <w:tcPr>
            <w:tcW w:w="0" w:type="auto"/>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20131</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党委办公厅（室）及相关机构事务</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1,153,352.90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1,153,352.90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36" w:hRule="atLeast"/>
          <w:jc w:val="center"/>
        </w:trPr>
        <w:tc>
          <w:tcPr>
            <w:tcW w:w="0" w:type="auto"/>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2013199</w:t>
            </w:r>
          </w:p>
        </w:tc>
        <w:tc>
          <w:tcPr>
            <w:tcW w:w="0" w:type="auto"/>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其他党委办公厅（室）及相关机构事务支出</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1,153,352.90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1,153,352.90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36" w:hRule="atLeast"/>
          <w:jc w:val="center"/>
        </w:trPr>
        <w:tc>
          <w:tcPr>
            <w:tcW w:w="0" w:type="auto"/>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206</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科学技术支出</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100,000.00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100,000.00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36" w:hRule="atLeast"/>
          <w:jc w:val="center"/>
        </w:trPr>
        <w:tc>
          <w:tcPr>
            <w:tcW w:w="0" w:type="auto"/>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20607</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科学技术普及</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100,000.00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100,000.00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36" w:hRule="atLeast"/>
          <w:jc w:val="center"/>
        </w:trPr>
        <w:tc>
          <w:tcPr>
            <w:tcW w:w="0" w:type="auto"/>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2060799</w:t>
            </w:r>
          </w:p>
        </w:tc>
        <w:tc>
          <w:tcPr>
            <w:tcW w:w="0" w:type="auto"/>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其他科学技术普及支出</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36" w:hRule="atLeast"/>
          <w:jc w:val="center"/>
        </w:trPr>
        <w:tc>
          <w:tcPr>
            <w:tcW w:w="0" w:type="auto"/>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212</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14,803,934.04</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14,803,934.04</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36" w:hRule="atLeast"/>
          <w:jc w:val="center"/>
        </w:trPr>
        <w:tc>
          <w:tcPr>
            <w:tcW w:w="0" w:type="auto"/>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21201</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城乡社区管理事务</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14,803,934.04</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14,803,934.04</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36" w:hRule="atLeast"/>
          <w:jc w:val="center"/>
        </w:trPr>
        <w:tc>
          <w:tcPr>
            <w:tcW w:w="0" w:type="auto"/>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2120101</w:t>
            </w:r>
          </w:p>
        </w:tc>
        <w:tc>
          <w:tcPr>
            <w:tcW w:w="0" w:type="auto"/>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14,803,934.04</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14,803,934.04</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36" w:hRule="atLeast"/>
          <w:jc w:val="center"/>
        </w:trPr>
        <w:tc>
          <w:tcPr>
            <w:tcW w:w="0" w:type="auto"/>
            <w:gridSpan w:val="7"/>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注：本表反映部门本年度一般公共预算财政拨款支出情况。</w:t>
            </w:r>
          </w:p>
        </w:tc>
      </w:tr>
    </w:tbl>
    <w:p>
      <w:pPr>
        <w:pStyle w:val="5"/>
        <w:widowControl/>
        <w:spacing w:before="76" w:beforeAutospacing="0" w:after="76" w:afterAutospacing="0" w:line="450" w:lineRule="atLeast"/>
        <w:rPr>
          <w:rFonts w:hint="eastAsia"/>
        </w:rPr>
      </w:pPr>
    </w:p>
    <w:p>
      <w:pPr>
        <w:pStyle w:val="5"/>
        <w:widowControl/>
        <w:spacing w:before="76" w:beforeAutospacing="0" w:after="76" w:afterAutospacing="0" w:line="450" w:lineRule="atLeast"/>
        <w:rPr>
          <w:rFonts w:hint="eastAsia"/>
        </w:rPr>
      </w:pPr>
    </w:p>
    <w:tbl>
      <w:tblPr>
        <w:tblStyle w:val="6"/>
        <w:tblW w:w="15435" w:type="dxa"/>
        <w:jc w:val="center"/>
        <w:shd w:val="clear" w:color="auto" w:fill="auto"/>
        <w:tblLayout w:type="autofit"/>
        <w:tblCellMar>
          <w:top w:w="0" w:type="dxa"/>
          <w:left w:w="0" w:type="dxa"/>
          <w:bottom w:w="0" w:type="dxa"/>
          <w:right w:w="0" w:type="dxa"/>
        </w:tblCellMar>
      </w:tblPr>
      <w:tblGrid>
        <w:gridCol w:w="733"/>
        <w:gridCol w:w="3060"/>
        <w:gridCol w:w="1470"/>
        <w:gridCol w:w="733"/>
        <w:gridCol w:w="2085"/>
        <w:gridCol w:w="1440"/>
        <w:gridCol w:w="733"/>
        <w:gridCol w:w="3840"/>
        <w:gridCol w:w="1350"/>
      </w:tblGrid>
      <w:tr>
        <w:tblPrEx>
          <w:shd w:val="clear" w:color="auto" w:fill="auto"/>
          <w:tblCellMar>
            <w:top w:w="0" w:type="dxa"/>
            <w:left w:w="0" w:type="dxa"/>
            <w:bottom w:w="0" w:type="dxa"/>
            <w:right w:w="0" w:type="dxa"/>
          </w:tblCellMar>
        </w:tblPrEx>
        <w:trPr>
          <w:trHeight w:val="375" w:hRule="atLeast"/>
          <w:jc w:val="center"/>
        </w:trPr>
        <w:tc>
          <w:tcPr>
            <w:tcW w:w="15444" w:type="dxa"/>
            <w:gridSpan w:val="9"/>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一般公共预算财政拨款基本支出决算表</w:t>
            </w:r>
          </w:p>
        </w:tc>
      </w:tr>
      <w:tr>
        <w:tblPrEx>
          <w:tblCellMar>
            <w:top w:w="0" w:type="dxa"/>
            <w:left w:w="0" w:type="dxa"/>
            <w:bottom w:w="0" w:type="dxa"/>
            <w:right w:w="0" w:type="dxa"/>
          </w:tblCellMar>
        </w:tblPrEx>
        <w:trPr>
          <w:trHeight w:val="300" w:hRule="atLeast"/>
          <w:jc w:val="center"/>
        </w:trPr>
        <w:tc>
          <w:tcPr>
            <w:tcW w:w="0" w:type="auto"/>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公开06表</w:t>
            </w:r>
          </w:p>
        </w:tc>
      </w:tr>
      <w:tr>
        <w:tblPrEx>
          <w:tblCellMar>
            <w:top w:w="0" w:type="dxa"/>
            <w:left w:w="0" w:type="dxa"/>
            <w:bottom w:w="0" w:type="dxa"/>
            <w:right w:w="0" w:type="dxa"/>
          </w:tblCellMar>
        </w:tblPrEx>
        <w:trPr>
          <w:trHeight w:val="300" w:hRule="atLeast"/>
          <w:jc w:val="center"/>
        </w:trPr>
        <w:tc>
          <w:tcPr>
            <w:tcW w:w="0" w:type="auto"/>
            <w:gridSpan w:val="3"/>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部门：黄石市黄石港区沈家营街道办事处</w:t>
            </w:r>
          </w:p>
        </w:tc>
        <w:tc>
          <w:tcPr>
            <w:tcW w:w="0" w:type="auto"/>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0" w:type="auto"/>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CellMar>
            <w:top w:w="0" w:type="dxa"/>
            <w:left w:w="0" w:type="dxa"/>
            <w:bottom w:w="0" w:type="dxa"/>
            <w:right w:w="0" w:type="dxa"/>
          </w:tblCellMar>
        </w:tblPrEx>
        <w:trPr>
          <w:trHeight w:val="30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w:t>
            </w:r>
          </w:p>
        </w:tc>
        <w:tc>
          <w:tcPr>
            <w:tcW w:w="0" w:type="auto"/>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w:t>
            </w:r>
          </w:p>
        </w:tc>
      </w:tr>
      <w:tr>
        <w:tblPrEx>
          <w:tblCellMar>
            <w:top w:w="0" w:type="dxa"/>
            <w:left w:w="0" w:type="dxa"/>
            <w:bottom w:w="0" w:type="dxa"/>
            <w:right w:w="0" w:type="dxa"/>
          </w:tblCellMar>
        </w:tblPrEx>
        <w:trPr>
          <w:trHeight w:val="300" w:hRule="atLeast"/>
          <w:jc w:val="center"/>
        </w:trPr>
        <w:tc>
          <w:tcPr>
            <w:tcW w:w="733"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306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47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733"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08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44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733"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384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35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CellMar>
            <w:top w:w="0" w:type="dxa"/>
            <w:left w:w="0" w:type="dxa"/>
            <w:bottom w:w="0" w:type="dxa"/>
            <w:right w:w="0" w:type="dxa"/>
          </w:tblCellMar>
        </w:tblPrEx>
        <w:trPr>
          <w:trHeight w:val="300" w:hRule="atLeast"/>
          <w:jc w:val="center"/>
        </w:trPr>
        <w:tc>
          <w:tcPr>
            <w:tcW w:w="733"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6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7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8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4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84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4,474,511.28</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11,562,856.86</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1,198,599.00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7,153,175.13</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1,923,894.00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4,000.00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24,809.70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4,731.50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105,288.10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36,674.20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213,144.96</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27,103.16</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228,154.72</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15,250.00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139,122.30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49,626.00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69,648.90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21,537.50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403,241.00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13,762.00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168,608.60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19,918.80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19,918.80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40,801.36</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3,475,000.00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60,104.00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55,192.50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2,200.00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147,450.00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383.25</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455,866.26</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jc w:val="center"/>
        </w:trPr>
        <w:tc>
          <w:tcPr>
            <w:tcW w:w="0" w:type="auto"/>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4,494,430.08</w:t>
            </w:r>
          </w:p>
        </w:tc>
        <w:tc>
          <w:tcPr>
            <w:tcW w:w="0" w:type="auto"/>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11,562,856.86</w:t>
            </w:r>
          </w:p>
        </w:tc>
      </w:tr>
      <w:tr>
        <w:tblPrEx>
          <w:tblCellMar>
            <w:top w:w="0" w:type="dxa"/>
            <w:left w:w="0" w:type="dxa"/>
            <w:bottom w:w="0" w:type="dxa"/>
            <w:right w:w="0" w:type="dxa"/>
          </w:tblCellMar>
        </w:tblPrEx>
        <w:trPr>
          <w:trHeight w:val="300" w:hRule="atLeast"/>
          <w:jc w:val="center"/>
        </w:trPr>
        <w:tc>
          <w:tcPr>
            <w:tcW w:w="0" w:type="auto"/>
            <w:gridSpan w:val="9"/>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注：本表反映部门本年度一般公共预算财政拨款基本支出明细情况。</w:t>
            </w:r>
          </w:p>
        </w:tc>
      </w:tr>
    </w:tbl>
    <w:p>
      <w:pPr>
        <w:pStyle w:val="5"/>
        <w:widowControl/>
        <w:spacing w:before="76" w:beforeAutospacing="0" w:after="76" w:afterAutospacing="0" w:line="450" w:lineRule="atLeast"/>
        <w:rPr>
          <w:rFonts w:hint="eastAsia"/>
        </w:rPr>
      </w:pPr>
    </w:p>
    <w:p>
      <w:pPr>
        <w:pStyle w:val="5"/>
        <w:widowControl/>
        <w:spacing w:before="76" w:beforeAutospacing="0" w:after="76" w:afterAutospacing="0" w:line="450" w:lineRule="atLeast"/>
        <w:rPr>
          <w:rFonts w:hint="eastAsia"/>
        </w:rPr>
      </w:pPr>
    </w:p>
    <w:p>
      <w:pPr>
        <w:pStyle w:val="5"/>
        <w:widowControl/>
        <w:spacing w:before="76" w:beforeAutospacing="0" w:after="76" w:afterAutospacing="0" w:line="450" w:lineRule="atLeast"/>
        <w:rPr>
          <w:rFonts w:hint="eastAsia"/>
        </w:rPr>
      </w:pPr>
    </w:p>
    <w:p>
      <w:pPr>
        <w:pStyle w:val="5"/>
        <w:widowControl/>
        <w:spacing w:before="76" w:beforeAutospacing="0" w:after="76" w:afterAutospacing="0" w:line="450" w:lineRule="atLeast"/>
        <w:rPr>
          <w:rFonts w:hint="eastAsia"/>
        </w:rPr>
      </w:pPr>
    </w:p>
    <w:p>
      <w:pPr>
        <w:pStyle w:val="5"/>
        <w:widowControl/>
        <w:spacing w:before="76" w:beforeAutospacing="0" w:after="76" w:afterAutospacing="0" w:line="450" w:lineRule="atLeast"/>
        <w:rPr>
          <w:rFonts w:hint="eastAsia"/>
        </w:rPr>
      </w:pPr>
    </w:p>
    <w:p>
      <w:pPr>
        <w:pStyle w:val="5"/>
        <w:widowControl/>
        <w:spacing w:before="76" w:beforeAutospacing="0" w:after="76" w:afterAutospacing="0" w:line="450" w:lineRule="atLeast"/>
        <w:rPr>
          <w:color w:val="333333"/>
        </w:rPr>
      </w:pPr>
    </w:p>
    <w:p>
      <w:pPr>
        <w:pStyle w:val="5"/>
        <w:widowControl/>
        <w:spacing w:before="76" w:beforeAutospacing="0" w:after="76" w:afterAutospacing="0" w:line="450" w:lineRule="atLeast"/>
        <w:rPr>
          <w:color w:val="333333"/>
        </w:rPr>
      </w:pPr>
    </w:p>
    <w:p>
      <w:pPr>
        <w:pStyle w:val="5"/>
        <w:widowControl/>
        <w:spacing w:before="76" w:beforeAutospacing="0" w:after="76" w:afterAutospacing="0" w:line="450" w:lineRule="atLeast"/>
        <w:rPr>
          <w:color w:val="333333"/>
        </w:rPr>
      </w:pPr>
    </w:p>
    <w:tbl>
      <w:tblPr>
        <w:tblStyle w:val="6"/>
        <w:tblW w:w="14040" w:type="dxa"/>
        <w:tblInd w:w="0" w:type="dxa"/>
        <w:shd w:val="clear" w:color="auto" w:fill="auto"/>
        <w:tblLayout w:type="autofit"/>
        <w:tblCellMar>
          <w:top w:w="0" w:type="dxa"/>
          <w:left w:w="0" w:type="dxa"/>
          <w:bottom w:w="0" w:type="dxa"/>
          <w:right w:w="0" w:type="dxa"/>
        </w:tblCellMar>
      </w:tblPr>
      <w:tblGrid>
        <w:gridCol w:w="1170"/>
        <w:gridCol w:w="1170"/>
        <w:gridCol w:w="1170"/>
        <w:gridCol w:w="1170"/>
        <w:gridCol w:w="1170"/>
        <w:gridCol w:w="1170"/>
        <w:gridCol w:w="1170"/>
        <w:gridCol w:w="1170"/>
        <w:gridCol w:w="1170"/>
        <w:gridCol w:w="1170"/>
        <w:gridCol w:w="1170"/>
        <w:gridCol w:w="1170"/>
      </w:tblGrid>
      <w:tr>
        <w:tblPrEx>
          <w:shd w:val="clear" w:color="auto" w:fill="auto"/>
          <w:tblCellMar>
            <w:top w:w="0" w:type="dxa"/>
            <w:left w:w="0" w:type="dxa"/>
            <w:bottom w:w="0" w:type="dxa"/>
            <w:right w:w="0" w:type="dxa"/>
          </w:tblCellMar>
        </w:tblPrEx>
        <w:trPr>
          <w:trHeight w:val="375" w:hRule="atLeast"/>
        </w:trPr>
        <w:tc>
          <w:tcPr>
            <w:tcW w:w="14040" w:type="dxa"/>
            <w:gridSpan w:val="1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财政拨款“三公”经费支出决算表</w:t>
            </w:r>
          </w:p>
        </w:tc>
      </w:tr>
      <w:tr>
        <w:tblPrEx>
          <w:tblCellMar>
            <w:top w:w="0" w:type="dxa"/>
            <w:left w:w="0" w:type="dxa"/>
            <w:bottom w:w="0" w:type="dxa"/>
            <w:right w:w="0" w:type="dxa"/>
          </w:tblCellMar>
        </w:tblPrEx>
        <w:trPr>
          <w:trHeight w:val="300" w:hRule="atLeast"/>
        </w:trPr>
        <w:tc>
          <w:tcPr>
            <w:tcW w:w="0" w:type="auto"/>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公开07表</w:t>
            </w:r>
          </w:p>
        </w:tc>
      </w:tr>
      <w:tr>
        <w:tblPrEx>
          <w:tblCellMar>
            <w:top w:w="0" w:type="dxa"/>
            <w:left w:w="0" w:type="dxa"/>
            <w:bottom w:w="0" w:type="dxa"/>
            <w:right w:w="0" w:type="dxa"/>
          </w:tblCellMar>
        </w:tblPrEx>
        <w:trPr>
          <w:trHeight w:val="300" w:hRule="atLeast"/>
        </w:trPr>
        <w:tc>
          <w:tcPr>
            <w:tcW w:w="0" w:type="auto"/>
            <w:gridSpan w:val="4"/>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部门：黄石市黄石港区沈家营街道办事处</w:t>
            </w:r>
          </w:p>
        </w:tc>
        <w:tc>
          <w:tcPr>
            <w:tcW w:w="0" w:type="auto"/>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0" w:type="auto"/>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gridSpan w:val="3"/>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CellMar>
            <w:top w:w="0" w:type="dxa"/>
            <w:left w:w="0" w:type="dxa"/>
            <w:bottom w:w="0" w:type="dxa"/>
            <w:right w:w="0" w:type="dxa"/>
          </w:tblCellMar>
        </w:tblPrEx>
        <w:trPr>
          <w:trHeight w:val="300" w:hRule="atLeast"/>
        </w:trPr>
        <w:tc>
          <w:tcPr>
            <w:tcW w:w="7020" w:type="dxa"/>
            <w:gridSpan w:val="6"/>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7020" w:type="dxa"/>
            <w:gridSpan w:val="6"/>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CellMar>
            <w:top w:w="0" w:type="dxa"/>
            <w:left w:w="0" w:type="dxa"/>
            <w:bottom w:w="0" w:type="dxa"/>
            <w:right w:w="0" w:type="dxa"/>
          </w:tblCellMar>
        </w:tblPrEx>
        <w:trPr>
          <w:trHeight w:val="300" w:hRule="atLeast"/>
        </w:trPr>
        <w:tc>
          <w:tcPr>
            <w:tcW w:w="1170"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17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510"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17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117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17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510"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17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r>
      <w:tr>
        <w:tblPrEx>
          <w:tblCellMar>
            <w:top w:w="0" w:type="dxa"/>
            <w:left w:w="0" w:type="dxa"/>
            <w:bottom w:w="0" w:type="dxa"/>
            <w:right w:w="0" w:type="dxa"/>
          </w:tblCellMar>
        </w:tblPrEx>
        <w:trPr>
          <w:trHeight w:val="600" w:hRule="atLeast"/>
        </w:trPr>
        <w:tc>
          <w:tcPr>
            <w:tcW w:w="1170"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1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11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17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1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11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17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1170"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1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1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1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1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1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1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1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1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CellMar>
            <w:top w:w="0" w:type="dxa"/>
            <w:left w:w="0" w:type="dxa"/>
            <w:bottom w:w="0" w:type="dxa"/>
            <w:right w:w="0"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2,200.00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600" w:hRule="atLeast"/>
        </w:trPr>
        <w:tc>
          <w:tcPr>
            <w:tcW w:w="14040" w:type="dxa"/>
            <w:gridSpan w:val="1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财政拨款“三公”经费支出预决算情况。其中，预算数为“三公”经费年初预算数，包括一般公共预算财政拨款预算数和政府性基金财政拨款预算数，此数据由单位自己填报。决算数包括当年一般公共预算财政拨款、政府性基金财政拨款和以前年度结转资金安排的实际支出。</w:t>
            </w:r>
          </w:p>
        </w:tc>
      </w:tr>
    </w:tbl>
    <w:p>
      <w:pPr>
        <w:pStyle w:val="5"/>
        <w:widowControl/>
        <w:spacing w:before="76" w:beforeAutospacing="0" w:after="76" w:afterAutospacing="0" w:line="450" w:lineRule="atLeast"/>
        <w:rPr>
          <w:color w:val="333333"/>
        </w:rPr>
      </w:pPr>
    </w:p>
    <w:tbl>
      <w:tblPr>
        <w:tblStyle w:val="6"/>
        <w:tblpPr w:leftFromText="180" w:rightFromText="180" w:vertAnchor="text" w:horzAnchor="page" w:tblpXSpec="center" w:tblpY="-21"/>
        <w:tblOverlap w:val="never"/>
        <w:tblW w:w="13700" w:type="dxa"/>
        <w:jc w:val="center"/>
        <w:shd w:val="clear" w:color="auto" w:fill="auto"/>
        <w:tblLayout w:type="fixed"/>
        <w:tblCellMar>
          <w:top w:w="0" w:type="dxa"/>
          <w:left w:w="0" w:type="dxa"/>
          <w:bottom w:w="0" w:type="dxa"/>
          <w:right w:w="0" w:type="dxa"/>
        </w:tblCellMar>
      </w:tblPr>
      <w:tblGrid>
        <w:gridCol w:w="2628"/>
        <w:gridCol w:w="2443"/>
        <w:gridCol w:w="1925"/>
        <w:gridCol w:w="1145"/>
        <w:gridCol w:w="1191"/>
        <w:gridCol w:w="1224"/>
        <w:gridCol w:w="1281"/>
        <w:gridCol w:w="1863"/>
      </w:tblGrid>
      <w:tr>
        <w:tblPrEx>
          <w:shd w:val="clear" w:color="auto" w:fill="auto"/>
          <w:tblCellMar>
            <w:top w:w="0" w:type="dxa"/>
            <w:left w:w="0" w:type="dxa"/>
            <w:bottom w:w="0" w:type="dxa"/>
            <w:right w:w="0" w:type="dxa"/>
          </w:tblCellMar>
        </w:tblPrEx>
        <w:trPr>
          <w:trHeight w:val="535"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bookmarkStart w:id="0" w:name="_GoBack"/>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CellMar>
            <w:top w:w="0" w:type="dxa"/>
            <w:left w:w="0" w:type="dxa"/>
            <w:bottom w:w="0" w:type="dxa"/>
            <w:right w:w="0" w:type="dxa"/>
          </w:tblCellMar>
        </w:tblPrEx>
        <w:trPr>
          <w:trHeight w:val="274"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274" w:hRule="atLeast"/>
          <w:jc w:val="center"/>
        </w:trPr>
        <w:tc>
          <w:tcPr>
            <w:tcW w:w="5071" w:type="dxa"/>
            <w:gridSpan w:val="2"/>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color w:val="000000"/>
                <w:kern w:val="0"/>
                <w:sz w:val="22"/>
                <w:szCs w:val="22"/>
              </w:rPr>
              <w:t>部门：</w:t>
            </w:r>
            <w:r>
              <w:rPr>
                <w:rFonts w:hint="eastAsia" w:ascii="宋体" w:hAnsi="宋体" w:eastAsia="宋体" w:cs="宋体"/>
                <w:i w:val="0"/>
                <w:color w:val="000000"/>
                <w:kern w:val="0"/>
                <w:sz w:val="22"/>
                <w:szCs w:val="22"/>
                <w:u w:val="none"/>
                <w:lang w:val="en-US" w:eastAsia="zh-CN" w:bidi="ar"/>
              </w:rPr>
              <w:t>黄石市黄石港区沈家营街道办事处</w:t>
            </w:r>
          </w:p>
        </w:tc>
        <w:tc>
          <w:tcPr>
            <w:tcW w:w="3070" w:type="dxa"/>
            <w:gridSpan w:val="2"/>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eastAsiaTheme="minorEastAsia"/>
                <w:i w:val="0"/>
                <w:color w:val="000000"/>
                <w:sz w:val="20"/>
                <w:szCs w:val="20"/>
                <w:u w:val="none"/>
                <w:lang w:val="en-US" w:eastAsia="zh-CN"/>
              </w:rPr>
            </w:pPr>
            <w:r>
              <w:rPr>
                <w:rFonts w:hint="eastAsia" w:ascii="宋体" w:hAnsi="宋体" w:eastAsia="宋体" w:cs="宋体"/>
                <w:i w:val="0"/>
                <w:color w:val="000000"/>
                <w:kern w:val="0"/>
                <w:sz w:val="22"/>
                <w:szCs w:val="22"/>
                <w:u w:val="none"/>
                <w:lang w:val="en-US" w:eastAsia="zh-CN" w:bidi="ar"/>
              </w:rPr>
              <w:t>2019年度</w:t>
            </w:r>
          </w:p>
        </w:tc>
        <w:tc>
          <w:tcPr>
            <w:tcW w:w="119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2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8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63"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282" w:hRule="atLeast"/>
          <w:jc w:val="center"/>
        </w:trPr>
        <w:tc>
          <w:tcPr>
            <w:tcW w:w="5071"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92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14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3696"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86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12" w:hRule="atLeast"/>
          <w:jc w:val="center"/>
        </w:trPr>
        <w:tc>
          <w:tcPr>
            <w:tcW w:w="2628"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2443"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2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28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2" w:hRule="atLeast"/>
          <w:jc w:val="center"/>
        </w:trPr>
        <w:tc>
          <w:tcPr>
            <w:tcW w:w="2628"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3"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2" w:hRule="atLeast"/>
          <w:jc w:val="center"/>
        </w:trPr>
        <w:tc>
          <w:tcPr>
            <w:tcW w:w="2628"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3"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1" w:hRule="atLeast"/>
          <w:jc w:val="center"/>
        </w:trPr>
        <w:tc>
          <w:tcPr>
            <w:tcW w:w="5071"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9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2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6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292" w:hRule="atLeast"/>
          <w:jc w:val="center"/>
        </w:trPr>
        <w:tc>
          <w:tcPr>
            <w:tcW w:w="5071"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8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292" w:hRule="atLeast"/>
          <w:jc w:val="center"/>
        </w:trPr>
        <w:tc>
          <w:tcPr>
            <w:tcW w:w="262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92"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bookmarkEnd w:id="0"/>
    </w:tbl>
    <w:p>
      <w:pPr>
        <w:pStyle w:val="5"/>
        <w:widowControl/>
        <w:spacing w:before="76" w:beforeAutospacing="0" w:after="76" w:afterAutospacing="0" w:line="450" w:lineRule="atLeast"/>
        <w:rPr>
          <w:color w:val="333333"/>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p>
    <w:p>
      <w:pPr>
        <w:pStyle w:val="5"/>
        <w:widowControl/>
        <w:spacing w:before="76" w:beforeAutospacing="0" w:after="76" w:afterAutospacing="0" w:line="450" w:lineRule="atLeast"/>
        <w:rPr>
          <w:color w:val="333333"/>
        </w:rPr>
      </w:pPr>
      <w:r>
        <w:rPr>
          <w:rStyle w:val="9"/>
          <w:rFonts w:hint="eastAsia" w:ascii="微软雅黑" w:hAnsi="微软雅黑" w:eastAsia="微软雅黑" w:cs="微软雅黑"/>
          <w:color w:val="333333"/>
          <w:shd w:val="clear" w:color="auto" w:fill="FFFFFF"/>
        </w:rPr>
        <w:t>第三部分</w:t>
      </w:r>
      <w:r>
        <w:rPr>
          <w:rStyle w:val="9"/>
          <w:rFonts w:ascii="微软雅黑" w:hAnsi="微软雅黑" w:eastAsia="微软雅黑" w:cs="微软雅黑"/>
          <w:color w:val="333333"/>
          <w:shd w:val="clear" w:color="auto" w:fill="FFFFFF"/>
        </w:rPr>
        <w:t xml:space="preserve"> </w:t>
      </w:r>
      <w:r>
        <w:rPr>
          <w:rStyle w:val="9"/>
          <w:rFonts w:hint="eastAsia" w:ascii="微软雅黑" w:hAnsi="微软雅黑" w:eastAsia="微软雅黑" w:cs="微软雅黑"/>
          <w:color w:val="333333"/>
          <w:shd w:val="clear" w:color="auto" w:fill="FFFFFF"/>
          <w:lang w:eastAsia="zh-CN"/>
        </w:rPr>
        <w:t>2019年</w:t>
      </w:r>
      <w:r>
        <w:rPr>
          <w:rStyle w:val="9"/>
          <w:rFonts w:hint="eastAsia" w:ascii="微软雅黑" w:hAnsi="微软雅黑" w:eastAsia="微软雅黑" w:cs="微软雅黑"/>
          <w:color w:val="333333"/>
          <w:shd w:val="clear" w:color="auto" w:fill="FFFFFF"/>
        </w:rPr>
        <w:t>部门决算情况说明</w:t>
      </w:r>
    </w:p>
    <w:p>
      <w:pPr>
        <w:widowControl/>
        <w:shd w:val="clear" w:color="auto" w:fill="FFFFFF"/>
        <w:ind w:firstLine="48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（一）预算执行情况分析</w:t>
      </w:r>
    </w:p>
    <w:p>
      <w:pPr>
        <w:widowControl/>
        <w:shd w:val="clear" w:color="auto" w:fill="FFFFFF"/>
        <w:ind w:firstLine="560" w:firstLineChars="200"/>
        <w:jc w:val="left"/>
        <w:rPr>
          <w:rFonts w:hint="eastAsia" w:ascii="宋体" w:hAnsi="宋体" w:cs="宋体"/>
          <w:kern w:val="0"/>
          <w:sz w:val="28"/>
          <w:szCs w:val="28"/>
        </w:rPr>
      </w:pPr>
      <w:r>
        <w:rPr>
          <w:rFonts w:hint="eastAsia" w:ascii="宋体" w:hAnsi="宋体" w:cs="宋体"/>
          <w:sz w:val="28"/>
          <w:szCs w:val="28"/>
          <w:lang w:val="en-US" w:eastAsia="zh-CN"/>
        </w:rPr>
        <w:t>2</w:t>
      </w:r>
      <w:r>
        <w:rPr>
          <w:rFonts w:hint="eastAsia" w:ascii="宋体" w:hAnsi="宋体"/>
          <w:color w:val="000000"/>
          <w:spacing w:val="2"/>
          <w:kern w:val="2"/>
          <w:sz w:val="28"/>
          <w:szCs w:val="28"/>
        </w:rPr>
        <w:t>019年初预算总收入</w:t>
      </w:r>
      <w:r>
        <w:rPr>
          <w:rFonts w:hint="eastAsia" w:ascii="宋体" w:hAnsi="宋体" w:cs="宋体"/>
          <w:sz w:val="28"/>
          <w:szCs w:val="28"/>
        </w:rPr>
        <w:t>9567424</w:t>
      </w:r>
      <w:r>
        <w:rPr>
          <w:rFonts w:hint="eastAsia" w:ascii="宋体" w:hAnsi="宋体"/>
          <w:color w:val="000000"/>
          <w:spacing w:val="2"/>
          <w:kern w:val="2"/>
          <w:sz w:val="28"/>
          <w:szCs w:val="28"/>
        </w:rPr>
        <w:t>元，其中：工资福利支出</w:t>
      </w:r>
      <w:r>
        <w:rPr>
          <w:rFonts w:hint="eastAsia" w:ascii="宋体" w:hAnsi="宋体" w:cs="宋体"/>
          <w:kern w:val="2"/>
          <w:sz w:val="28"/>
          <w:szCs w:val="28"/>
        </w:rPr>
        <w:t>6654965</w:t>
      </w:r>
      <w:r>
        <w:rPr>
          <w:rFonts w:hint="eastAsia" w:ascii="宋体" w:hAnsi="宋体"/>
          <w:color w:val="000000"/>
          <w:spacing w:val="2"/>
          <w:kern w:val="2"/>
          <w:sz w:val="28"/>
          <w:szCs w:val="28"/>
        </w:rPr>
        <w:t>元，商品服务支出</w:t>
      </w:r>
      <w:r>
        <w:rPr>
          <w:rFonts w:hint="eastAsia" w:ascii="宋体" w:hAnsi="宋体" w:cs="宋体"/>
          <w:kern w:val="2"/>
          <w:sz w:val="28"/>
          <w:szCs w:val="28"/>
        </w:rPr>
        <w:t>465451</w:t>
      </w:r>
      <w:r>
        <w:rPr>
          <w:rFonts w:hint="eastAsia" w:ascii="宋体" w:hAnsi="宋体"/>
          <w:color w:val="000000"/>
          <w:spacing w:val="2"/>
          <w:kern w:val="2"/>
          <w:sz w:val="28"/>
          <w:szCs w:val="28"/>
        </w:rPr>
        <w:t>元，对个人和家</w:t>
      </w:r>
      <w:r>
        <w:rPr>
          <w:rFonts w:hint="eastAsia" w:ascii="宋体" w:hAnsi="宋体" w:cs="宋体"/>
          <w:sz w:val="28"/>
          <w:szCs w:val="28"/>
        </w:rPr>
        <w:t>庭补助支出</w:t>
      </w:r>
      <w:r>
        <w:rPr>
          <w:rFonts w:hint="eastAsia" w:ascii="宋体" w:hAnsi="宋体"/>
          <w:color w:val="000000"/>
          <w:spacing w:val="2"/>
          <w:kern w:val="2"/>
          <w:sz w:val="28"/>
          <w:szCs w:val="28"/>
        </w:rPr>
        <w:t>0</w:t>
      </w:r>
      <w:r>
        <w:rPr>
          <w:rFonts w:hint="eastAsia" w:ascii="宋体" w:hAnsi="宋体" w:cs="宋体"/>
          <w:sz w:val="28"/>
          <w:szCs w:val="28"/>
        </w:rPr>
        <w:t>元，专项经费</w:t>
      </w:r>
      <w:r>
        <w:rPr>
          <w:rFonts w:hint="eastAsia" w:ascii="宋体" w:hAnsi="宋体"/>
          <w:color w:val="000000"/>
          <w:spacing w:val="2"/>
          <w:kern w:val="2"/>
          <w:sz w:val="28"/>
          <w:szCs w:val="28"/>
        </w:rPr>
        <w:t>960000</w:t>
      </w:r>
      <w:r>
        <w:rPr>
          <w:rFonts w:hint="eastAsia" w:ascii="宋体" w:hAnsi="宋体" w:cs="宋体"/>
          <w:sz w:val="28"/>
          <w:szCs w:val="28"/>
        </w:rPr>
        <w:t>元。</w:t>
      </w:r>
      <w:r>
        <w:rPr>
          <w:rFonts w:ascii="宋体" w:hAnsi="宋体" w:cs="宋体"/>
          <w:kern w:val="0"/>
          <w:sz w:val="28"/>
          <w:szCs w:val="28"/>
        </w:rPr>
        <w:t>201</w:t>
      </w:r>
      <w:r>
        <w:rPr>
          <w:rFonts w:hint="eastAsia" w:ascii="宋体" w:hAnsi="宋体" w:cs="宋体"/>
          <w:kern w:val="0"/>
          <w:sz w:val="28"/>
          <w:szCs w:val="28"/>
        </w:rPr>
        <w:t>9年财政拨款预算收支</w:t>
      </w:r>
      <w:r>
        <w:rPr>
          <w:rFonts w:ascii="宋体" w:hAnsi="宋体" w:cs="宋体"/>
          <w:sz w:val="28"/>
          <w:szCs w:val="28"/>
        </w:rPr>
        <w:t>9567424</w:t>
      </w:r>
      <w:r>
        <w:rPr>
          <w:rFonts w:hint="eastAsia" w:ascii="宋体" w:hAnsi="宋体" w:cs="宋体"/>
          <w:kern w:val="0"/>
          <w:sz w:val="28"/>
          <w:szCs w:val="28"/>
        </w:rPr>
        <w:t>元，比2018年预算收支</w:t>
      </w:r>
      <w:r>
        <w:rPr>
          <w:rFonts w:hint="eastAsia" w:ascii="宋体" w:hAnsi="宋体" w:cs="宋体"/>
          <w:sz w:val="28"/>
          <w:szCs w:val="28"/>
        </w:rPr>
        <w:t>9631432元</w:t>
      </w:r>
      <w:r>
        <w:rPr>
          <w:rFonts w:hint="eastAsia" w:ascii="宋体" w:hAnsi="宋体" w:cs="宋体"/>
          <w:kern w:val="0"/>
          <w:sz w:val="28"/>
          <w:szCs w:val="28"/>
        </w:rPr>
        <w:t>减少64008元。</w:t>
      </w:r>
    </w:p>
    <w:p>
      <w:pPr>
        <w:widowControl/>
        <w:shd w:val="clear" w:color="auto" w:fill="FFFFFF"/>
        <w:ind w:firstLine="560" w:firstLineChars="200"/>
        <w:jc w:val="left"/>
        <w:rPr>
          <w:rFonts w:hint="eastAsia" w:ascii="宋体" w:eastAsia="宋体"/>
          <w:color w:val="FF0000"/>
          <w:sz w:val="28"/>
          <w:szCs w:val="28"/>
          <w:lang w:eastAsia="zh-CN"/>
        </w:rPr>
      </w:pPr>
      <w:r>
        <w:rPr>
          <w:rFonts w:hint="eastAsia" w:ascii="宋体" w:hAnsi="宋体" w:cs="宋体"/>
          <w:sz w:val="28"/>
          <w:szCs w:val="28"/>
          <w:lang w:val="en-US" w:eastAsia="zh-CN"/>
        </w:rPr>
        <w:t>2019年全年</w:t>
      </w:r>
      <w:r>
        <w:rPr>
          <w:rFonts w:hint="eastAsia" w:ascii="宋体" w:hAnsi="宋体" w:cs="宋体"/>
          <w:sz w:val="28"/>
          <w:szCs w:val="28"/>
        </w:rPr>
        <w:t>总收入为</w:t>
      </w:r>
      <w:r>
        <w:rPr>
          <w:rFonts w:hint="eastAsia" w:ascii="宋体" w:hAnsi="宋体" w:cs="宋体"/>
          <w:sz w:val="28"/>
          <w:szCs w:val="28"/>
          <w:highlight w:val="none"/>
          <w:lang w:val="en-US" w:eastAsia="zh-CN"/>
        </w:rPr>
        <w:t>16057286.94</w:t>
      </w:r>
      <w:r>
        <w:rPr>
          <w:rFonts w:hint="eastAsia" w:ascii="宋体" w:hAnsi="宋体" w:cs="宋体"/>
          <w:sz w:val="28"/>
          <w:szCs w:val="28"/>
        </w:rPr>
        <w:t>元</w:t>
      </w:r>
      <w:r>
        <w:rPr>
          <w:rFonts w:hint="eastAsia" w:ascii="宋体" w:hAnsi="宋体" w:cs="宋体"/>
          <w:sz w:val="28"/>
          <w:szCs w:val="28"/>
          <w:lang w:eastAsia="zh-CN"/>
        </w:rPr>
        <w:t>，其中财政决算收入</w:t>
      </w:r>
      <w:r>
        <w:rPr>
          <w:rFonts w:hint="eastAsia" w:ascii="宋体" w:hAnsi="宋体" w:cs="宋体"/>
          <w:sz w:val="28"/>
          <w:szCs w:val="28"/>
          <w:lang w:val="en-US" w:eastAsia="zh-CN"/>
        </w:rPr>
        <w:t>16057286.94元</w:t>
      </w:r>
      <w:r>
        <w:rPr>
          <w:rFonts w:hint="eastAsia" w:ascii="宋体" w:hAnsi="宋体" w:cs="宋体"/>
          <w:sz w:val="28"/>
          <w:szCs w:val="28"/>
        </w:rPr>
        <w:t>。</w:t>
      </w:r>
      <w:r>
        <w:rPr>
          <w:rFonts w:hint="eastAsia" w:ascii="宋体" w:hAnsi="宋体" w:cs="宋体"/>
          <w:sz w:val="28"/>
          <w:szCs w:val="28"/>
          <w:lang w:val="en-US" w:eastAsia="zh-CN"/>
        </w:rPr>
        <w:t>2019年全年总支出为16057286.94元，其中财政决算支出16057286.94元。2019年财政收入预算9567424元，财政拨款决算比预算多6489862.94元，增幅67.83%，</w:t>
      </w:r>
      <w:r>
        <w:rPr>
          <w:rFonts w:hint="eastAsia" w:ascii="宋体" w:hAnsi="宋体" w:cs="宋体"/>
          <w:sz w:val="28"/>
          <w:szCs w:val="28"/>
        </w:rPr>
        <w:t>原因</w:t>
      </w:r>
      <w:r>
        <w:rPr>
          <w:rFonts w:hint="eastAsia" w:ascii="宋体" w:hAnsi="宋体" w:cs="宋体"/>
          <w:sz w:val="28"/>
          <w:szCs w:val="28"/>
          <w:lang w:eastAsia="zh-CN"/>
        </w:rPr>
        <w:t>为业务增加。</w:t>
      </w:r>
    </w:p>
    <w:p>
      <w:pPr>
        <w:widowControl/>
        <w:numPr>
          <w:ilvl w:val="0"/>
          <w:numId w:val="0"/>
        </w:numPr>
        <w:shd w:val="clear" w:color="auto" w:fill="FFFFFF"/>
        <w:ind w:leftChars="20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eastAsia="zh-CN"/>
        </w:rPr>
        <w:t>（二）</w:t>
      </w:r>
      <w:r>
        <w:rPr>
          <w:rFonts w:hint="eastAsia" w:asciiTheme="minorEastAsia" w:hAnsiTheme="minorEastAsia" w:eastAsiaTheme="minorEastAsia" w:cstheme="minorEastAsia"/>
          <w:b/>
          <w:bCs/>
          <w:sz w:val="28"/>
          <w:szCs w:val="28"/>
        </w:rPr>
        <w:t>关于“三公”经费支出说明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560" w:firstLineChars="200"/>
        <w:jc w:val="left"/>
        <w:textAlignment w:val="auto"/>
        <w:rPr>
          <w:rFonts w:ascii="宋体" w:cs="宋体"/>
          <w:sz w:val="28"/>
          <w:szCs w:val="28"/>
        </w:rPr>
      </w:pPr>
      <w:r>
        <w:rPr>
          <w:rFonts w:hint="eastAsia" w:ascii="宋体" w:hAnsi="宋体" w:cs="宋体"/>
          <w:sz w:val="28"/>
          <w:szCs w:val="28"/>
        </w:rPr>
        <w:t>我单位</w:t>
      </w:r>
      <w:r>
        <w:rPr>
          <w:rFonts w:hint="eastAsia" w:ascii="宋体" w:hAnsi="宋体" w:cs="宋体"/>
          <w:sz w:val="28"/>
          <w:szCs w:val="28"/>
          <w:lang w:eastAsia="zh-CN"/>
        </w:rPr>
        <w:t>2019年</w:t>
      </w:r>
      <w:r>
        <w:rPr>
          <w:rFonts w:hint="eastAsia" w:ascii="宋体" w:hAnsi="宋体" w:cs="宋体"/>
          <w:sz w:val="28"/>
          <w:szCs w:val="28"/>
        </w:rPr>
        <w:t>因公出国（境）费</w:t>
      </w:r>
      <w:r>
        <w:rPr>
          <w:rFonts w:ascii="宋体" w:cs="宋体"/>
          <w:sz w:val="28"/>
          <w:szCs w:val="28"/>
        </w:rPr>
        <w:t>0</w:t>
      </w:r>
      <w:r>
        <w:rPr>
          <w:rFonts w:hint="eastAsia" w:ascii="宋体" w:hAnsi="宋体" w:cs="宋体"/>
          <w:sz w:val="28"/>
          <w:szCs w:val="28"/>
        </w:rPr>
        <w:t>元，较</w:t>
      </w:r>
      <w:r>
        <w:rPr>
          <w:rFonts w:ascii="宋体" w:hAnsi="宋体" w:cs="宋体"/>
          <w:sz w:val="28"/>
          <w:szCs w:val="28"/>
        </w:rPr>
        <w:t>201</w:t>
      </w:r>
      <w:r>
        <w:rPr>
          <w:rFonts w:hint="eastAsia" w:ascii="宋体" w:hAnsi="宋体" w:cs="宋体"/>
          <w:sz w:val="28"/>
          <w:szCs w:val="28"/>
          <w:lang w:val="en-US" w:eastAsia="zh-CN"/>
        </w:rPr>
        <w:t>8</w:t>
      </w:r>
      <w:r>
        <w:rPr>
          <w:rFonts w:hint="eastAsia" w:ascii="宋体" w:hAnsi="宋体" w:cs="宋体"/>
          <w:sz w:val="28"/>
          <w:szCs w:val="28"/>
        </w:rPr>
        <w:t>年决算数持平，主要原因是单位没有因公出国</w:t>
      </w:r>
      <w:r>
        <w:rPr>
          <w:rFonts w:hint="eastAsia" w:ascii="宋体" w:hAnsi="宋体" w:cs="宋体"/>
          <w:sz w:val="28"/>
          <w:szCs w:val="28"/>
          <w:lang w:eastAsia="zh-CN"/>
        </w:rPr>
        <w:t>；</w:t>
      </w:r>
      <w:r>
        <w:rPr>
          <w:rFonts w:hint="eastAsia" w:ascii="宋体" w:hAnsi="宋体"/>
          <w:sz w:val="28"/>
          <w:lang w:eastAsia="zh-CN"/>
        </w:rPr>
        <w:t>2019年</w:t>
      </w:r>
      <w:r>
        <w:rPr>
          <w:rFonts w:hint="eastAsia" w:ascii="宋体" w:hAnsi="宋体"/>
          <w:sz w:val="28"/>
        </w:rPr>
        <w:t>公务用车购置及</w:t>
      </w:r>
      <w:r>
        <w:rPr>
          <w:rFonts w:hint="eastAsia" w:ascii="宋体" w:hAnsi="宋体"/>
          <w:sz w:val="28"/>
          <w:highlight w:val="none"/>
        </w:rPr>
        <w:t>运行维护费</w:t>
      </w:r>
      <w:r>
        <w:rPr>
          <w:rFonts w:hint="eastAsia" w:ascii="宋体" w:hAnsi="宋体"/>
          <w:sz w:val="28"/>
          <w:highlight w:val="none"/>
          <w:lang w:val="en-US" w:eastAsia="zh-CN"/>
        </w:rPr>
        <w:t>2200元</w:t>
      </w:r>
      <w:r>
        <w:rPr>
          <w:rFonts w:hint="eastAsia" w:ascii="宋体" w:hAnsi="宋体"/>
          <w:sz w:val="28"/>
        </w:rPr>
        <w:t>，较201</w:t>
      </w:r>
      <w:r>
        <w:rPr>
          <w:rFonts w:hint="eastAsia" w:ascii="宋体" w:hAnsi="宋体"/>
          <w:sz w:val="28"/>
          <w:lang w:val="en-US" w:eastAsia="zh-CN"/>
        </w:rPr>
        <w:t>8</w:t>
      </w:r>
      <w:r>
        <w:rPr>
          <w:rFonts w:hint="eastAsia" w:ascii="宋体" w:hAnsi="宋体"/>
          <w:sz w:val="28"/>
        </w:rPr>
        <w:t>年决算数</w:t>
      </w:r>
      <w:r>
        <w:rPr>
          <w:rFonts w:hint="eastAsia" w:ascii="宋体" w:hAnsi="宋体"/>
          <w:sz w:val="28"/>
          <w:lang w:eastAsia="zh-CN"/>
        </w:rPr>
        <w:t>增加</w:t>
      </w:r>
      <w:r>
        <w:rPr>
          <w:rFonts w:hint="eastAsia" w:ascii="宋体" w:hAnsi="宋体"/>
          <w:sz w:val="28"/>
          <w:lang w:val="en-US" w:eastAsia="zh-CN"/>
        </w:rPr>
        <w:t>2200元</w:t>
      </w:r>
      <w:r>
        <w:rPr>
          <w:rFonts w:hint="eastAsia" w:ascii="宋体" w:hAnsi="宋体"/>
          <w:sz w:val="28"/>
        </w:rPr>
        <w:t>，主要原因是</w:t>
      </w:r>
      <w:r>
        <w:rPr>
          <w:rFonts w:hint="eastAsia" w:ascii="宋体" w:hAnsi="宋体"/>
          <w:sz w:val="28"/>
          <w:highlight w:val="none"/>
          <w:lang w:val="en-US" w:eastAsia="zh-CN"/>
        </w:rPr>
        <w:t>2019年成立沈家营城管执法中队，原城管局沈家营中队队员及配套执法车辆的使用权等划入我街道，发生执法车辆维护费2200元</w:t>
      </w:r>
      <w:r>
        <w:rPr>
          <w:rFonts w:hint="eastAsia" w:ascii="宋体" w:hAnsi="宋体"/>
          <w:sz w:val="28"/>
          <w:lang w:eastAsia="zh-CN"/>
        </w:rPr>
        <w:t>；2019年</w:t>
      </w:r>
      <w:r>
        <w:rPr>
          <w:rFonts w:hint="eastAsia" w:ascii="宋体" w:hAnsi="宋体"/>
          <w:sz w:val="28"/>
        </w:rPr>
        <w:t>无公务接待费，较</w:t>
      </w:r>
      <w:r>
        <w:rPr>
          <w:rFonts w:hint="eastAsia" w:ascii="宋体" w:hAnsi="宋体"/>
          <w:sz w:val="28"/>
          <w:lang w:eastAsia="zh-CN"/>
        </w:rPr>
        <w:t>2018年</w:t>
      </w:r>
      <w:r>
        <w:rPr>
          <w:rFonts w:hint="eastAsia" w:ascii="宋体" w:hAnsi="宋体"/>
          <w:sz w:val="28"/>
        </w:rPr>
        <w:t>决算数持平。主要原因是单位没有公务接待。　</w:t>
      </w:r>
      <w:r>
        <w:rPr>
          <w:rFonts w:hint="eastAsia" w:ascii="宋体" w:hAnsi="宋体" w:cs="宋体"/>
          <w:sz w:val="28"/>
          <w:szCs w:val="28"/>
        </w:rPr>
        <w:t>　</w:t>
      </w:r>
    </w:p>
    <w:p>
      <w:pPr>
        <w:widowControl/>
        <w:shd w:val="clear" w:color="auto" w:fill="FFFFFF"/>
        <w:ind w:firstLine="48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（三）关于机关运行经费支出说明</w:t>
      </w:r>
    </w:p>
    <w:p>
      <w:pPr>
        <w:pStyle w:val="10"/>
        <w:rPr>
          <w:rFonts w:ascii="宋体" w:cs="Times New Roman"/>
          <w:sz w:val="28"/>
          <w:szCs w:val="28"/>
          <w:highlight w:val="cyan"/>
        </w:rPr>
      </w:pPr>
      <w:r>
        <w:rPr>
          <w:rFonts w:hint="eastAsia" w:ascii="宋体" w:hAnsi="宋体"/>
          <w:sz w:val="28"/>
          <w:szCs w:val="28"/>
          <w:lang w:eastAsia="zh-CN"/>
        </w:rPr>
        <w:t>2019年</w:t>
      </w:r>
      <w:r>
        <w:rPr>
          <w:rFonts w:hint="eastAsia" w:ascii="宋体" w:hAnsi="宋体"/>
          <w:sz w:val="28"/>
          <w:szCs w:val="28"/>
        </w:rPr>
        <w:t>度机关运行经费支出</w:t>
      </w:r>
      <w:r>
        <w:rPr>
          <w:rFonts w:hint="eastAsia" w:ascii="宋体" w:hAnsi="宋体"/>
          <w:sz w:val="28"/>
          <w:szCs w:val="28"/>
          <w:highlight w:val="none"/>
          <w:lang w:val="en-US" w:eastAsia="zh-CN"/>
        </w:rPr>
        <w:t>16057286.94</w:t>
      </w:r>
      <w:r>
        <w:rPr>
          <w:rFonts w:hint="eastAsia" w:ascii="宋体" w:hAnsi="宋体"/>
          <w:sz w:val="28"/>
          <w:szCs w:val="28"/>
        </w:rPr>
        <w:t>元</w:t>
      </w:r>
      <w:r>
        <w:rPr>
          <w:rFonts w:hint="eastAsia" w:ascii="宋体" w:hAnsi="宋体"/>
          <w:sz w:val="28"/>
          <w:szCs w:val="28"/>
          <w:lang w:eastAsia="zh-CN"/>
        </w:rPr>
        <w:t>，</w:t>
      </w:r>
      <w:r>
        <w:rPr>
          <w:rFonts w:hint="eastAsia" w:ascii="宋体" w:hAnsi="宋体"/>
          <w:sz w:val="28"/>
          <w:szCs w:val="28"/>
        </w:rPr>
        <w:t>比</w:t>
      </w:r>
      <w:r>
        <w:rPr>
          <w:rFonts w:hint="eastAsia" w:ascii="宋体" w:hAnsi="宋体"/>
          <w:sz w:val="28"/>
          <w:szCs w:val="28"/>
          <w:lang w:eastAsia="zh-CN"/>
        </w:rPr>
        <w:t>年初预算增加了</w:t>
      </w:r>
      <w:r>
        <w:rPr>
          <w:rFonts w:hint="eastAsia" w:ascii="宋体" w:hAnsi="宋体"/>
          <w:sz w:val="28"/>
          <w:szCs w:val="28"/>
          <w:lang w:val="en-US" w:eastAsia="zh-CN"/>
        </w:rPr>
        <w:t>6489862.94元，增长67.83%。</w:t>
      </w:r>
      <w:r>
        <w:rPr>
          <w:rFonts w:hint="eastAsia" w:ascii="宋体" w:hAnsi="宋体"/>
          <w:sz w:val="28"/>
          <w:szCs w:val="28"/>
        </w:rPr>
        <w:t>主要原因是：</w:t>
      </w:r>
      <w:r>
        <w:rPr>
          <w:rFonts w:hint="eastAsia" w:ascii="宋体" w:hAnsi="宋体"/>
          <w:sz w:val="28"/>
          <w:szCs w:val="28"/>
          <w:highlight w:val="none"/>
        </w:rPr>
        <w:t>1</w:t>
      </w:r>
      <w:r>
        <w:rPr>
          <w:rFonts w:hint="eastAsia" w:ascii="宋体" w:hAnsi="宋体"/>
          <w:sz w:val="28"/>
          <w:szCs w:val="28"/>
          <w:highlight w:val="none"/>
          <w:lang w:eastAsia="zh-CN"/>
        </w:rPr>
        <w:t>、人员经费逐年递增</w:t>
      </w:r>
      <w:r>
        <w:rPr>
          <w:rFonts w:hint="eastAsia" w:ascii="宋体" w:hAnsi="宋体"/>
          <w:sz w:val="28"/>
          <w:szCs w:val="28"/>
          <w:highlight w:val="none"/>
          <w:lang w:val="en-US" w:eastAsia="zh-CN"/>
        </w:rPr>
        <w:t>；</w:t>
      </w:r>
      <w:r>
        <w:rPr>
          <w:rFonts w:hint="eastAsia" w:ascii="宋体" w:hAnsi="宋体"/>
          <w:sz w:val="28"/>
          <w:szCs w:val="28"/>
          <w:highlight w:val="none"/>
        </w:rPr>
        <w:t>2</w:t>
      </w:r>
      <w:r>
        <w:rPr>
          <w:rFonts w:hint="eastAsia" w:ascii="宋体" w:hAnsi="宋体"/>
          <w:sz w:val="28"/>
          <w:szCs w:val="28"/>
          <w:highlight w:val="none"/>
          <w:lang w:eastAsia="zh-CN"/>
        </w:rPr>
        <w:t>、成立街道城管执法中队；</w:t>
      </w:r>
      <w:r>
        <w:rPr>
          <w:rFonts w:hint="eastAsia" w:ascii="宋体" w:hAnsi="宋体"/>
          <w:sz w:val="28"/>
          <w:szCs w:val="28"/>
          <w:highlight w:val="none"/>
          <w:lang w:val="en-US" w:eastAsia="zh-CN"/>
        </w:rPr>
        <w:t>3、</w:t>
      </w:r>
      <w:r>
        <w:rPr>
          <w:rFonts w:hint="eastAsia" w:ascii="宋体" w:hAnsi="宋体"/>
          <w:sz w:val="28"/>
          <w:szCs w:val="28"/>
          <w:highlight w:val="none"/>
          <w:lang w:eastAsia="zh-CN"/>
        </w:rPr>
        <w:t>2019年</w:t>
      </w:r>
      <w:r>
        <w:rPr>
          <w:rFonts w:hint="eastAsia" w:ascii="宋体" w:hAnsi="宋体"/>
          <w:sz w:val="28"/>
          <w:szCs w:val="28"/>
          <w:highlight w:val="none"/>
        </w:rPr>
        <w:t>全力创建文明城市，本年度财拨款新增创文专项资金</w:t>
      </w:r>
      <w:r>
        <w:rPr>
          <w:rFonts w:hint="eastAsia" w:ascii="宋体" w:hAnsi="宋体"/>
          <w:sz w:val="28"/>
          <w:szCs w:val="28"/>
          <w:highlight w:val="none"/>
          <w:lang w:val="en-US" w:eastAsia="zh-CN"/>
        </w:rPr>
        <w:t>.</w:t>
      </w:r>
      <w:r>
        <w:rPr>
          <w:rFonts w:hint="eastAsia" w:ascii="宋体" w:hAnsi="宋体"/>
          <w:sz w:val="28"/>
          <w:szCs w:val="28"/>
          <w:highlight w:val="none"/>
        </w:rPr>
        <w:t>所以较</w:t>
      </w:r>
      <w:r>
        <w:rPr>
          <w:rFonts w:hint="eastAsia" w:ascii="宋体" w:hAnsi="宋体"/>
          <w:sz w:val="28"/>
          <w:szCs w:val="28"/>
          <w:highlight w:val="none"/>
          <w:lang w:eastAsia="zh-CN"/>
        </w:rPr>
        <w:t>年初预算</w:t>
      </w:r>
      <w:r>
        <w:rPr>
          <w:rFonts w:hint="eastAsia" w:ascii="宋体" w:hAnsi="宋体"/>
          <w:sz w:val="28"/>
          <w:szCs w:val="28"/>
          <w:highlight w:val="none"/>
        </w:rPr>
        <w:t>有所增加。</w:t>
      </w:r>
    </w:p>
    <w:p>
      <w:pPr>
        <w:widowControl/>
        <w:shd w:val="clear" w:color="auto" w:fill="FFFFFF"/>
        <w:jc w:val="left"/>
        <w:rPr>
          <w:rFonts w:ascii="宋体" w:cs="宋体"/>
          <w:b/>
          <w:bCs/>
          <w:sz w:val="28"/>
          <w:szCs w:val="28"/>
        </w:rPr>
      </w:pPr>
      <w:r>
        <w:rPr>
          <w:rFonts w:hint="eastAsia" w:ascii="宋体" w:hAnsi="宋体" w:cs="宋体"/>
          <w:b/>
          <w:bCs/>
          <w:sz w:val="28"/>
          <w:szCs w:val="28"/>
        </w:rPr>
        <w:t>　　（四）关于政府采购支出说明</w:t>
      </w:r>
    </w:p>
    <w:p>
      <w:pPr>
        <w:widowControl/>
        <w:shd w:val="clear" w:color="auto" w:fill="FFFFFF"/>
        <w:ind w:firstLine="480"/>
        <w:jc w:val="lef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本单位</w:t>
      </w:r>
      <w:r>
        <w:rPr>
          <w:rFonts w:hint="eastAsia" w:asciiTheme="minorEastAsia" w:hAnsiTheme="minorEastAsia" w:eastAsiaTheme="minorEastAsia" w:cstheme="minorEastAsia"/>
          <w:b w:val="0"/>
          <w:bCs w:val="0"/>
          <w:sz w:val="28"/>
          <w:szCs w:val="28"/>
          <w:lang w:eastAsia="zh-CN"/>
        </w:rPr>
        <w:t>2019年</w:t>
      </w:r>
      <w:r>
        <w:rPr>
          <w:rFonts w:hint="eastAsia" w:asciiTheme="minorEastAsia" w:hAnsiTheme="minorEastAsia" w:eastAsiaTheme="minorEastAsia" w:cstheme="minorEastAsia"/>
          <w:b w:val="0"/>
          <w:bCs w:val="0"/>
          <w:sz w:val="28"/>
          <w:szCs w:val="28"/>
        </w:rPr>
        <w:t>度政府采购支出总额0万元，主要原因是单位没有本年度无政府采购支出。　</w:t>
      </w:r>
    </w:p>
    <w:p>
      <w:pPr>
        <w:widowControl/>
        <w:shd w:val="clear" w:color="auto" w:fill="FFFFFF"/>
        <w:ind w:firstLine="480"/>
        <w:jc w:val="left"/>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（五）关于国有资产占用情况说明</w:t>
      </w:r>
    </w:p>
    <w:p>
      <w:pPr>
        <w:widowControl/>
        <w:shd w:val="clear" w:color="auto" w:fill="FFFFFF"/>
        <w:ind w:firstLine="480"/>
        <w:jc w:val="left"/>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截到2019年12月31日，本部门共有车辆0辆，其中：领导干部用车0辆，一般公务用车0辆，一般执法执勤用车</w:t>
      </w:r>
      <w:r>
        <w:rPr>
          <w:rFonts w:hint="eastAsia" w:asciiTheme="minorEastAsia" w:hAnsiTheme="minorEastAsia" w:eastAsiaTheme="minorEastAsia" w:cstheme="minorEastAsia"/>
          <w:b w:val="0"/>
          <w:bCs w:val="0"/>
          <w:sz w:val="28"/>
          <w:szCs w:val="28"/>
          <w:highlight w:val="none"/>
          <w:lang w:val="en-US" w:eastAsia="zh-CN"/>
        </w:rPr>
        <w:t>0</w:t>
      </w:r>
      <w:r>
        <w:rPr>
          <w:rFonts w:hint="eastAsia" w:asciiTheme="minorEastAsia" w:hAnsiTheme="minorEastAsia" w:eastAsiaTheme="minorEastAsia" w:cstheme="minorEastAsia"/>
          <w:b w:val="0"/>
          <w:bCs w:val="0"/>
          <w:sz w:val="28"/>
          <w:szCs w:val="28"/>
          <w:lang w:val="en-US" w:eastAsia="zh-CN"/>
        </w:rPr>
        <w:t>辆，特种专业技术用车0辆，其他用车0辆。单位价值50万元以上通用设备0台，单价100万元以上专用设备0台。</w:t>
      </w:r>
    </w:p>
    <w:p>
      <w:pPr>
        <w:widowControl/>
        <w:shd w:val="clear" w:color="auto" w:fill="FFFFFF"/>
        <w:ind w:firstLine="480"/>
        <w:jc w:val="left"/>
        <w:rPr>
          <w:rFonts w:hint="eastAsia" w:asciiTheme="minorEastAsia" w:hAnsiTheme="minorEastAsia" w:eastAsiaTheme="minorEastAsia" w:cstheme="minorEastAsia"/>
          <w:b w:val="0"/>
          <w:bCs w:val="0"/>
          <w:sz w:val="28"/>
          <w:szCs w:val="28"/>
          <w:lang w:val="en-US" w:eastAsia="zh-CN"/>
        </w:rPr>
      </w:pPr>
    </w:p>
    <w:p>
      <w:pPr>
        <w:widowControl/>
        <w:shd w:val="clear" w:color="auto" w:fill="FFFFFF"/>
        <w:ind w:firstLine="480"/>
        <w:jc w:val="left"/>
        <w:rPr>
          <w:rFonts w:hint="eastAsia" w:asciiTheme="minorEastAsia" w:hAnsiTheme="minorEastAsia" w:eastAsiaTheme="minorEastAsia" w:cstheme="minorEastAsia"/>
          <w:b w:val="0"/>
          <w:bCs w:val="0"/>
          <w:sz w:val="28"/>
          <w:szCs w:val="28"/>
          <w:lang w:val="en-US" w:eastAsia="zh-CN"/>
        </w:rPr>
      </w:pPr>
    </w:p>
    <w:p>
      <w:pPr>
        <w:widowControl/>
        <w:shd w:val="clear" w:color="auto" w:fill="FFFFFF"/>
        <w:jc w:val="left"/>
        <w:rPr>
          <w:rFonts w:hint="eastAsia" w:ascii="仿宋_GB2312" w:hAnsi="仿宋" w:eastAsia="仿宋_GB2312"/>
          <w:sz w:val="32"/>
          <w:szCs w:val="32"/>
        </w:rPr>
      </w:pPr>
      <w:r>
        <w:rPr>
          <w:rFonts w:hint="eastAsia" w:ascii="仿宋_GB2312" w:hAnsi="仿宋" w:eastAsia="仿宋_GB2312"/>
          <w:sz w:val="32"/>
          <w:szCs w:val="32"/>
        </w:rPr>
        <w:t>　</w:t>
      </w:r>
    </w:p>
    <w:p>
      <w:pPr>
        <w:pStyle w:val="5"/>
        <w:widowControl/>
        <w:spacing w:before="76" w:beforeAutospacing="0" w:after="76" w:afterAutospacing="0" w:line="450" w:lineRule="atLeast"/>
        <w:ind w:firstLine="420"/>
        <w:rPr>
          <w:color w:val="333333"/>
        </w:rPr>
      </w:pPr>
      <w:r>
        <w:rPr>
          <w:rFonts w:ascii="仿宋_GB2312" w:eastAsia="仿宋_GB2312"/>
          <w:sz w:val="27"/>
          <w:szCs w:val="27"/>
        </w:rPr>
        <w:t xml:space="preserve"> </w:t>
      </w:r>
      <w:r>
        <w:rPr>
          <w:rStyle w:val="9"/>
          <w:rFonts w:hint="eastAsia" w:ascii="微软雅黑" w:hAnsi="微软雅黑" w:eastAsia="微软雅黑" w:cs="微软雅黑"/>
          <w:color w:val="333333"/>
          <w:shd w:val="clear" w:color="auto" w:fill="FFFFFF"/>
        </w:rPr>
        <w:t>第四部分</w:t>
      </w:r>
      <w:r>
        <w:rPr>
          <w:rStyle w:val="9"/>
          <w:rFonts w:ascii="微软雅黑" w:hAnsi="微软雅黑" w:eastAsia="微软雅黑" w:cs="微软雅黑"/>
          <w:color w:val="333333"/>
          <w:shd w:val="clear" w:color="auto" w:fill="FFFFFF"/>
        </w:rPr>
        <w:t xml:space="preserve"> </w:t>
      </w:r>
      <w:r>
        <w:rPr>
          <w:rStyle w:val="9"/>
          <w:rFonts w:hint="eastAsia" w:ascii="微软雅黑" w:hAnsi="微软雅黑" w:eastAsia="微软雅黑" w:cs="微软雅黑"/>
          <w:color w:val="333333"/>
          <w:shd w:val="clear" w:color="auto" w:fill="FFFFFF"/>
        </w:rPr>
        <w:t>名词解释</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一、财政补助收入：指县级财政当年拨付的资金。</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二、其他收入：指除“财政拨款收入”、“上级补助收入”、“事业收入”、“经营收入”等以外的收入。主要是存款利息收入等。</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三、年初结转和结余：指以前年度尚未完成、结转到本年按有关规定继续使用的资金。</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四、一般公共服务（类）行政运行（项）：指县行政单位及参照公务员管理事业单位用于保障机构正常运行、开展日常工作的基本支出。</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五、一般公共服务（类）一般行政管理事务（项）：指县行政单位及参照公务员管理事业单位用于开展立法调研、财政信息宣传、非税收入征管等未单独设置项级科目的专门性财政管理工作的项目支出。</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六、一般公共服务（类）机关服务（项）：指县黄石港区</w:t>
      </w:r>
      <w:r>
        <w:rPr>
          <w:rFonts w:hint="eastAsia" w:asciiTheme="minorEastAsia" w:hAnsiTheme="minorEastAsia" w:eastAsiaTheme="minorEastAsia" w:cstheme="minorEastAsia"/>
          <w:color w:val="333333"/>
          <w:sz w:val="28"/>
          <w:szCs w:val="28"/>
          <w:shd w:val="clear" w:color="auto" w:fill="FFFFFF"/>
          <w:lang w:eastAsia="zh-CN"/>
        </w:rPr>
        <w:t>沈家营</w:t>
      </w:r>
      <w:r>
        <w:rPr>
          <w:rFonts w:hint="eastAsia" w:asciiTheme="minorEastAsia" w:hAnsiTheme="minorEastAsia" w:eastAsiaTheme="minorEastAsia" w:cstheme="minorEastAsia"/>
          <w:color w:val="333333"/>
          <w:sz w:val="28"/>
          <w:szCs w:val="28"/>
          <w:shd w:val="clear" w:color="auto" w:fill="FFFFFF"/>
        </w:rPr>
        <w:t>街办服务中心为机关提供办公楼日常维修、维护等后勤保障服务的支出。</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七、一般公共服务（类）其他一般公共服务支出（款）其他一般公共服务支出（项）：指黄石港区</w:t>
      </w:r>
      <w:r>
        <w:rPr>
          <w:rFonts w:hint="eastAsia" w:asciiTheme="minorEastAsia" w:hAnsiTheme="minorEastAsia" w:eastAsiaTheme="minorEastAsia" w:cstheme="minorEastAsia"/>
          <w:color w:val="333333"/>
          <w:sz w:val="28"/>
          <w:szCs w:val="28"/>
          <w:shd w:val="clear" w:color="auto" w:fill="FFFFFF"/>
          <w:lang w:eastAsia="zh-CN"/>
        </w:rPr>
        <w:t>沈家营</w:t>
      </w:r>
      <w:r>
        <w:rPr>
          <w:rFonts w:hint="eastAsia" w:asciiTheme="minorEastAsia" w:hAnsiTheme="minorEastAsia" w:eastAsiaTheme="minorEastAsia" w:cstheme="minorEastAsia"/>
          <w:color w:val="333333"/>
          <w:sz w:val="28"/>
          <w:szCs w:val="28"/>
          <w:shd w:val="clear" w:color="auto" w:fill="FFFFFF"/>
        </w:rPr>
        <w:t>街办用于其他一般公共服务方面的支出。</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八、教育（类）普通教育（款）高等教育（项）：指黄石港区</w:t>
      </w:r>
      <w:r>
        <w:rPr>
          <w:rFonts w:hint="eastAsia" w:asciiTheme="minorEastAsia" w:hAnsiTheme="minorEastAsia" w:eastAsiaTheme="minorEastAsia" w:cstheme="minorEastAsia"/>
          <w:color w:val="333333"/>
          <w:sz w:val="28"/>
          <w:szCs w:val="28"/>
          <w:shd w:val="clear" w:color="auto" w:fill="FFFFFF"/>
          <w:lang w:eastAsia="zh-CN"/>
        </w:rPr>
        <w:t>沈家营</w:t>
      </w:r>
      <w:r>
        <w:rPr>
          <w:rFonts w:hint="eastAsia" w:asciiTheme="minorEastAsia" w:hAnsiTheme="minorEastAsia" w:eastAsiaTheme="minorEastAsia" w:cstheme="minorEastAsia"/>
          <w:color w:val="333333"/>
          <w:sz w:val="28"/>
          <w:szCs w:val="28"/>
          <w:shd w:val="clear" w:color="auto" w:fill="FFFFFF"/>
        </w:rPr>
        <w:t>街办厅支持地方高校的重点发展和特色办学，组织专家对省属院校申报的建设规划和项目预算进行评审等相关工作的支出。</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九、社会保障和就业(类)行政事业单位离退休（款）归口管理的行政单位离退休（项）：指黄石港区</w:t>
      </w:r>
      <w:r>
        <w:rPr>
          <w:rFonts w:hint="eastAsia" w:asciiTheme="minorEastAsia" w:hAnsiTheme="minorEastAsia" w:eastAsiaTheme="minorEastAsia" w:cstheme="minorEastAsia"/>
          <w:color w:val="333333"/>
          <w:sz w:val="28"/>
          <w:szCs w:val="28"/>
          <w:shd w:val="clear" w:color="auto" w:fill="FFFFFF"/>
          <w:lang w:eastAsia="zh-CN"/>
        </w:rPr>
        <w:t>沈家营</w:t>
      </w:r>
      <w:r>
        <w:rPr>
          <w:rFonts w:hint="eastAsia" w:asciiTheme="minorEastAsia" w:hAnsiTheme="minorEastAsia" w:eastAsiaTheme="minorEastAsia" w:cstheme="minorEastAsia"/>
          <w:color w:val="333333"/>
          <w:sz w:val="28"/>
          <w:szCs w:val="28"/>
          <w:shd w:val="clear" w:color="auto" w:fill="FFFFFF"/>
        </w:rPr>
        <w:t>街办用于离退休人员的支出、退休人员支出，以及提供管理服务工作的离退休干部处的支出。</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十、社会保障和就业(类)行政事业单位离退休（款）其他行政事业单位离退休支出（项）：指黄石港区</w:t>
      </w:r>
      <w:r>
        <w:rPr>
          <w:rFonts w:hint="eastAsia" w:asciiTheme="minorEastAsia" w:hAnsiTheme="minorEastAsia" w:eastAsiaTheme="minorEastAsia" w:cstheme="minorEastAsia"/>
          <w:color w:val="333333"/>
          <w:sz w:val="28"/>
          <w:szCs w:val="28"/>
          <w:shd w:val="clear" w:color="auto" w:fill="FFFFFF"/>
          <w:lang w:eastAsia="zh-CN"/>
        </w:rPr>
        <w:t>沈家营</w:t>
      </w:r>
      <w:r>
        <w:rPr>
          <w:rFonts w:hint="eastAsia" w:asciiTheme="minorEastAsia" w:hAnsiTheme="minorEastAsia" w:eastAsiaTheme="minorEastAsia" w:cstheme="minorEastAsia"/>
          <w:color w:val="333333"/>
          <w:sz w:val="28"/>
          <w:szCs w:val="28"/>
          <w:shd w:val="clear" w:color="auto" w:fill="FFFFFF"/>
        </w:rPr>
        <w:t>街办用于离退休方面的其他支出。</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十一、医疗卫生与计划生育（类）医疗保障（款）行政单位医疗（项）：指黄石港区</w:t>
      </w:r>
      <w:r>
        <w:rPr>
          <w:rFonts w:hint="eastAsia" w:asciiTheme="minorEastAsia" w:hAnsiTheme="minorEastAsia" w:eastAsiaTheme="minorEastAsia" w:cstheme="minorEastAsia"/>
          <w:color w:val="333333"/>
          <w:sz w:val="28"/>
          <w:szCs w:val="28"/>
          <w:shd w:val="clear" w:color="auto" w:fill="FFFFFF"/>
          <w:lang w:eastAsia="zh-CN"/>
        </w:rPr>
        <w:t>沈家营</w:t>
      </w:r>
      <w:r>
        <w:rPr>
          <w:rFonts w:hint="eastAsia" w:asciiTheme="minorEastAsia" w:hAnsiTheme="minorEastAsia" w:eastAsiaTheme="minorEastAsia" w:cstheme="minorEastAsia"/>
          <w:color w:val="333333"/>
          <w:sz w:val="28"/>
          <w:szCs w:val="28"/>
          <w:shd w:val="clear" w:color="auto" w:fill="FFFFFF"/>
        </w:rPr>
        <w:t>街办用于机关干部职工及离退休人员医疗方面的支出。</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十二、住房保障（类）住房改革支出（款）购房补贴（项）：指按照相关住房分配货币化改革的政策规定和标准，对无房和住房未达标职工发放的住房分配货币化补贴资金。</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十三、年末结转和结余：指本年度或以前年度预算安排、因客观条件发生变化无法按原计划实施，需要延迟到以后年度按有关规定继续使用的资金。</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十四、基本支出：指为保障机构正常运转、完成日常工作任务而发生的人员支出（包括基本工资、津贴补贴等）和公用支出（包括办公费、水电费、邮电费、交通费、差旅费等）。</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十五、项目支出：指在基本支出之外为完成特定行政任务和事业发展目标所发生的支出。</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十六、“三公”经费：是指用财政拨款安排的因公出国（境）费、公务用车购置及运行维护费、公务接待费。</w:t>
      </w:r>
    </w:p>
    <w:p/>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Microsoft YaHei Western">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9EFF16"/>
    <w:multiLevelType w:val="singleLevel"/>
    <w:tmpl w:val="9F9EFF16"/>
    <w:lvl w:ilvl="0" w:tentative="0">
      <w:start w:val="2"/>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9C9"/>
    <w:rsid w:val="0012738B"/>
    <w:rsid w:val="00164849"/>
    <w:rsid w:val="0036317D"/>
    <w:rsid w:val="007E47FD"/>
    <w:rsid w:val="00805B13"/>
    <w:rsid w:val="009849C9"/>
    <w:rsid w:val="00AC0523"/>
    <w:rsid w:val="00EF3346"/>
    <w:rsid w:val="01956809"/>
    <w:rsid w:val="01BA2E7D"/>
    <w:rsid w:val="0664587B"/>
    <w:rsid w:val="07064C72"/>
    <w:rsid w:val="09496452"/>
    <w:rsid w:val="09FF39B4"/>
    <w:rsid w:val="0AB34DA1"/>
    <w:rsid w:val="0B821CB6"/>
    <w:rsid w:val="0F243B6C"/>
    <w:rsid w:val="0F580F62"/>
    <w:rsid w:val="10157CA5"/>
    <w:rsid w:val="11411182"/>
    <w:rsid w:val="13FA6E94"/>
    <w:rsid w:val="1D3216D7"/>
    <w:rsid w:val="21812F0D"/>
    <w:rsid w:val="219E41B4"/>
    <w:rsid w:val="22E5395A"/>
    <w:rsid w:val="25406646"/>
    <w:rsid w:val="255E033E"/>
    <w:rsid w:val="27272230"/>
    <w:rsid w:val="27390172"/>
    <w:rsid w:val="2BDF0111"/>
    <w:rsid w:val="2CCE2491"/>
    <w:rsid w:val="2F081AB6"/>
    <w:rsid w:val="35840005"/>
    <w:rsid w:val="393F7BFD"/>
    <w:rsid w:val="401A2F36"/>
    <w:rsid w:val="408F5EDF"/>
    <w:rsid w:val="43693B26"/>
    <w:rsid w:val="44064590"/>
    <w:rsid w:val="457D21A1"/>
    <w:rsid w:val="48DB29FA"/>
    <w:rsid w:val="49D83A19"/>
    <w:rsid w:val="4A187DA8"/>
    <w:rsid w:val="4CC36F4D"/>
    <w:rsid w:val="4E3136B7"/>
    <w:rsid w:val="4FCC39E6"/>
    <w:rsid w:val="507C1CF5"/>
    <w:rsid w:val="53FA08DA"/>
    <w:rsid w:val="55435985"/>
    <w:rsid w:val="57193076"/>
    <w:rsid w:val="5B841365"/>
    <w:rsid w:val="5EF27DB1"/>
    <w:rsid w:val="602B7412"/>
    <w:rsid w:val="61773BFF"/>
    <w:rsid w:val="621B3808"/>
    <w:rsid w:val="62E26A46"/>
    <w:rsid w:val="67E4782B"/>
    <w:rsid w:val="6A5F0092"/>
    <w:rsid w:val="6C2817B7"/>
    <w:rsid w:val="6FC62DF1"/>
    <w:rsid w:val="746766E2"/>
    <w:rsid w:val="74EA7B66"/>
    <w:rsid w:val="78186405"/>
    <w:rsid w:val="78425B42"/>
    <w:rsid w:val="784C1E5B"/>
    <w:rsid w:val="796F54E7"/>
    <w:rsid w:val="7D417A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ocked="1"/>
    <w:lsdException w:unhideWhenUsed="0" w:uiPriority="0" w:semiHidden="0" w:name="heading 2" w:locked="1"/>
    <w:lsdException w:unhideWhenUsed="0" w:uiPriority="0" w:semiHidden="0" w:name="heading 3" w:locked="1"/>
    <w:lsdException w:unhideWhenUsed="0" w:uiPriority="0" w:semiHidden="0" w:name="heading 4" w:locked="1"/>
    <w:lsdException w:qFormat="1" w:unhideWhenUsed="0" w:uiPriority="0" w:name="heading 5"/>
    <w:lsdException w:unhideWhenUsed="0" w:uiPriority="0" w:semiHidden="0" w:name="heading 6" w:locked="1"/>
    <w:lsdException w:unhideWhenUsed="0" w:uiPriority="0" w:semiHidden="0" w:name="heading 7" w:locked="1"/>
    <w:lsdException w:unhideWhenUsed="0" w:uiPriority="0" w:semiHidden="0" w:name="heading 8" w:locked="1"/>
    <w:lsdException w:unhideWhenUsed="0" w:uiPriority="0" w:semiHidden="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ocked="1"/>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ocked="1"/>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semiHidden/>
    <w:qFormat/>
    <w:uiPriority w:val="0"/>
    <w:pPr>
      <w:spacing w:beforeAutospacing="1" w:afterAutospacing="1"/>
      <w:jc w:val="left"/>
      <w:outlineLvl w:val="4"/>
    </w:pPr>
    <w:rPr>
      <w:rFonts w:ascii="宋体" w:hAnsi="宋体"/>
      <w:b/>
      <w:kern w:val="0"/>
      <w:sz w:val="20"/>
      <w:szCs w:val="20"/>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line="500" w:lineRule="exact"/>
      <w:ind w:firstLine="640" w:firstLineChars="200"/>
    </w:pPr>
    <w:rPr>
      <w:rFonts w:ascii="宋体"/>
      <w:sz w:val="32"/>
    </w:rPr>
  </w:style>
  <w:style w:type="paragraph" w:styleId="4">
    <w:name w:val="Plain Text"/>
    <w:basedOn w:val="1"/>
    <w:qFormat/>
    <w:uiPriority w:val="0"/>
    <w:rPr>
      <w:rFonts w:ascii="宋体" w:hAnsi="Courier New" w:cs="Courier New"/>
      <w:szCs w:val="21"/>
    </w:rPr>
  </w:style>
  <w:style w:type="paragraph" w:styleId="5">
    <w:name w:val="Normal (Web)"/>
    <w:basedOn w:val="1"/>
    <w:qFormat/>
    <w:uiPriority w:val="0"/>
    <w:pPr>
      <w:spacing w:beforeAutospacing="1" w:afterAutospacing="1"/>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rFonts w:cs="Times New Roman"/>
      <w:b/>
    </w:rPr>
  </w:style>
  <w:style w:type="paragraph" w:customStyle="1" w:styleId="10">
    <w:name w:val="正文缩进 + 首行缩进:  2 字符"/>
    <w:basedOn w:val="1"/>
    <w:qFormat/>
    <w:uiPriority w:val="0"/>
    <w:pPr>
      <w:spacing w:line="560" w:lineRule="exact"/>
      <w:ind w:firstLine="640"/>
    </w:pPr>
    <w:rPr>
      <w:rFonts w:ascii="仿宋" w:hAnsi="仿宋" w:cs="宋体"/>
      <w:sz w:val="32"/>
      <w:szCs w:val="32"/>
    </w:rPr>
  </w:style>
  <w:style w:type="paragraph" w:customStyle="1" w:styleId="11">
    <w:name w:val="Normal (Web)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
    <w:name w:val="pa-1"/>
    <w:basedOn w:val="1"/>
    <w:qFormat/>
    <w:uiPriority w:val="0"/>
    <w:pPr>
      <w:widowControl/>
      <w:spacing w:before="100" w:beforeAutospacing="1" w:after="100" w:afterAutospacing="1"/>
      <w:jc w:val="left"/>
    </w:pPr>
    <w:rPr>
      <w:rFonts w:ascii="宋体" w:hAnsi="宋体" w:cs="宋体"/>
      <w:kern w:val="0"/>
      <w:sz w:val="24"/>
    </w:rPr>
  </w:style>
  <w:style w:type="character" w:customStyle="1" w:styleId="13">
    <w:name w:val="ca-2"/>
    <w:basedOn w:val="8"/>
    <w:qFormat/>
    <w:uiPriority w:val="0"/>
    <w:rPr>
      <w:rFonts w:cs="Times New Roman"/>
    </w:rPr>
  </w:style>
  <w:style w:type="character" w:customStyle="1" w:styleId="14">
    <w:name w:val="apple-converted-space"/>
    <w:basedOn w:val="8"/>
    <w:qFormat/>
    <w:uiPriority w:val="0"/>
    <w:rPr>
      <w:rFonts w:cs="Times New Roman"/>
    </w:rPr>
  </w:style>
  <w:style w:type="character" w:customStyle="1" w:styleId="15">
    <w:name w:val="ca-3"/>
    <w:basedOn w:val="8"/>
    <w:qFormat/>
    <w:uiPriority w:val="0"/>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15</Pages>
  <Words>361</Words>
  <Characters>2062</Characters>
  <Lines>17</Lines>
  <Paragraphs>4</Paragraphs>
  <TotalTime>0</TotalTime>
  <ScaleCrop>false</ScaleCrop>
  <LinksUpToDate>false</LinksUpToDate>
  <CharactersWithSpaces>2419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2019-09-12T07:09:00Z</dcterms:created>
  <dc:creator>gg</dc:creator>
  <cp:lastModifiedBy>盼</cp:lastModifiedBy>
  <dcterms:modified xsi:type="dcterms:W3CDTF">2021-05-17T07:43:14Z</dcterms:modified>
  <dc:title>磁湖街办2017年决算公开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