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磁湖街办</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rPr>
        <w:t>8年决算公开</w:t>
      </w:r>
    </w:p>
    <w:p>
      <w:pPr>
        <w:pStyle w:val="5"/>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黄石港区磁湖街办</w:t>
      </w:r>
      <w:r>
        <w:rPr>
          <w:rStyle w:val="9"/>
          <w:rFonts w:ascii="微软雅黑" w:hAnsi="微软雅黑" w:eastAsia="微软雅黑" w:cs="微软雅黑"/>
          <w:color w:val="333333"/>
          <w:shd w:val="clear" w:color="auto" w:fill="FFFFFF"/>
        </w:rPr>
        <w:t>201</w:t>
      </w:r>
      <w:r>
        <w:rPr>
          <w:rStyle w:val="9"/>
          <w:rFonts w:hint="eastAsia" w:ascii="微软雅黑" w:hAnsi="微软雅黑" w:eastAsia="微软雅黑" w:cs="微软雅黑"/>
          <w:color w:val="333333"/>
          <w:shd w:val="clear" w:color="auto" w:fill="FFFFFF"/>
        </w:rPr>
        <w:t>8年决算公开</w:t>
      </w:r>
    </w:p>
    <w:p>
      <w:pPr>
        <w:pStyle w:val="5"/>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w:t>
      </w:r>
      <w:r>
        <w:rPr>
          <w:rFonts w:ascii="Microsoft YaHei Western" w:hAnsi="Microsoft YaHei Western" w:eastAsia="微软雅黑" w:cs="Microsoft YaHei Western"/>
          <w:color w:val="333333"/>
          <w:shd w:val="clear" w:color="auto" w:fill="FFFFFF"/>
        </w:rPr>
        <w:t xml:space="preserve">  </w:t>
      </w:r>
      <w:r>
        <w:rPr>
          <w:rFonts w:hint="eastAsia" w:ascii="微软雅黑" w:hAnsi="微软雅黑" w:eastAsia="微软雅黑" w:cs="微软雅黑"/>
          <w:color w:val="333333"/>
          <w:shd w:val="clear" w:color="auto" w:fill="FFFFFF"/>
        </w:rPr>
        <w:t>录</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w:t>
      </w:r>
      <w:r>
        <w:rPr>
          <w:rFonts w:ascii="微软雅黑" w:hAnsi="微软雅黑" w:eastAsia="微软雅黑" w:cs="微软雅黑"/>
          <w:color w:val="333333"/>
          <w:shd w:val="clear" w:color="auto" w:fill="FFFFFF"/>
        </w:rPr>
        <w:t>:</w:t>
      </w:r>
      <w:r>
        <w:rPr>
          <w:rFonts w:hint="eastAsia" w:ascii="微软雅黑" w:hAnsi="微软雅黑" w:eastAsia="微软雅黑" w:cs="微软雅黑"/>
          <w:color w:val="333333"/>
          <w:shd w:val="clear" w:color="auto" w:fill="FFFFFF"/>
        </w:rPr>
        <w:t>部门基本情况</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部门</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rPr>
        <w:t>8年部门决算表</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八、政府性基金预算财政拨款收入支出决算表（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rPr>
        <w:t>8年部门决算情况说明</w:t>
      </w:r>
    </w:p>
    <w:p>
      <w:pPr>
        <w:pStyle w:val="5"/>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pPr>
        <w:pStyle w:val="5"/>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5"/>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5"/>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5"/>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5"/>
        <w:widowControl/>
        <w:spacing w:before="76" w:beforeAutospacing="0" w:after="76" w:afterAutospacing="0" w:line="450" w:lineRule="atLeast"/>
        <w:ind w:firstLine="420"/>
        <w:rPr>
          <w:rFonts w:hint="eastAsia" w:ascii="Microsoft YaHei Western" w:hAnsi="Microsoft YaHei Western" w:eastAsia="微软雅黑" w:cs="Microsoft YaHei Western"/>
          <w:color w:val="333333"/>
          <w:shd w:val="clear" w:color="auto" w:fill="FFFFFF"/>
        </w:rPr>
      </w:pPr>
      <w:r>
        <w:rPr>
          <w:rFonts w:hint="eastAsia" w:ascii="微软雅黑" w:hAnsi="微软雅黑" w:eastAsia="微软雅黑" w:cs="微软雅黑"/>
          <w:color w:val="333333"/>
          <w:shd w:val="clear" w:color="auto" w:fill="FFFFFF"/>
        </w:rPr>
        <w:t>第四部分：名词解释</w:t>
      </w:r>
      <w:r>
        <w:rPr>
          <w:rFonts w:ascii="Microsoft YaHei Western" w:hAnsi="Microsoft YaHei Western" w:eastAsia="微软雅黑" w:cs="Microsoft YaHei Western"/>
          <w:color w:val="333333"/>
          <w:shd w:val="clear" w:color="auto" w:fill="FFFFFF"/>
        </w:rPr>
        <w:t> </w:t>
      </w:r>
    </w:p>
    <w:p>
      <w:pPr>
        <w:pStyle w:val="5"/>
        <w:widowControl/>
        <w:spacing w:before="76" w:beforeAutospacing="0" w:after="76" w:afterAutospacing="0" w:line="450" w:lineRule="atLeast"/>
        <w:ind w:firstLine="420"/>
        <w:rPr>
          <w:rFonts w:hint="eastAsia"/>
          <w:color w:val="333333"/>
        </w:rPr>
      </w:pPr>
    </w:p>
    <w:p>
      <w:pPr>
        <w:pStyle w:val="5"/>
        <w:widowControl/>
        <w:spacing w:before="76" w:beforeAutospacing="0" w:after="76" w:afterAutospacing="0" w:line="450" w:lineRule="atLeast"/>
        <w:ind w:firstLine="420"/>
        <w:jc w:val="center"/>
        <w:rPr>
          <w:color w:val="333333"/>
        </w:rPr>
      </w:pPr>
      <w:r>
        <w:rPr>
          <w:rStyle w:val="9"/>
          <w:rFonts w:ascii="微软雅黑" w:hAnsi="微软雅黑" w:eastAsia="微软雅黑" w:cs="微软雅黑"/>
          <w:color w:val="333333"/>
          <w:shd w:val="clear" w:color="auto" w:fill="FFFFFF"/>
        </w:rPr>
        <w:t>201</w:t>
      </w:r>
      <w:r>
        <w:rPr>
          <w:rStyle w:val="9"/>
          <w:rFonts w:hint="eastAsia" w:ascii="微软雅黑" w:hAnsi="微软雅黑" w:eastAsia="微软雅黑" w:cs="微软雅黑"/>
          <w:color w:val="333333"/>
          <w:shd w:val="clear" w:color="auto" w:fill="FFFFFF"/>
        </w:rPr>
        <w:t>8年部门决算</w:t>
      </w:r>
    </w:p>
    <w:p>
      <w:pPr>
        <w:pStyle w:val="5"/>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w:t>
      </w:r>
      <w:r>
        <w:rPr>
          <w:rStyle w:val="9"/>
          <w:rFonts w:ascii="微软雅黑" w:hAnsi="微软雅黑" w:eastAsia="微软雅黑" w:cs="微软雅黑"/>
          <w:color w:val="333333"/>
          <w:shd w:val="clear" w:color="auto" w:fill="FFFFFF"/>
        </w:rPr>
        <w:t xml:space="preserve"> </w:t>
      </w:r>
      <w:r>
        <w:rPr>
          <w:rStyle w:val="9"/>
          <w:rFonts w:hint="eastAsia" w:ascii="微软雅黑" w:hAnsi="微软雅黑" w:eastAsia="微软雅黑" w:cs="微软雅黑"/>
          <w:color w:val="333333"/>
          <w:shd w:val="clear" w:color="auto" w:fill="FFFFFF"/>
        </w:rPr>
        <w:t>部门概况</w:t>
      </w:r>
    </w:p>
    <w:p>
      <w:pPr>
        <w:snapToGrid w:val="0"/>
        <w:spacing w:line="520" w:lineRule="exact"/>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（一）基本职能</w:t>
      </w:r>
    </w:p>
    <w:p>
      <w:pPr>
        <w:widowControl/>
        <w:shd w:val="clear" w:color="auto" w:fill="FFFFFF"/>
        <w:ind w:firstLine="560" w:firstLineChars="200"/>
        <w:jc w:val="left"/>
        <w:rPr>
          <w:rFonts w:hint="eastAsia" w:asciiTheme="minorEastAsia" w:hAnsiTheme="minorEastAsia" w:eastAsiaTheme="minorEastAsia" w:cstheme="minorEastAsia"/>
          <w:b w:val="0"/>
          <w:bCs w:val="0"/>
          <w:color w:val="333333"/>
          <w:kern w:val="0"/>
          <w:sz w:val="28"/>
          <w:szCs w:val="28"/>
        </w:rPr>
      </w:pPr>
      <w:r>
        <w:rPr>
          <w:rFonts w:hint="eastAsia" w:asciiTheme="minorEastAsia" w:hAnsiTheme="minorEastAsia" w:eastAsiaTheme="minorEastAsia" w:cstheme="minorEastAsia"/>
          <w:sz w:val="28"/>
          <w:szCs w:val="28"/>
        </w:rPr>
        <w:t>黄石市黄石港区磁湖街道办事处是黄石港区人民政府的派出机关，受区人民政府领导，依据法律、法规的规定，</w:t>
      </w:r>
      <w:r>
        <w:rPr>
          <w:rFonts w:hint="eastAsia" w:asciiTheme="minorEastAsia" w:hAnsiTheme="minorEastAsia" w:eastAsiaTheme="minorEastAsia" w:cstheme="minorEastAsia"/>
          <w:b w:val="0"/>
          <w:bCs w:val="0"/>
          <w:sz w:val="28"/>
          <w:szCs w:val="28"/>
        </w:rPr>
        <w:t>在本辖区内行使相应的政府管理职能。</w:t>
      </w:r>
    </w:p>
    <w:p>
      <w:pPr>
        <w:numPr>
          <w:ilvl w:val="0"/>
          <w:numId w:val="1"/>
        </w:numPr>
        <w:snapToGrid w:val="0"/>
        <w:spacing w:line="520" w:lineRule="exact"/>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机构设置</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公共服务中心、经济服务中心、城市建设管理中心、综合办、法治办、司法所。</w:t>
      </w:r>
    </w:p>
    <w:p>
      <w:pPr>
        <w:ind w:firstLine="560" w:firstLineChars="200"/>
        <w:rPr>
          <w:rFonts w:hint="eastAsia" w:ascii="宋体" w:hAnsi="宋体" w:cs="宋体"/>
          <w:sz w:val="28"/>
          <w:szCs w:val="28"/>
        </w:rPr>
      </w:pPr>
    </w:p>
    <w:p>
      <w:pPr>
        <w:ind w:firstLine="560" w:firstLineChars="200"/>
        <w:rPr>
          <w:rFonts w:hint="eastAsia" w:ascii="宋体" w:hAnsi="宋体" w:cs="宋体"/>
          <w:sz w:val="28"/>
          <w:szCs w:val="28"/>
        </w:rPr>
      </w:pPr>
    </w:p>
    <w:p>
      <w:pPr>
        <w:ind w:firstLine="560" w:firstLineChars="200"/>
        <w:rPr>
          <w:rFonts w:hint="eastAsia" w:ascii="宋体" w:hAnsi="宋体" w:cs="宋体"/>
          <w:sz w:val="28"/>
          <w:szCs w:val="28"/>
        </w:rPr>
      </w:pPr>
    </w:p>
    <w:p>
      <w:pPr>
        <w:ind w:firstLine="560" w:firstLineChars="200"/>
        <w:rPr>
          <w:rFonts w:hint="eastAsia" w:ascii="宋体" w:hAnsi="宋体" w:cs="宋体"/>
          <w:sz w:val="28"/>
          <w:szCs w:val="28"/>
        </w:rPr>
      </w:pPr>
    </w:p>
    <w:p>
      <w:pPr>
        <w:ind w:firstLine="560" w:firstLineChars="200"/>
        <w:rPr>
          <w:rFonts w:hint="eastAsia" w:ascii="宋体" w:hAnsi="宋体" w:cs="宋体"/>
          <w:sz w:val="28"/>
          <w:szCs w:val="28"/>
        </w:rPr>
      </w:pPr>
    </w:p>
    <w:p>
      <w:pPr>
        <w:ind w:firstLine="560" w:firstLineChars="200"/>
        <w:rPr>
          <w:rFonts w:hint="eastAsia" w:ascii="宋体" w:hAnsi="宋体" w:cs="宋体"/>
          <w:sz w:val="28"/>
          <w:szCs w:val="28"/>
        </w:rPr>
      </w:pPr>
    </w:p>
    <w:p>
      <w:pPr>
        <w:pStyle w:val="5"/>
        <w:widowControl/>
        <w:spacing w:before="76" w:beforeAutospacing="0" w:after="76" w:afterAutospacing="0" w:line="450" w:lineRule="atLeast"/>
        <w:ind w:firstLine="420"/>
        <w:rPr>
          <w:rFonts w:hint="eastAsia"/>
        </w:rPr>
      </w:pPr>
      <w:r>
        <w:rPr>
          <w:rStyle w:val="9"/>
          <w:rFonts w:hint="eastAsia" w:ascii="微软雅黑" w:hAnsi="微软雅黑" w:eastAsia="微软雅黑" w:cs="微软雅黑"/>
          <w:color w:val="333333"/>
          <w:shd w:val="clear" w:color="auto" w:fill="FFFFFF"/>
        </w:rPr>
        <w:t>第二部分</w:t>
      </w:r>
      <w:r>
        <w:rPr>
          <w:rStyle w:val="9"/>
          <w:rFonts w:ascii="微软雅黑" w:hAnsi="微软雅黑" w:eastAsia="微软雅黑" w:cs="微软雅黑"/>
          <w:color w:val="333333"/>
          <w:shd w:val="clear" w:color="auto" w:fill="FFFFFF"/>
        </w:rPr>
        <w:t xml:space="preserve"> 201</w:t>
      </w:r>
      <w:r>
        <w:rPr>
          <w:rStyle w:val="9"/>
          <w:rFonts w:hint="eastAsia" w:ascii="微软雅黑" w:hAnsi="微软雅黑" w:eastAsia="微软雅黑" w:cs="微软雅黑"/>
          <w:color w:val="333333"/>
          <w:shd w:val="clear" w:color="auto" w:fill="FFFFFF"/>
        </w:rPr>
        <w:t>8年部门决算表</w:t>
      </w:r>
    </w:p>
    <w:p>
      <w:pPr>
        <w:pStyle w:val="5"/>
        <w:widowControl/>
        <w:spacing w:before="76" w:beforeAutospacing="0" w:after="76" w:afterAutospacing="0" w:line="450" w:lineRule="atLeast"/>
        <w:rPr>
          <w:rFonts w:hint="eastAsia"/>
        </w:rPr>
      </w:pPr>
      <w:r>
        <w:drawing>
          <wp:inline distT="0" distB="0" distL="114300" distR="114300">
            <wp:extent cx="8803640" cy="4710430"/>
            <wp:effectExtent l="0" t="0" r="16510" b="1397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pic:cNvPicPr>
                  </pic:nvPicPr>
                  <pic:blipFill>
                    <a:blip r:embed="rId4"/>
                    <a:stretch>
                      <a:fillRect/>
                    </a:stretch>
                  </pic:blipFill>
                  <pic:spPr>
                    <a:xfrm>
                      <a:off x="0" y="0"/>
                      <a:ext cx="8803640" cy="4710430"/>
                    </a:xfrm>
                    <a:prstGeom prst="rect">
                      <a:avLst/>
                    </a:prstGeom>
                    <a:noFill/>
                    <a:ln>
                      <a:noFill/>
                    </a:ln>
                  </pic:spPr>
                </pic:pic>
              </a:graphicData>
            </a:graphic>
          </wp:inline>
        </w:drawing>
      </w:r>
    </w:p>
    <w:p>
      <w:pPr>
        <w:pStyle w:val="5"/>
        <w:widowControl/>
        <w:spacing w:before="76" w:beforeAutospacing="0" w:after="76" w:afterAutospacing="0" w:line="450" w:lineRule="atLeast"/>
        <w:rPr>
          <w:rFonts w:hint="eastAsia"/>
        </w:rPr>
      </w:pPr>
      <w:r>
        <w:drawing>
          <wp:inline distT="0" distB="0" distL="114300" distR="114300">
            <wp:extent cx="8852535" cy="3361055"/>
            <wp:effectExtent l="0" t="0" r="5715" b="10795"/>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5"/>
                    <a:stretch>
                      <a:fillRect/>
                    </a:stretch>
                  </pic:blipFill>
                  <pic:spPr>
                    <a:xfrm>
                      <a:off x="0" y="0"/>
                      <a:ext cx="8852535" cy="3361055"/>
                    </a:xfrm>
                    <a:prstGeom prst="rect">
                      <a:avLst/>
                    </a:prstGeom>
                    <a:noFill/>
                    <a:ln>
                      <a:noFill/>
                    </a:ln>
                  </pic:spPr>
                </pic:pic>
              </a:graphicData>
            </a:graphic>
          </wp:inline>
        </w:drawing>
      </w:r>
    </w:p>
    <w:p>
      <w:pPr>
        <w:pStyle w:val="5"/>
        <w:widowControl/>
        <w:spacing w:before="76" w:beforeAutospacing="0" w:after="76" w:afterAutospacing="0" w:line="450" w:lineRule="atLeast"/>
        <w:rPr>
          <w:rFonts w:hint="eastAsia"/>
        </w:rPr>
      </w:pPr>
    </w:p>
    <w:p>
      <w:pPr>
        <w:pStyle w:val="5"/>
        <w:widowControl/>
        <w:spacing w:before="76" w:beforeAutospacing="0" w:after="76" w:afterAutospacing="0" w:line="450" w:lineRule="atLeast"/>
        <w:rPr>
          <w:rFonts w:hint="eastAsia"/>
        </w:rPr>
      </w:pPr>
    </w:p>
    <w:p>
      <w:pPr>
        <w:pStyle w:val="5"/>
        <w:widowControl/>
        <w:spacing w:before="76" w:beforeAutospacing="0" w:after="76" w:afterAutospacing="0" w:line="450" w:lineRule="atLeast"/>
        <w:rPr>
          <w:rFonts w:hint="eastAsia"/>
        </w:rPr>
      </w:pPr>
    </w:p>
    <w:p>
      <w:pPr>
        <w:pStyle w:val="5"/>
        <w:widowControl/>
        <w:spacing w:before="76" w:beforeAutospacing="0" w:after="76" w:afterAutospacing="0" w:line="450" w:lineRule="atLeast"/>
        <w:rPr>
          <w:rFonts w:hint="eastAsia"/>
        </w:rPr>
      </w:pPr>
    </w:p>
    <w:p>
      <w:pPr>
        <w:pStyle w:val="5"/>
        <w:widowControl/>
        <w:spacing w:before="76" w:beforeAutospacing="0" w:after="76" w:afterAutospacing="0" w:line="450" w:lineRule="atLeast"/>
        <w:rPr>
          <w:rFonts w:hint="eastAsia"/>
        </w:rPr>
      </w:pPr>
    </w:p>
    <w:p>
      <w:pPr>
        <w:pStyle w:val="5"/>
        <w:widowControl/>
        <w:spacing w:before="76" w:beforeAutospacing="0" w:after="76" w:afterAutospacing="0" w:line="450" w:lineRule="atLeast"/>
        <w:rPr>
          <w:rFonts w:hint="eastAsia"/>
        </w:rPr>
      </w:pPr>
      <w:r>
        <w:drawing>
          <wp:inline distT="0" distB="0" distL="114300" distR="114300">
            <wp:extent cx="8859520" cy="3759835"/>
            <wp:effectExtent l="0" t="0" r="17780" b="12065"/>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6"/>
                    <a:stretch>
                      <a:fillRect/>
                    </a:stretch>
                  </pic:blipFill>
                  <pic:spPr>
                    <a:xfrm>
                      <a:off x="0" y="0"/>
                      <a:ext cx="8859520" cy="3759835"/>
                    </a:xfrm>
                    <a:prstGeom prst="rect">
                      <a:avLst/>
                    </a:prstGeom>
                    <a:noFill/>
                    <a:ln>
                      <a:noFill/>
                    </a:ln>
                  </pic:spPr>
                </pic:pic>
              </a:graphicData>
            </a:graphic>
          </wp:inline>
        </w:drawing>
      </w:r>
    </w:p>
    <w:p>
      <w:pPr>
        <w:pStyle w:val="5"/>
        <w:widowControl/>
        <w:spacing w:before="76" w:beforeAutospacing="0" w:after="76" w:afterAutospacing="0" w:line="450" w:lineRule="atLeast"/>
        <w:rPr>
          <w:rFonts w:hint="eastAsia"/>
        </w:rPr>
      </w:pPr>
    </w:p>
    <w:p>
      <w:pPr>
        <w:pStyle w:val="5"/>
        <w:widowControl/>
        <w:spacing w:before="76" w:beforeAutospacing="0" w:after="76" w:afterAutospacing="0" w:line="450" w:lineRule="atLeast"/>
        <w:rPr>
          <w:rFonts w:hint="eastAsia"/>
        </w:rPr>
      </w:pPr>
    </w:p>
    <w:p>
      <w:pPr>
        <w:pStyle w:val="5"/>
        <w:widowControl/>
        <w:spacing w:before="76" w:beforeAutospacing="0" w:after="76" w:afterAutospacing="0" w:line="450" w:lineRule="atLeast"/>
        <w:rPr>
          <w:rFonts w:hint="eastAsia"/>
        </w:rPr>
      </w:pPr>
    </w:p>
    <w:p>
      <w:pPr>
        <w:pStyle w:val="5"/>
        <w:widowControl/>
        <w:spacing w:before="76" w:beforeAutospacing="0" w:after="76" w:afterAutospacing="0" w:line="450" w:lineRule="atLeast"/>
        <w:rPr>
          <w:rFonts w:hint="eastAsia"/>
        </w:rPr>
      </w:pPr>
      <w:r>
        <w:drawing>
          <wp:inline distT="0" distB="0" distL="114300" distR="114300">
            <wp:extent cx="8857615" cy="5682615"/>
            <wp:effectExtent l="0" t="0" r="635" b="13335"/>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pic:cNvPicPr>
                      <a:picLocks noChangeAspect="1"/>
                    </pic:cNvPicPr>
                  </pic:nvPicPr>
                  <pic:blipFill>
                    <a:blip r:embed="rId7"/>
                    <a:stretch>
                      <a:fillRect/>
                    </a:stretch>
                  </pic:blipFill>
                  <pic:spPr>
                    <a:xfrm>
                      <a:off x="0" y="0"/>
                      <a:ext cx="8857615" cy="5682615"/>
                    </a:xfrm>
                    <a:prstGeom prst="rect">
                      <a:avLst/>
                    </a:prstGeom>
                    <a:noFill/>
                    <a:ln>
                      <a:noFill/>
                    </a:ln>
                  </pic:spPr>
                </pic:pic>
              </a:graphicData>
            </a:graphic>
          </wp:inline>
        </w:drawing>
      </w:r>
    </w:p>
    <w:p>
      <w:pPr>
        <w:pStyle w:val="5"/>
        <w:widowControl/>
        <w:spacing w:before="76" w:beforeAutospacing="0" w:after="76" w:afterAutospacing="0" w:line="450" w:lineRule="atLeast"/>
        <w:rPr>
          <w:rFonts w:hint="eastAsia"/>
        </w:rPr>
      </w:pPr>
      <w:r>
        <w:drawing>
          <wp:inline distT="0" distB="0" distL="114300" distR="114300">
            <wp:extent cx="8789035" cy="4171950"/>
            <wp:effectExtent l="0" t="0" r="12065" b="0"/>
            <wp:docPr id="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pic:cNvPicPr>
                      <a:picLocks noChangeAspect="1"/>
                    </pic:cNvPicPr>
                  </pic:nvPicPr>
                  <pic:blipFill>
                    <a:blip r:embed="rId8"/>
                    <a:stretch>
                      <a:fillRect/>
                    </a:stretch>
                  </pic:blipFill>
                  <pic:spPr>
                    <a:xfrm>
                      <a:off x="0" y="0"/>
                      <a:ext cx="8789035" cy="4171950"/>
                    </a:xfrm>
                    <a:prstGeom prst="rect">
                      <a:avLst/>
                    </a:prstGeom>
                    <a:noFill/>
                    <a:ln>
                      <a:noFill/>
                    </a:ln>
                  </pic:spPr>
                </pic:pic>
              </a:graphicData>
            </a:graphic>
          </wp:inline>
        </w:drawing>
      </w:r>
    </w:p>
    <w:p>
      <w:pPr>
        <w:pStyle w:val="5"/>
        <w:widowControl/>
        <w:spacing w:before="76" w:beforeAutospacing="0" w:after="76" w:afterAutospacing="0" w:line="450" w:lineRule="atLeast"/>
        <w:rPr>
          <w:rFonts w:hint="eastAsia"/>
        </w:rPr>
      </w:pPr>
    </w:p>
    <w:p>
      <w:pPr>
        <w:pStyle w:val="5"/>
        <w:widowControl/>
        <w:spacing w:before="76" w:beforeAutospacing="0" w:after="76" w:afterAutospacing="0" w:line="450" w:lineRule="atLeast"/>
        <w:rPr>
          <w:rFonts w:hint="eastAsia"/>
        </w:rPr>
      </w:pPr>
    </w:p>
    <w:p>
      <w:pPr>
        <w:pStyle w:val="5"/>
        <w:widowControl/>
        <w:spacing w:before="76" w:beforeAutospacing="0" w:after="76" w:afterAutospacing="0" w:line="450" w:lineRule="atLeast"/>
        <w:rPr>
          <w:rFonts w:hint="eastAsia"/>
        </w:rPr>
      </w:pPr>
      <w:r>
        <w:drawing>
          <wp:inline distT="0" distB="0" distL="114300" distR="114300">
            <wp:extent cx="8859520" cy="5638165"/>
            <wp:effectExtent l="0" t="0" r="17780" b="635"/>
            <wp:docPr id="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pic:cNvPicPr>
                      <a:picLocks noChangeAspect="1"/>
                    </pic:cNvPicPr>
                  </pic:nvPicPr>
                  <pic:blipFill>
                    <a:blip r:embed="rId9"/>
                    <a:stretch>
                      <a:fillRect/>
                    </a:stretch>
                  </pic:blipFill>
                  <pic:spPr>
                    <a:xfrm>
                      <a:off x="0" y="0"/>
                      <a:ext cx="8859520" cy="5638165"/>
                    </a:xfrm>
                    <a:prstGeom prst="rect">
                      <a:avLst/>
                    </a:prstGeom>
                    <a:noFill/>
                    <a:ln>
                      <a:noFill/>
                    </a:ln>
                  </pic:spPr>
                </pic:pic>
              </a:graphicData>
            </a:graphic>
          </wp:inline>
        </w:drawing>
      </w:r>
    </w:p>
    <w:p>
      <w:pPr>
        <w:pStyle w:val="5"/>
        <w:widowControl/>
        <w:spacing w:before="76" w:beforeAutospacing="0" w:after="76" w:afterAutospacing="0" w:line="450" w:lineRule="atLeast"/>
        <w:rPr>
          <w:rFonts w:hint="eastAsia"/>
        </w:rPr>
      </w:pPr>
      <w:r>
        <w:drawing>
          <wp:inline distT="0" distB="0" distL="114300" distR="114300">
            <wp:extent cx="8855710" cy="2303145"/>
            <wp:effectExtent l="0" t="0" r="2540" b="1905"/>
            <wp:docPr id="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pic:cNvPicPr>
                      <a:picLocks noChangeAspect="1"/>
                    </pic:cNvPicPr>
                  </pic:nvPicPr>
                  <pic:blipFill>
                    <a:blip r:embed="rId10"/>
                    <a:stretch>
                      <a:fillRect/>
                    </a:stretch>
                  </pic:blipFill>
                  <pic:spPr>
                    <a:xfrm>
                      <a:off x="0" y="0"/>
                      <a:ext cx="8855710" cy="2303145"/>
                    </a:xfrm>
                    <a:prstGeom prst="rect">
                      <a:avLst/>
                    </a:prstGeom>
                    <a:noFill/>
                    <a:ln>
                      <a:noFill/>
                    </a:ln>
                  </pic:spPr>
                </pic:pic>
              </a:graphicData>
            </a:graphic>
          </wp:inline>
        </w:drawing>
      </w:r>
    </w:p>
    <w:p>
      <w:pPr>
        <w:pStyle w:val="5"/>
        <w:widowControl/>
        <w:spacing w:before="76" w:beforeAutospacing="0" w:after="76" w:afterAutospacing="0" w:line="450" w:lineRule="atLeast"/>
        <w:rPr>
          <w:rFonts w:hint="eastAsia"/>
        </w:rPr>
      </w:pPr>
      <w:r>
        <w:drawing>
          <wp:inline distT="0" distB="0" distL="114300" distR="114300">
            <wp:extent cx="8778240" cy="2705735"/>
            <wp:effectExtent l="0" t="0" r="3810" b="18415"/>
            <wp:docPr id="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pic:cNvPicPr>
                      <a:picLocks noChangeAspect="1"/>
                    </pic:cNvPicPr>
                  </pic:nvPicPr>
                  <pic:blipFill>
                    <a:blip r:embed="rId11"/>
                    <a:stretch>
                      <a:fillRect/>
                    </a:stretch>
                  </pic:blipFill>
                  <pic:spPr>
                    <a:xfrm>
                      <a:off x="0" y="0"/>
                      <a:ext cx="8778240" cy="2705735"/>
                    </a:xfrm>
                    <a:prstGeom prst="rect">
                      <a:avLst/>
                    </a:prstGeom>
                    <a:noFill/>
                    <a:ln>
                      <a:noFill/>
                    </a:ln>
                  </pic:spPr>
                </pic:pic>
              </a:graphicData>
            </a:graphic>
          </wp:inline>
        </w:drawing>
      </w:r>
    </w:p>
    <w:p>
      <w:pPr>
        <w:pStyle w:val="5"/>
        <w:widowControl/>
        <w:spacing w:before="76" w:beforeAutospacing="0" w:after="76" w:afterAutospacing="0" w:line="450" w:lineRule="atLeast"/>
        <w:rPr>
          <w:color w:val="333333"/>
        </w:rPr>
        <w:sectPr>
          <w:pgSz w:w="16838" w:h="11906" w:orient="landscape"/>
          <w:pgMar w:top="1800" w:right="1440" w:bottom="1800" w:left="1440" w:header="851" w:footer="992" w:gutter="0"/>
          <w:cols w:space="720" w:num="1"/>
          <w:docGrid w:type="lines" w:linePitch="312" w:charSpace="0"/>
        </w:sectPr>
      </w:pPr>
    </w:p>
    <w:p>
      <w:pPr>
        <w:pStyle w:val="5"/>
        <w:widowControl/>
        <w:spacing w:before="76" w:beforeAutospacing="0" w:after="76" w:afterAutospacing="0" w:line="450" w:lineRule="atLeast"/>
        <w:rPr>
          <w:color w:val="333333"/>
        </w:rPr>
      </w:pPr>
      <w:r>
        <w:rPr>
          <w:rStyle w:val="9"/>
          <w:rFonts w:hint="eastAsia" w:ascii="微软雅黑" w:hAnsi="微软雅黑" w:eastAsia="微软雅黑" w:cs="微软雅黑"/>
          <w:color w:val="333333"/>
          <w:shd w:val="clear" w:color="auto" w:fill="FFFFFF"/>
        </w:rPr>
        <w:t>第三部分</w:t>
      </w:r>
      <w:r>
        <w:rPr>
          <w:rStyle w:val="9"/>
          <w:rFonts w:ascii="微软雅黑" w:hAnsi="微软雅黑" w:eastAsia="微软雅黑" w:cs="微软雅黑"/>
          <w:color w:val="333333"/>
          <w:shd w:val="clear" w:color="auto" w:fill="FFFFFF"/>
        </w:rPr>
        <w:t xml:space="preserve"> 201</w:t>
      </w:r>
      <w:r>
        <w:rPr>
          <w:rStyle w:val="9"/>
          <w:rFonts w:hint="eastAsia" w:ascii="微软雅黑" w:hAnsi="微软雅黑" w:eastAsia="微软雅黑" w:cs="微软雅黑"/>
          <w:color w:val="333333"/>
          <w:shd w:val="clear" w:color="auto" w:fill="FFFFFF"/>
        </w:rPr>
        <w:t>8年部门决算情况说明</w:t>
      </w:r>
    </w:p>
    <w:p>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（一）预算执行情况分析</w:t>
      </w:r>
    </w:p>
    <w:p>
      <w:pPr>
        <w:widowControl/>
        <w:shd w:val="clear" w:color="auto" w:fill="FFFFFF"/>
        <w:ind w:firstLine="560" w:firstLineChars="200"/>
        <w:jc w:val="left"/>
        <w:rPr>
          <w:rFonts w:hint="eastAsia" w:ascii="宋体"/>
          <w:color w:val="FF0000"/>
          <w:sz w:val="28"/>
          <w:szCs w:val="28"/>
        </w:rPr>
      </w:pPr>
      <w:r>
        <w:rPr>
          <w:rFonts w:hint="eastAsia" w:ascii="宋体" w:hAnsi="宋体" w:cs="宋体"/>
          <w:sz w:val="28"/>
          <w:szCs w:val="28"/>
        </w:rPr>
        <w:t>截止</w:t>
      </w:r>
      <w:r>
        <w:rPr>
          <w:rFonts w:ascii="宋体" w:hAnsi="宋体" w:cs="宋体"/>
          <w:sz w:val="28"/>
          <w:szCs w:val="28"/>
        </w:rPr>
        <w:t>2018</w:t>
      </w:r>
      <w:r>
        <w:rPr>
          <w:rFonts w:hint="eastAsia" w:ascii="宋体" w:hAnsi="宋体" w:cs="宋体"/>
          <w:sz w:val="28"/>
          <w:szCs w:val="28"/>
        </w:rPr>
        <w:t>年</w:t>
      </w:r>
      <w:r>
        <w:rPr>
          <w:rFonts w:ascii="宋体" w:hAnsi="宋体" w:cs="宋体"/>
          <w:sz w:val="28"/>
          <w:szCs w:val="28"/>
        </w:rPr>
        <w:t xml:space="preserve"> 12 </w:t>
      </w:r>
      <w:r>
        <w:rPr>
          <w:rFonts w:hint="eastAsia" w:ascii="宋体" w:hAnsi="宋体" w:cs="宋体"/>
          <w:sz w:val="28"/>
          <w:szCs w:val="28"/>
        </w:rPr>
        <w:t>月</w:t>
      </w:r>
      <w:r>
        <w:rPr>
          <w:rFonts w:ascii="宋体" w:hAnsi="宋体" w:cs="宋体"/>
          <w:sz w:val="28"/>
          <w:szCs w:val="28"/>
        </w:rPr>
        <w:t xml:space="preserve"> 31 </w:t>
      </w:r>
      <w:r>
        <w:rPr>
          <w:rFonts w:hint="eastAsia" w:ascii="宋体" w:hAnsi="宋体" w:cs="宋体"/>
          <w:sz w:val="28"/>
          <w:szCs w:val="28"/>
        </w:rPr>
        <w:t>日，总收入为</w:t>
      </w:r>
      <w:r>
        <w:rPr>
          <w:rFonts w:ascii="宋体" w:hAnsi="宋体" w:cs="宋体"/>
          <w:sz w:val="28"/>
          <w:szCs w:val="28"/>
        </w:rPr>
        <w:t>1803.80</w:t>
      </w:r>
      <w:r>
        <w:rPr>
          <w:rFonts w:hint="eastAsia" w:ascii="宋体" w:hAnsi="宋体" w:cs="宋体"/>
          <w:sz w:val="28"/>
          <w:szCs w:val="28"/>
        </w:rPr>
        <w:t>万元。相比</w:t>
      </w:r>
      <w:r>
        <w:rPr>
          <w:rFonts w:ascii="宋体" w:hAnsi="宋体" w:cs="宋体"/>
          <w:sz w:val="28"/>
          <w:szCs w:val="28"/>
        </w:rPr>
        <w:t xml:space="preserve"> 2017</w:t>
      </w:r>
      <w:r>
        <w:rPr>
          <w:rFonts w:hint="eastAsia" w:ascii="宋体" w:hAnsi="宋体" w:cs="宋体"/>
          <w:sz w:val="28"/>
          <w:szCs w:val="28"/>
        </w:rPr>
        <w:t>年，总收入增加305.18万元</w:t>
      </w:r>
      <w:r>
        <w:rPr>
          <w:rFonts w:ascii="宋体" w:cs="宋体"/>
          <w:sz w:val="28"/>
          <w:szCs w:val="28"/>
        </w:rPr>
        <w:t>,</w:t>
      </w:r>
      <w:r>
        <w:rPr>
          <w:rFonts w:hint="eastAsia" w:ascii="宋体" w:hAnsi="宋体" w:cs="宋体"/>
          <w:sz w:val="28"/>
          <w:szCs w:val="28"/>
        </w:rPr>
        <w:t>增加20.36</w:t>
      </w:r>
      <w:r>
        <w:rPr>
          <w:rFonts w:ascii="宋体" w:hAnsi="宋体" w:cs="宋体"/>
          <w:sz w:val="28"/>
          <w:szCs w:val="28"/>
        </w:rPr>
        <w:t>%</w:t>
      </w:r>
      <w:r>
        <w:rPr>
          <w:rFonts w:hint="eastAsia" w:ascii="宋体" w:hAnsi="宋体" w:cs="宋体"/>
          <w:sz w:val="28"/>
          <w:szCs w:val="28"/>
        </w:rPr>
        <w:t>。截止</w:t>
      </w:r>
      <w:r>
        <w:rPr>
          <w:rFonts w:ascii="宋体" w:hAnsi="宋体" w:cs="宋体"/>
          <w:sz w:val="28"/>
          <w:szCs w:val="28"/>
        </w:rPr>
        <w:t>201</w:t>
      </w:r>
      <w:r>
        <w:rPr>
          <w:rFonts w:hint="eastAsia" w:ascii="宋体" w:hAnsi="宋体" w:cs="宋体"/>
          <w:sz w:val="28"/>
          <w:szCs w:val="28"/>
        </w:rPr>
        <w:t>8</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12 </w:t>
      </w:r>
      <w:r>
        <w:rPr>
          <w:rFonts w:hint="eastAsia" w:ascii="宋体" w:hAnsi="宋体" w:cs="宋体"/>
          <w:sz w:val="28"/>
          <w:szCs w:val="28"/>
        </w:rPr>
        <w:t>月</w:t>
      </w:r>
      <w:r>
        <w:rPr>
          <w:rFonts w:ascii="宋体" w:hAnsi="宋体" w:cs="宋体"/>
          <w:sz w:val="28"/>
          <w:szCs w:val="28"/>
        </w:rPr>
        <w:t xml:space="preserve"> 31 </w:t>
      </w:r>
      <w:r>
        <w:rPr>
          <w:rFonts w:hint="eastAsia" w:ascii="宋体" w:hAnsi="宋体" w:cs="宋体"/>
          <w:sz w:val="28"/>
          <w:szCs w:val="28"/>
        </w:rPr>
        <w:t>日，总支出为</w:t>
      </w:r>
      <w:r>
        <w:rPr>
          <w:rFonts w:ascii="宋体" w:hAnsi="宋体" w:cs="宋体"/>
          <w:sz w:val="28"/>
          <w:szCs w:val="28"/>
        </w:rPr>
        <w:t>1</w:t>
      </w:r>
      <w:r>
        <w:rPr>
          <w:rFonts w:hint="eastAsia" w:ascii="宋体" w:hAnsi="宋体" w:cs="宋体"/>
          <w:sz w:val="28"/>
          <w:szCs w:val="28"/>
        </w:rPr>
        <w:t>803.80万元。相比</w:t>
      </w:r>
      <w:r>
        <w:rPr>
          <w:rFonts w:ascii="宋体" w:hAnsi="宋体" w:cs="宋体"/>
          <w:sz w:val="28"/>
          <w:szCs w:val="28"/>
        </w:rPr>
        <w:t xml:space="preserve"> 201</w:t>
      </w:r>
      <w:r>
        <w:rPr>
          <w:rFonts w:hint="eastAsia" w:ascii="宋体" w:hAnsi="宋体" w:cs="宋体"/>
          <w:sz w:val="28"/>
          <w:szCs w:val="28"/>
        </w:rPr>
        <w:t>7年，总支出增加305.18万元</w:t>
      </w:r>
      <w:r>
        <w:rPr>
          <w:rFonts w:ascii="宋体" w:cs="宋体"/>
          <w:sz w:val="28"/>
          <w:szCs w:val="28"/>
        </w:rPr>
        <w:t>,</w:t>
      </w:r>
      <w:r>
        <w:rPr>
          <w:rFonts w:ascii="宋体" w:hAnsi="宋体" w:cs="宋体"/>
          <w:sz w:val="28"/>
          <w:szCs w:val="28"/>
        </w:rPr>
        <w:t xml:space="preserve"> </w:t>
      </w:r>
      <w:r>
        <w:rPr>
          <w:rFonts w:hint="eastAsia" w:ascii="宋体" w:hAnsi="宋体" w:cs="宋体"/>
          <w:sz w:val="28"/>
          <w:szCs w:val="28"/>
        </w:rPr>
        <w:t>增加20.36</w:t>
      </w:r>
      <w:r>
        <w:rPr>
          <w:rFonts w:ascii="宋体" w:hAnsi="宋体" w:cs="宋体"/>
          <w:sz w:val="28"/>
          <w:szCs w:val="28"/>
        </w:rPr>
        <w:t>%</w:t>
      </w:r>
      <w:r>
        <w:rPr>
          <w:rFonts w:hint="eastAsia" w:ascii="宋体" w:hAnsi="宋体" w:cs="宋体"/>
          <w:sz w:val="28"/>
          <w:szCs w:val="28"/>
        </w:rPr>
        <w:t>。原因是</w:t>
      </w:r>
      <w:r>
        <w:rPr>
          <w:rFonts w:hint="eastAsia" w:ascii="宋体" w:hAnsi="宋体" w:cs="宋体"/>
          <w:sz w:val="28"/>
          <w:szCs w:val="28"/>
          <w:lang w:eastAsia="zh-CN"/>
        </w:rPr>
        <w:t>：</w:t>
      </w:r>
      <w:r>
        <w:rPr>
          <w:rFonts w:hint="eastAsia" w:ascii="宋体" w:hAnsi="宋体" w:cs="宋体"/>
          <w:sz w:val="28"/>
          <w:szCs w:val="28"/>
        </w:rPr>
        <w:t>1</w:t>
      </w:r>
      <w:r>
        <w:rPr>
          <w:rFonts w:hint="eastAsia" w:ascii="宋体" w:hAnsi="宋体" w:cs="宋体"/>
          <w:sz w:val="28"/>
          <w:szCs w:val="28"/>
          <w:lang w:eastAsia="zh-CN"/>
        </w:rPr>
        <w:t>、</w:t>
      </w:r>
      <w:r>
        <w:rPr>
          <w:rFonts w:hint="eastAsia" w:ascii="宋体" w:hAnsi="宋体" w:cs="宋体"/>
          <w:sz w:val="28"/>
          <w:szCs w:val="28"/>
        </w:rPr>
        <w:t>街道及社区人员经费逐年递增；2</w:t>
      </w:r>
      <w:r>
        <w:rPr>
          <w:rFonts w:hint="eastAsia" w:ascii="宋体" w:hAnsi="宋体" w:cs="宋体"/>
          <w:sz w:val="28"/>
          <w:szCs w:val="28"/>
          <w:lang w:eastAsia="zh-CN"/>
        </w:rPr>
        <w:t>、</w:t>
      </w:r>
      <w:r>
        <w:rPr>
          <w:rFonts w:hint="eastAsia" w:ascii="宋体" w:hAnsi="宋体" w:cs="宋体"/>
          <w:sz w:val="28"/>
          <w:szCs w:val="28"/>
        </w:rPr>
        <w:t>2018年全力创建文明城市，本年度财拨款新增创文专项资金，3</w:t>
      </w:r>
      <w:r>
        <w:rPr>
          <w:rFonts w:hint="eastAsia" w:ascii="宋体" w:hAnsi="宋体" w:cs="宋体"/>
          <w:sz w:val="28"/>
          <w:szCs w:val="28"/>
          <w:lang w:eastAsia="zh-CN"/>
        </w:rPr>
        <w:t>、</w:t>
      </w:r>
      <w:r>
        <w:rPr>
          <w:rFonts w:hint="eastAsia" w:ascii="宋体" w:hAnsi="宋体" w:cs="宋体"/>
          <w:sz w:val="28"/>
          <w:szCs w:val="28"/>
        </w:rPr>
        <w:t>我单位今年搬迁新址，财拨款新增房租经费30万元，4</w:t>
      </w:r>
      <w:r>
        <w:rPr>
          <w:rFonts w:hint="eastAsia" w:ascii="宋体" w:hAnsi="宋体" w:cs="宋体"/>
          <w:sz w:val="28"/>
          <w:szCs w:val="28"/>
          <w:lang w:eastAsia="zh-CN"/>
        </w:rPr>
        <w:t>、</w:t>
      </w:r>
      <w:r>
        <w:rPr>
          <w:rFonts w:hint="eastAsia" w:ascii="宋体" w:hAnsi="宋体" w:cs="宋体"/>
          <w:sz w:val="28"/>
          <w:szCs w:val="28"/>
        </w:rPr>
        <w:t>本年度新增收财政拨社区经费96万元等，所以支出超过预算。</w:t>
      </w:r>
    </w:p>
    <w:p>
      <w:pPr>
        <w:widowControl/>
        <w:numPr>
          <w:ilvl w:val="0"/>
          <w:numId w:val="1"/>
        </w:numPr>
        <w:shd w:val="clear" w:color="auto" w:fill="FFFFFF"/>
        <w:ind w:left="0" w:leftChars="0" w:firstLine="562" w:firstLineChars="20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关于“三公”经费支出说明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0" w:firstLineChars="200"/>
        <w:jc w:val="left"/>
        <w:textAlignment w:val="auto"/>
        <w:rPr>
          <w:rFonts w:ascii="宋体" w:cs="宋体"/>
          <w:sz w:val="28"/>
          <w:szCs w:val="28"/>
        </w:rPr>
      </w:pPr>
      <w:r>
        <w:rPr>
          <w:rFonts w:hint="eastAsia" w:ascii="宋体" w:hAnsi="宋体" w:cs="宋体"/>
          <w:sz w:val="28"/>
          <w:szCs w:val="28"/>
        </w:rPr>
        <w:t>我单位</w:t>
      </w:r>
      <w:r>
        <w:rPr>
          <w:rFonts w:ascii="宋体" w:hAnsi="宋体" w:cs="宋体"/>
          <w:sz w:val="28"/>
          <w:szCs w:val="28"/>
        </w:rPr>
        <w:t>201</w:t>
      </w:r>
      <w:r>
        <w:rPr>
          <w:rFonts w:hint="eastAsia" w:ascii="宋体" w:hAnsi="宋体" w:cs="宋体"/>
          <w:sz w:val="28"/>
          <w:szCs w:val="28"/>
        </w:rPr>
        <w:t>8年因公出国（境）费</w:t>
      </w:r>
      <w:r>
        <w:rPr>
          <w:rFonts w:ascii="宋体" w:cs="宋体"/>
          <w:sz w:val="28"/>
          <w:szCs w:val="28"/>
        </w:rPr>
        <w:t>0</w:t>
      </w:r>
      <w:r>
        <w:rPr>
          <w:rFonts w:hint="eastAsia" w:ascii="宋体" w:hAnsi="宋体" w:cs="宋体"/>
          <w:sz w:val="28"/>
          <w:szCs w:val="28"/>
        </w:rPr>
        <w:t>元，较</w:t>
      </w:r>
      <w:r>
        <w:rPr>
          <w:rFonts w:ascii="宋体" w:hAnsi="宋体" w:cs="宋体"/>
          <w:sz w:val="28"/>
          <w:szCs w:val="28"/>
        </w:rPr>
        <w:t>201</w:t>
      </w:r>
      <w:r>
        <w:rPr>
          <w:rFonts w:hint="eastAsia" w:ascii="宋体" w:hAnsi="宋体" w:cs="宋体"/>
          <w:sz w:val="28"/>
          <w:szCs w:val="28"/>
        </w:rPr>
        <w:t>7年决算数持平，主要原因是单位没有因公出国</w:t>
      </w:r>
      <w:r>
        <w:rPr>
          <w:rFonts w:hint="eastAsia" w:ascii="宋体" w:hAnsi="宋体" w:cs="宋体"/>
          <w:sz w:val="28"/>
          <w:szCs w:val="28"/>
          <w:lang w:eastAsia="zh-CN"/>
        </w:rPr>
        <w:t>；</w:t>
      </w:r>
      <w:r>
        <w:rPr>
          <w:rFonts w:hint="eastAsia" w:ascii="宋体" w:hAnsi="宋体"/>
          <w:sz w:val="28"/>
        </w:rPr>
        <w:t>2018年无公务用车购置及运行维护费，较2017年决算数持平，主要原因是单位无公务车辆</w:t>
      </w:r>
      <w:r>
        <w:rPr>
          <w:rFonts w:hint="eastAsia" w:ascii="宋体" w:hAnsi="宋体"/>
          <w:sz w:val="28"/>
          <w:lang w:eastAsia="zh-CN"/>
        </w:rPr>
        <w:t>；</w:t>
      </w:r>
      <w:r>
        <w:rPr>
          <w:rFonts w:hint="eastAsia" w:ascii="宋体" w:hAnsi="宋体"/>
          <w:sz w:val="28"/>
        </w:rPr>
        <w:t>2018年无公务接待费，较2017年决算数持平。主要原因是单位没有公务接待。　</w:t>
      </w:r>
      <w:r>
        <w:rPr>
          <w:rFonts w:hint="eastAsia" w:ascii="宋体" w:hAnsi="宋体" w:cs="宋体"/>
          <w:sz w:val="28"/>
          <w:szCs w:val="28"/>
        </w:rPr>
        <w:t>　</w:t>
      </w:r>
    </w:p>
    <w:p>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（三）关于机关运行经费支出说明</w:t>
      </w:r>
    </w:p>
    <w:p>
      <w:pPr>
        <w:pStyle w:val="10"/>
        <w:rPr>
          <w:rFonts w:ascii="宋体" w:cs="Times New Roman"/>
          <w:sz w:val="28"/>
          <w:szCs w:val="28"/>
        </w:rPr>
      </w:pPr>
      <w:r>
        <w:rPr>
          <w:rFonts w:hint="eastAsia" w:ascii="宋体" w:hAnsi="宋体"/>
          <w:sz w:val="28"/>
          <w:szCs w:val="28"/>
        </w:rPr>
        <w:t>本单位</w:t>
      </w:r>
      <w:r>
        <w:rPr>
          <w:rFonts w:ascii="宋体" w:hAnsi="宋体"/>
          <w:sz w:val="28"/>
          <w:szCs w:val="28"/>
        </w:rPr>
        <w:t>2018</w:t>
      </w:r>
      <w:r>
        <w:rPr>
          <w:rFonts w:hint="eastAsia" w:ascii="宋体" w:hAnsi="宋体"/>
          <w:sz w:val="28"/>
          <w:szCs w:val="28"/>
        </w:rPr>
        <w:t>年度机关运行经费支出1336.95万元，比</w:t>
      </w:r>
      <w:r>
        <w:rPr>
          <w:rFonts w:ascii="宋体" w:hAnsi="宋体"/>
          <w:sz w:val="28"/>
          <w:szCs w:val="28"/>
        </w:rPr>
        <w:t>201</w:t>
      </w:r>
      <w:r>
        <w:rPr>
          <w:rFonts w:hint="eastAsia" w:ascii="宋体" w:hAnsi="宋体"/>
          <w:sz w:val="28"/>
          <w:szCs w:val="28"/>
        </w:rPr>
        <w:t>7年增加245.42万元，增长22.48</w:t>
      </w:r>
      <w:r>
        <w:rPr>
          <w:rFonts w:ascii="宋体" w:hAnsi="宋体"/>
          <w:sz w:val="28"/>
          <w:szCs w:val="28"/>
        </w:rPr>
        <w:t>%</w:t>
      </w:r>
      <w:r>
        <w:rPr>
          <w:rFonts w:hint="eastAsia" w:ascii="宋体" w:hAnsi="宋体"/>
          <w:sz w:val="28"/>
          <w:szCs w:val="28"/>
        </w:rPr>
        <w:t>。主要原因是：1</w:t>
      </w:r>
      <w:r>
        <w:rPr>
          <w:rFonts w:hint="eastAsia" w:ascii="宋体" w:hAnsi="宋体"/>
          <w:sz w:val="28"/>
          <w:szCs w:val="28"/>
          <w:lang w:eastAsia="zh-CN"/>
        </w:rPr>
        <w:t>、</w:t>
      </w:r>
      <w:r>
        <w:rPr>
          <w:rFonts w:hint="eastAsia" w:ascii="宋体" w:hAnsi="宋体"/>
          <w:sz w:val="28"/>
          <w:szCs w:val="28"/>
        </w:rPr>
        <w:t>社区工作人员工资本年度计入委托业务费项目核算属于公用经费，纳入机关运行经费支出，上年度计入其他工资福利支出核算，归属于人员经费，不计入机关运行经费支出； 2</w:t>
      </w:r>
      <w:r>
        <w:rPr>
          <w:rFonts w:hint="eastAsia" w:ascii="宋体" w:hAnsi="宋体"/>
          <w:sz w:val="28"/>
          <w:szCs w:val="28"/>
          <w:lang w:eastAsia="zh-CN"/>
        </w:rPr>
        <w:t>、</w:t>
      </w:r>
      <w:r>
        <w:rPr>
          <w:rFonts w:hint="eastAsia" w:ascii="宋体" w:hAnsi="宋体"/>
          <w:sz w:val="28"/>
          <w:szCs w:val="28"/>
        </w:rPr>
        <w:t>2018年全力创建文明城市，本年度财拨款新增创文专项资金，3</w:t>
      </w:r>
      <w:r>
        <w:rPr>
          <w:rFonts w:hint="eastAsia" w:ascii="宋体" w:hAnsi="宋体"/>
          <w:sz w:val="28"/>
          <w:szCs w:val="28"/>
          <w:lang w:eastAsia="zh-CN"/>
        </w:rPr>
        <w:t>、</w:t>
      </w:r>
      <w:r>
        <w:rPr>
          <w:rFonts w:hint="eastAsia" w:ascii="宋体" w:hAnsi="宋体"/>
          <w:sz w:val="28"/>
          <w:szCs w:val="28"/>
        </w:rPr>
        <w:t>我单位今年搬迁新址，财拨款新增房租经费30万元，4.本年度新增收财政拨社区经费96万元等，所以较上年有所增加。</w:t>
      </w:r>
    </w:p>
    <w:p>
      <w:pPr>
        <w:widowControl/>
        <w:shd w:val="clear" w:color="auto" w:fill="FFFFFF"/>
        <w:jc w:val="left"/>
        <w:rPr>
          <w:rFonts w:ascii="宋体" w:cs="宋体"/>
          <w:b/>
          <w:bCs/>
          <w:sz w:val="28"/>
          <w:szCs w:val="28"/>
        </w:rPr>
      </w:pPr>
      <w:r>
        <w:rPr>
          <w:rFonts w:hint="eastAsia" w:ascii="宋体" w:hAnsi="宋体" w:cs="宋体"/>
          <w:b/>
          <w:bCs/>
          <w:sz w:val="28"/>
          <w:szCs w:val="28"/>
        </w:rPr>
        <w:t>　　（四）关于政府采购支出说明</w:t>
      </w:r>
    </w:p>
    <w:p>
      <w:pPr>
        <w:widowControl/>
        <w:shd w:val="clear" w:color="auto" w:fill="FFFFFF"/>
        <w:ind w:firstLine="480"/>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本单位2018年度政府采购支出总额0万元，主要原因是单位没有本年度无政府采购支出。　</w:t>
      </w:r>
    </w:p>
    <w:p>
      <w:pPr>
        <w:widowControl/>
        <w:shd w:val="clear" w:color="auto" w:fill="FFFFFF"/>
        <w:ind w:firstLine="48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（五）关于国有资产占用情况说明</w:t>
      </w:r>
    </w:p>
    <w:p>
      <w:pPr>
        <w:widowControl/>
        <w:shd w:val="clear" w:color="auto" w:fill="FFFFFF"/>
        <w:ind w:firstLine="480"/>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截到2018年12月31日，本部门共有车辆0辆，其中：领导干部用车0辆，一般公务用车0辆，一般执法执勤用车0辆，特种专业技术用车0辆，其他用车0辆。单位价值50万元以上通用设备0台，单价100万元以上专用设备0台。</w:t>
      </w:r>
    </w:p>
    <w:p>
      <w:pPr>
        <w:widowControl/>
        <w:shd w:val="clear" w:color="auto" w:fill="FFFFFF"/>
        <w:ind w:firstLine="480"/>
        <w:jc w:val="left"/>
        <w:rPr>
          <w:rFonts w:hint="eastAsia" w:asciiTheme="minorEastAsia" w:hAnsiTheme="minorEastAsia" w:eastAsiaTheme="minorEastAsia" w:cstheme="minorEastAsia"/>
          <w:b w:val="0"/>
          <w:bCs w:val="0"/>
          <w:sz w:val="28"/>
          <w:szCs w:val="28"/>
          <w:lang w:val="en-US" w:eastAsia="zh-CN"/>
        </w:rPr>
      </w:pPr>
    </w:p>
    <w:p>
      <w:pPr>
        <w:widowControl/>
        <w:shd w:val="clear" w:color="auto" w:fill="FFFFFF"/>
        <w:ind w:firstLine="480"/>
        <w:jc w:val="left"/>
        <w:rPr>
          <w:rFonts w:hint="eastAsia" w:asciiTheme="minorEastAsia" w:hAnsiTheme="minorEastAsia" w:eastAsiaTheme="minorEastAsia" w:cstheme="minorEastAsia"/>
          <w:b w:val="0"/>
          <w:bCs w:val="0"/>
          <w:sz w:val="28"/>
          <w:szCs w:val="28"/>
          <w:lang w:val="en-US" w:eastAsia="zh-CN"/>
        </w:rPr>
      </w:pPr>
    </w:p>
    <w:p>
      <w:pPr>
        <w:widowControl/>
        <w:shd w:val="clear" w:color="auto" w:fill="FFFFFF"/>
        <w:ind w:firstLine="480"/>
        <w:jc w:val="left"/>
        <w:rPr>
          <w:rFonts w:hint="eastAsia" w:asciiTheme="minorEastAsia" w:hAnsiTheme="minorEastAsia" w:eastAsiaTheme="minorEastAsia" w:cstheme="minorEastAsia"/>
          <w:b w:val="0"/>
          <w:bCs w:val="0"/>
          <w:sz w:val="28"/>
          <w:szCs w:val="28"/>
          <w:lang w:val="en-US" w:eastAsia="zh-CN"/>
        </w:rPr>
      </w:pPr>
    </w:p>
    <w:p>
      <w:pPr>
        <w:widowControl/>
        <w:shd w:val="clear" w:color="auto" w:fill="FFFFFF"/>
        <w:jc w:val="left"/>
        <w:rPr>
          <w:rFonts w:hint="eastAsia" w:ascii="仿宋_GB2312" w:hAnsi="仿宋" w:eastAsia="仿宋_GB2312"/>
          <w:sz w:val="32"/>
          <w:szCs w:val="32"/>
        </w:rPr>
      </w:pPr>
      <w:r>
        <w:rPr>
          <w:rFonts w:hint="eastAsia" w:ascii="仿宋_GB2312" w:hAnsi="仿宋" w:eastAsia="仿宋_GB2312"/>
          <w:sz w:val="32"/>
          <w:szCs w:val="32"/>
        </w:rPr>
        <w:t>　</w:t>
      </w:r>
    </w:p>
    <w:p>
      <w:pPr>
        <w:pStyle w:val="5"/>
        <w:widowControl/>
        <w:spacing w:before="76" w:beforeAutospacing="0" w:after="76" w:afterAutospacing="0" w:line="450" w:lineRule="atLeast"/>
        <w:ind w:firstLine="420"/>
        <w:rPr>
          <w:color w:val="333333"/>
        </w:rPr>
      </w:pPr>
      <w:r>
        <w:rPr>
          <w:rFonts w:ascii="仿宋_GB2312" w:eastAsia="仿宋_GB2312"/>
          <w:sz w:val="27"/>
          <w:szCs w:val="27"/>
        </w:rPr>
        <w:t xml:space="preserve"> </w:t>
      </w:r>
      <w:r>
        <w:rPr>
          <w:rStyle w:val="9"/>
          <w:rFonts w:hint="eastAsia" w:ascii="微软雅黑" w:hAnsi="微软雅黑" w:eastAsia="微软雅黑" w:cs="微软雅黑"/>
          <w:color w:val="333333"/>
          <w:shd w:val="clear" w:color="auto" w:fill="FFFFFF"/>
        </w:rPr>
        <w:t>第四部分</w:t>
      </w:r>
      <w:r>
        <w:rPr>
          <w:rStyle w:val="9"/>
          <w:rFonts w:ascii="微软雅黑" w:hAnsi="微软雅黑" w:eastAsia="微软雅黑" w:cs="微软雅黑"/>
          <w:color w:val="333333"/>
          <w:shd w:val="clear" w:color="auto" w:fill="FFFFFF"/>
        </w:rPr>
        <w:t xml:space="preserve"> </w:t>
      </w:r>
      <w:r>
        <w:rPr>
          <w:rStyle w:val="9"/>
          <w:rFonts w:hint="eastAsia" w:ascii="微软雅黑" w:hAnsi="微软雅黑" w:eastAsia="微软雅黑" w:cs="微软雅黑"/>
          <w:color w:val="333333"/>
          <w:shd w:val="clear" w:color="auto" w:fill="FFFFFF"/>
        </w:rPr>
        <w:t>名词解释</w:t>
      </w:r>
    </w:p>
    <w:p>
      <w:pPr>
        <w:pStyle w:val="5"/>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bookmarkStart w:id="0" w:name="_GoBack"/>
      <w:r>
        <w:rPr>
          <w:rFonts w:hint="eastAsia" w:asciiTheme="minorEastAsia" w:hAnsiTheme="minorEastAsia" w:eastAsiaTheme="minorEastAsia" w:cstheme="minorEastAsia"/>
          <w:color w:val="333333"/>
          <w:sz w:val="28"/>
          <w:szCs w:val="28"/>
          <w:shd w:val="clear" w:color="auto" w:fill="FFFFFF"/>
        </w:rPr>
        <w:t>一、财政补助收入：指县级财政当年拨付的资金。</w:t>
      </w:r>
    </w:p>
    <w:p>
      <w:pPr>
        <w:pStyle w:val="5"/>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二、其他收入：指除“财政拨款收入”、“上级补助收入”、“事业收入”、“经营收入”等以外的收入。主要是存款利息收入等。</w:t>
      </w:r>
    </w:p>
    <w:p>
      <w:pPr>
        <w:pStyle w:val="5"/>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三、年初结转和结余：指以前年度尚未完成、结转到本年按有关规定继续使用的资金。</w:t>
      </w:r>
    </w:p>
    <w:p>
      <w:pPr>
        <w:pStyle w:val="5"/>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四、一般公共服务（类）行政运行（项）：指县行</w:t>
      </w:r>
      <w:bookmarkEnd w:id="0"/>
      <w:r>
        <w:rPr>
          <w:rFonts w:hint="eastAsia" w:asciiTheme="minorEastAsia" w:hAnsiTheme="minorEastAsia" w:eastAsiaTheme="minorEastAsia" w:cstheme="minorEastAsia"/>
          <w:color w:val="333333"/>
          <w:sz w:val="28"/>
          <w:szCs w:val="28"/>
          <w:shd w:val="clear" w:color="auto" w:fill="FFFFFF"/>
        </w:rPr>
        <w:t>政单位及参照公务员管理事业单位用于保障机构正常运行、开展日常工作的基本支出。</w:t>
      </w:r>
    </w:p>
    <w:p>
      <w:pPr>
        <w:pStyle w:val="5"/>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5"/>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六、一般公共服务（类）机关服务（项）：指县黄石港区磁湖街办服务中心为机关提供办公楼日常维修、维护等后勤保障服务的支出。</w:t>
      </w:r>
    </w:p>
    <w:p>
      <w:pPr>
        <w:pStyle w:val="5"/>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七、一般公共服务（类）其他一般公共服务支出（款）其他一般公共服务支出（项）：指黄石港区磁湖街办用于其他一般公共服务方面的支出。</w:t>
      </w:r>
    </w:p>
    <w:p>
      <w:pPr>
        <w:pStyle w:val="5"/>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八、教育（类）普通教育（款）高等教育（项）：指黄石港区磁湖街办厅支持地方高校的重点发展和特色办学，组织专家对省属院校申报的建设规划和项目预算进行评审等相关工作的支出。</w:t>
      </w:r>
    </w:p>
    <w:p>
      <w:pPr>
        <w:pStyle w:val="5"/>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九、社会保障和就业(类)行政事业单位离退休（款）归口管理的行政单位离退休（项）：指黄石港区磁湖街办用于离退休人员的支出、退休人员支出，以及提供管理服务工作的离退休干部处的支出。</w:t>
      </w:r>
    </w:p>
    <w:p>
      <w:pPr>
        <w:pStyle w:val="5"/>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十、社会保障和就业(类)行政事业单位离退休（款）其他行政事业单位离退休支出（项）：指黄石港区磁湖街办用于离退休方面的其他支出。</w:t>
      </w:r>
    </w:p>
    <w:p>
      <w:pPr>
        <w:pStyle w:val="5"/>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十一、医疗卫生与计划生育（类）医疗保障（款）行政单位医疗（项）：指黄石港区磁湖街办用于机关干部职工及离退休人员医疗方面的支出。</w:t>
      </w:r>
    </w:p>
    <w:p>
      <w:pPr>
        <w:pStyle w:val="5"/>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5"/>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十三、年末结转和结余：指本年度或以前年度预算安排、因客观条件发生变化无法按原计划实施，需要延迟到以后年度按有关规定继续使用的资金。</w:t>
      </w:r>
    </w:p>
    <w:p>
      <w:pPr>
        <w:pStyle w:val="5"/>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5"/>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十五、项目支出：指在基本支出之外为完成特定行政任务和事业发展目标所发生的支出。</w:t>
      </w:r>
    </w:p>
    <w:p>
      <w:pPr>
        <w:pStyle w:val="5"/>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十六、“三公”经费：是指用财政拨款安排的因公出国（境）费、公务用车购置及运行维护费、公务接待费。</w:t>
      </w: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icrosoft YaHei Western">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9EFF16"/>
    <w:multiLevelType w:val="singleLevel"/>
    <w:tmpl w:val="9F9EFF16"/>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C9"/>
    <w:rsid w:val="0012738B"/>
    <w:rsid w:val="00164849"/>
    <w:rsid w:val="0036317D"/>
    <w:rsid w:val="007E47FD"/>
    <w:rsid w:val="00805B13"/>
    <w:rsid w:val="009849C9"/>
    <w:rsid w:val="00AC0523"/>
    <w:rsid w:val="00EF3346"/>
    <w:rsid w:val="01956809"/>
    <w:rsid w:val="01BA2E7D"/>
    <w:rsid w:val="0664587B"/>
    <w:rsid w:val="07064C72"/>
    <w:rsid w:val="09496452"/>
    <w:rsid w:val="09FF39B4"/>
    <w:rsid w:val="0AB34DA1"/>
    <w:rsid w:val="0B821CB6"/>
    <w:rsid w:val="0F243B6C"/>
    <w:rsid w:val="0F580F62"/>
    <w:rsid w:val="10157CA5"/>
    <w:rsid w:val="11411182"/>
    <w:rsid w:val="13FA6E94"/>
    <w:rsid w:val="1D3216D7"/>
    <w:rsid w:val="219E41B4"/>
    <w:rsid w:val="22E5395A"/>
    <w:rsid w:val="25406646"/>
    <w:rsid w:val="255E033E"/>
    <w:rsid w:val="27272230"/>
    <w:rsid w:val="27390172"/>
    <w:rsid w:val="2BDF0111"/>
    <w:rsid w:val="2CCE2491"/>
    <w:rsid w:val="2F081AB6"/>
    <w:rsid w:val="35840005"/>
    <w:rsid w:val="401A2F36"/>
    <w:rsid w:val="408F5EDF"/>
    <w:rsid w:val="43693B26"/>
    <w:rsid w:val="44064590"/>
    <w:rsid w:val="457D21A1"/>
    <w:rsid w:val="49D83A19"/>
    <w:rsid w:val="4A187DA8"/>
    <w:rsid w:val="4CC36F4D"/>
    <w:rsid w:val="4FCC39E6"/>
    <w:rsid w:val="507C1CF5"/>
    <w:rsid w:val="53FA08DA"/>
    <w:rsid w:val="57193076"/>
    <w:rsid w:val="5B841365"/>
    <w:rsid w:val="5EF27DB1"/>
    <w:rsid w:val="602B7412"/>
    <w:rsid w:val="61773BFF"/>
    <w:rsid w:val="621B3808"/>
    <w:rsid w:val="62E26A46"/>
    <w:rsid w:val="67E4782B"/>
    <w:rsid w:val="6A5F0092"/>
    <w:rsid w:val="6FC62DF1"/>
    <w:rsid w:val="746766E2"/>
    <w:rsid w:val="74EA7B66"/>
    <w:rsid w:val="78186405"/>
    <w:rsid w:val="784C1E5B"/>
    <w:rsid w:val="796F54E7"/>
    <w:rsid w:val="7D417A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ocked="1"/>
    <w:lsdException w:unhideWhenUsed="0" w:uiPriority="0" w:semiHidden="0" w:name="heading 2" w:locked="1"/>
    <w:lsdException w:unhideWhenUsed="0" w:uiPriority="0" w:semiHidden="0" w:name="heading 3" w:locked="1"/>
    <w:lsdException w:unhideWhenUsed="0" w:uiPriority="0" w:semiHidden="0" w:name="heading 4" w:locked="1"/>
    <w:lsdException w:unhideWhenUsed="0" w:uiPriority="0" w:name="heading 5"/>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semiHidden/>
    <w:uiPriority w:val="0"/>
    <w:pPr>
      <w:spacing w:beforeAutospacing="1" w:afterAutospacing="1"/>
      <w:jc w:val="left"/>
      <w:outlineLvl w:val="4"/>
    </w:pPr>
    <w:rPr>
      <w:rFonts w:ascii="宋体" w:hAnsi="宋体"/>
      <w:b/>
      <w:kern w:val="0"/>
      <w:sz w:val="20"/>
      <w:szCs w:val="20"/>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rFonts w:cs="Times New Roman"/>
      <w:b/>
    </w:rPr>
  </w:style>
  <w:style w:type="paragraph" w:customStyle="1" w:styleId="10">
    <w:name w:val="正文缩进 + 首行缩进:  2 字符"/>
    <w:basedOn w:val="1"/>
    <w:qFormat/>
    <w:uiPriority w:val="0"/>
    <w:pPr>
      <w:spacing w:line="560" w:lineRule="exact"/>
      <w:ind w:firstLine="640"/>
    </w:pPr>
    <w:rPr>
      <w:rFonts w:ascii="仿宋" w:hAnsi="仿宋" w:cs="宋体"/>
      <w:sz w:val="32"/>
      <w:szCs w:val="32"/>
    </w:rPr>
  </w:style>
  <w:style w:type="paragraph" w:customStyle="1" w:styleId="11">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pa-1"/>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ca-2"/>
    <w:basedOn w:val="8"/>
    <w:qFormat/>
    <w:uiPriority w:val="0"/>
    <w:rPr>
      <w:rFonts w:cs="Times New Roman"/>
    </w:rPr>
  </w:style>
  <w:style w:type="character" w:customStyle="1" w:styleId="14">
    <w:name w:val="apple-converted-space"/>
    <w:basedOn w:val="8"/>
    <w:qFormat/>
    <w:uiPriority w:val="0"/>
    <w:rPr>
      <w:rFonts w:cs="Times New Roman"/>
    </w:rPr>
  </w:style>
  <w:style w:type="character" w:customStyle="1" w:styleId="15">
    <w:name w:val="ca-3"/>
    <w:basedOn w:val="8"/>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15</Pages>
  <Words>361</Words>
  <Characters>2062</Characters>
  <Lines>17</Lines>
  <Paragraphs>4</Paragraphs>
  <TotalTime>9</TotalTime>
  <ScaleCrop>false</ScaleCrop>
  <LinksUpToDate>false</LinksUpToDate>
  <CharactersWithSpaces>2419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2019-09-12T07:09:00Z</dcterms:created>
  <dc:creator>gg</dc:creator>
  <cp:lastModifiedBy>asd</cp:lastModifiedBy>
  <dcterms:modified xsi:type="dcterms:W3CDTF">2019-09-15T11:12:30Z</dcterms:modified>
  <dc:title>磁湖街办2017年决算公开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