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070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line="450" w:lineRule="atLeast"/>
        <w:ind w:left="0" w:right="0" w:firstLine="0"/>
        <w:jc w:val="center"/>
        <w:rPr>
          <w:rFonts w:ascii="微软雅黑" w:hAnsi="微软雅黑" w:eastAsia="微软雅黑" w:cs="微软雅黑"/>
          <w:b/>
          <w:i w:val="0"/>
          <w:caps w:val="0"/>
          <w:color w:val="BC1010"/>
          <w:spacing w:val="0"/>
          <w:sz w:val="40"/>
          <w:szCs w:val="40"/>
        </w:rPr>
      </w:pPr>
      <w:r>
        <w:rPr>
          <w:rFonts w:hint="eastAsia" w:ascii="微软雅黑" w:hAnsi="微软雅黑" w:eastAsia="微软雅黑" w:cs="微软雅黑"/>
          <w:b/>
          <w:i w:val="0"/>
          <w:caps w:val="0"/>
          <w:color w:val="BC1010"/>
          <w:spacing w:val="0"/>
          <w:sz w:val="40"/>
          <w:szCs w:val="40"/>
          <w:shd w:val="clear" w:fill="FFFFFF"/>
          <w:lang w:eastAsia="zh-CN"/>
        </w:rPr>
        <w:t>磁湖街办</w:t>
      </w:r>
      <w:r>
        <w:rPr>
          <w:rFonts w:hint="eastAsia" w:ascii="微软雅黑" w:hAnsi="微软雅黑" w:eastAsia="微软雅黑" w:cs="微软雅黑"/>
          <w:b/>
          <w:i w:val="0"/>
          <w:caps w:val="0"/>
          <w:color w:val="BC1010"/>
          <w:spacing w:val="0"/>
          <w:sz w:val="40"/>
          <w:szCs w:val="40"/>
          <w:shd w:val="clear" w:fill="FFFFFF"/>
        </w:rPr>
        <w:t>2017年决算公开</w:t>
      </w:r>
    </w:p>
    <w:p w14:paraId="0AEE5E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lang w:eastAsia="zh-CN"/>
        </w:rPr>
        <w:t>黄石港区磁湖街办</w:t>
      </w:r>
      <w:r>
        <w:rPr>
          <w:rStyle w:val="8"/>
          <w:rFonts w:hint="eastAsia" w:ascii="微软雅黑" w:hAnsi="微软雅黑" w:eastAsia="微软雅黑" w:cs="微软雅黑"/>
          <w:i w:val="0"/>
          <w:caps w:val="0"/>
          <w:color w:val="333333"/>
          <w:spacing w:val="0"/>
          <w:sz w:val="24"/>
          <w:szCs w:val="24"/>
          <w:shd w:val="clear" w:fill="FFFFFF"/>
        </w:rPr>
        <w:t>2017年决算公开</w:t>
      </w:r>
    </w:p>
    <w:p w14:paraId="2445E7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目  录</w:t>
      </w:r>
    </w:p>
    <w:p w14:paraId="0BCD335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第一部分:部门基本情况</w:t>
      </w:r>
    </w:p>
    <w:p w14:paraId="26722C5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一、部门主要职责</w:t>
      </w:r>
    </w:p>
    <w:p w14:paraId="7C108C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二、部门决算单位构成</w:t>
      </w:r>
    </w:p>
    <w:p w14:paraId="4C4183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第二部分: 部门2017年部门决算表</w:t>
      </w:r>
    </w:p>
    <w:p w14:paraId="2E9D1E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一、收入支出决算总表（表1）</w:t>
      </w:r>
    </w:p>
    <w:p w14:paraId="3F1935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二、收入决算表（表2）</w:t>
      </w:r>
    </w:p>
    <w:p w14:paraId="06E095C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三、支出决算表（表3）</w:t>
      </w:r>
    </w:p>
    <w:p w14:paraId="4D6639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四、财政拨款收入支出决算总表（表4）</w:t>
      </w:r>
    </w:p>
    <w:p w14:paraId="208F4A6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五、一般公共预算财政拨款支出决算表（表5）</w:t>
      </w:r>
    </w:p>
    <w:p w14:paraId="7325308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六、一般公共预算财政拨款基本支出决算表（表6）</w:t>
      </w:r>
    </w:p>
    <w:p w14:paraId="5D21878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七、一般公共预算财政拨款“三公”经费支出决算表（表7）</w:t>
      </w:r>
    </w:p>
    <w:p w14:paraId="0D6524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八、政府性基金预算财政拨款收入支出决算表（8）</w:t>
      </w:r>
    </w:p>
    <w:p w14:paraId="0B4F86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第三部分：部门2017年部门决算情况说明</w:t>
      </w:r>
    </w:p>
    <w:p w14:paraId="7AF6F7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一、</w:t>
      </w:r>
      <w:r>
        <w:rPr>
          <w:rFonts w:hint="eastAsia" w:ascii="微软雅黑" w:hAnsi="微软雅黑" w:eastAsia="微软雅黑" w:cs="微软雅黑"/>
          <w:b w:val="0"/>
          <w:i w:val="0"/>
          <w:caps w:val="0"/>
          <w:color w:val="333333"/>
          <w:spacing w:val="0"/>
          <w:sz w:val="24"/>
          <w:szCs w:val="24"/>
          <w:shd w:val="clear" w:fill="FFFFFF"/>
        </w:rPr>
        <w:t>预算执行情况分析</w:t>
      </w:r>
    </w:p>
    <w:p w14:paraId="5FE1FD0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二、</w:t>
      </w:r>
      <w:r>
        <w:rPr>
          <w:rFonts w:hint="eastAsia" w:ascii="微软雅黑" w:hAnsi="微软雅黑" w:eastAsia="微软雅黑" w:cs="微软雅黑"/>
          <w:b w:val="0"/>
          <w:i w:val="0"/>
          <w:caps w:val="0"/>
          <w:color w:val="333333"/>
          <w:spacing w:val="0"/>
          <w:sz w:val="24"/>
          <w:szCs w:val="24"/>
          <w:shd w:val="clear" w:fill="FFFFFF"/>
        </w:rPr>
        <w:t>关于“三公”经费支出说明</w:t>
      </w:r>
    </w:p>
    <w:p w14:paraId="2B2B30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三、</w:t>
      </w:r>
      <w:r>
        <w:rPr>
          <w:rFonts w:hint="eastAsia" w:ascii="微软雅黑" w:hAnsi="微软雅黑" w:eastAsia="微软雅黑" w:cs="微软雅黑"/>
          <w:b w:val="0"/>
          <w:i w:val="0"/>
          <w:caps w:val="0"/>
          <w:color w:val="333333"/>
          <w:spacing w:val="0"/>
          <w:sz w:val="24"/>
          <w:szCs w:val="24"/>
          <w:shd w:val="clear" w:fill="FFFFFF"/>
        </w:rPr>
        <w:t>关于机关运行经费支出说明</w:t>
      </w:r>
    </w:p>
    <w:p w14:paraId="5B924B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rPr>
        <w:t>四</w:t>
      </w:r>
      <w:r>
        <w:rPr>
          <w:rFonts w:hint="eastAsia" w:ascii="微软雅黑" w:hAnsi="微软雅黑" w:eastAsia="微软雅黑" w:cs="微软雅黑"/>
          <w:b w:val="0"/>
          <w:i w:val="0"/>
          <w:caps w:val="0"/>
          <w:color w:val="333333"/>
          <w:spacing w:val="0"/>
          <w:sz w:val="24"/>
          <w:szCs w:val="24"/>
          <w:shd w:val="clear" w:fill="FFFFFF"/>
          <w:lang w:eastAsia="zh-CN"/>
        </w:rPr>
        <w:t>、</w:t>
      </w:r>
      <w:r>
        <w:rPr>
          <w:rFonts w:hint="eastAsia" w:ascii="微软雅黑" w:hAnsi="微软雅黑" w:eastAsia="微软雅黑" w:cs="微软雅黑"/>
          <w:b w:val="0"/>
          <w:i w:val="0"/>
          <w:caps w:val="0"/>
          <w:color w:val="333333"/>
          <w:spacing w:val="0"/>
          <w:sz w:val="24"/>
          <w:szCs w:val="24"/>
          <w:shd w:val="clear" w:fill="FFFFFF"/>
        </w:rPr>
        <w:t>关于政府采购支出说明</w:t>
      </w:r>
    </w:p>
    <w:p w14:paraId="226373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rPr>
        <w:t>五</w:t>
      </w:r>
      <w:r>
        <w:rPr>
          <w:rFonts w:hint="eastAsia" w:ascii="微软雅黑" w:hAnsi="微软雅黑" w:eastAsia="微软雅黑" w:cs="微软雅黑"/>
          <w:b w:val="0"/>
          <w:i w:val="0"/>
          <w:caps w:val="0"/>
          <w:color w:val="333333"/>
          <w:spacing w:val="0"/>
          <w:sz w:val="24"/>
          <w:szCs w:val="24"/>
          <w:shd w:val="clear" w:fill="FFFFFF"/>
          <w:lang w:eastAsia="zh-CN"/>
        </w:rPr>
        <w:t>、</w:t>
      </w:r>
      <w:r>
        <w:rPr>
          <w:rFonts w:hint="eastAsia" w:ascii="微软雅黑" w:hAnsi="微软雅黑" w:eastAsia="微软雅黑" w:cs="微软雅黑"/>
          <w:b w:val="0"/>
          <w:i w:val="0"/>
          <w:caps w:val="0"/>
          <w:color w:val="333333"/>
          <w:spacing w:val="0"/>
          <w:sz w:val="24"/>
          <w:szCs w:val="24"/>
          <w:shd w:val="clear" w:fill="FFFFFF"/>
        </w:rPr>
        <w:t>关于国有资产占用情况说明</w:t>
      </w:r>
    </w:p>
    <w:p w14:paraId="4B9E588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第四部分：名词解释 </w:t>
      </w:r>
    </w:p>
    <w:p w14:paraId="5F32A4A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rPr>
        <w:t>2017年部门决算</w:t>
      </w:r>
    </w:p>
    <w:p w14:paraId="066514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lang w:eastAsia="zh-CN"/>
        </w:rPr>
        <w:t>第一部分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部门概况</w:t>
      </w:r>
    </w:p>
    <w:p w14:paraId="7ED67448">
      <w:pPr>
        <w:snapToGrid w:val="0"/>
        <w:spacing w:line="520" w:lineRule="exact"/>
        <w:ind w:firstLine="643" w:firstLineChars="200"/>
        <w:rPr>
          <w:rFonts w:hint="eastAsia" w:ascii="楷体" w:hAnsi="楷体" w:eastAsia="楷体"/>
          <w:b/>
          <w:sz w:val="32"/>
          <w:szCs w:val="32"/>
        </w:rPr>
      </w:pPr>
      <w:r>
        <w:rPr>
          <w:rFonts w:hint="eastAsia" w:ascii="楷体" w:hAnsi="楷体" w:eastAsia="楷体"/>
          <w:b/>
          <w:sz w:val="32"/>
          <w:szCs w:val="32"/>
        </w:rPr>
        <w:t>（一）基本职能。</w:t>
      </w:r>
    </w:p>
    <w:p w14:paraId="082E8FDA">
      <w:pPr>
        <w:widowControl/>
        <w:shd w:val="clear" w:color="auto" w:fill="FFFFFF"/>
        <w:jc w:val="left"/>
        <w:rPr>
          <w:rFonts w:ascii="宋体" w:cs="宋体"/>
          <w:color w:val="333333"/>
          <w:kern w:val="0"/>
          <w:sz w:val="28"/>
          <w:szCs w:val="28"/>
        </w:rPr>
      </w:pPr>
      <w:r>
        <w:rPr>
          <w:rFonts w:hint="eastAsia" w:ascii="宋体" w:hAnsi="宋体" w:cs="宋体"/>
          <w:sz w:val="28"/>
          <w:szCs w:val="28"/>
        </w:rPr>
        <w:t>黄石市黄石港区磁湖街道办事处是黄石港区人民政府的派出机关，受区人民政府领导，依据法律、法规的规定，在本辖区内行使相应的政府管理职能。</w:t>
      </w:r>
    </w:p>
    <w:p w14:paraId="2FB0E6A4">
      <w:pPr>
        <w:numPr>
          <w:ilvl w:val="0"/>
          <w:numId w:val="1"/>
        </w:numPr>
        <w:snapToGrid w:val="0"/>
        <w:spacing w:line="520" w:lineRule="exact"/>
        <w:ind w:firstLine="643" w:firstLineChars="200"/>
        <w:rPr>
          <w:rFonts w:hint="eastAsia" w:ascii="仿宋_GB2312" w:hAnsi="仿宋" w:eastAsia="仿宋_GB2312"/>
          <w:b/>
          <w:bCs/>
          <w:sz w:val="32"/>
          <w:szCs w:val="32"/>
        </w:rPr>
      </w:pPr>
      <w:r>
        <w:rPr>
          <w:rFonts w:hint="eastAsia" w:ascii="仿宋_GB2312" w:hAnsi="仿宋" w:eastAsia="仿宋_GB2312"/>
          <w:b/>
          <w:bCs/>
          <w:sz w:val="32"/>
          <w:szCs w:val="32"/>
        </w:rPr>
        <w:t>机构设置</w:t>
      </w:r>
    </w:p>
    <w:p w14:paraId="2D036BD5">
      <w:pPr>
        <w:ind w:firstLine="560" w:firstLineChars="200"/>
        <w:rPr>
          <w:rFonts w:hint="eastAsia" w:ascii="宋体" w:hAnsi="宋体" w:cs="宋体"/>
          <w:color w:val="333333"/>
          <w:kern w:val="0"/>
          <w:sz w:val="30"/>
          <w:szCs w:val="30"/>
        </w:rPr>
      </w:pPr>
      <w:r>
        <w:rPr>
          <w:rFonts w:hint="eastAsia" w:ascii="宋体" w:hAnsi="宋体" w:cs="宋体"/>
          <w:sz w:val="28"/>
          <w:szCs w:val="28"/>
        </w:rPr>
        <w:t>公共服务中心、经济服务中心、城市建设管理中心、综合办、法治办。</w:t>
      </w:r>
    </w:p>
    <w:p w14:paraId="6CE40BD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rStyle w:val="8"/>
          <w:rFonts w:hint="eastAsia" w:ascii="微软雅黑" w:hAnsi="微软雅黑" w:eastAsia="微软雅黑" w:cs="微软雅黑"/>
          <w:i w:val="0"/>
          <w:caps w:val="0"/>
          <w:color w:val="333333"/>
          <w:spacing w:val="0"/>
          <w:sz w:val="24"/>
          <w:szCs w:val="24"/>
          <w:shd w:val="clear" w:fill="FFFFFF"/>
        </w:rPr>
      </w:pPr>
      <w:r>
        <w:rPr>
          <w:rStyle w:val="8"/>
          <w:rFonts w:hint="eastAsia" w:ascii="微软雅黑" w:hAnsi="微软雅黑" w:eastAsia="微软雅黑" w:cs="微软雅黑"/>
          <w:i w:val="0"/>
          <w:caps w:val="0"/>
          <w:color w:val="333333"/>
          <w:spacing w:val="0"/>
          <w:sz w:val="24"/>
          <w:szCs w:val="24"/>
          <w:shd w:val="clear" w:fill="FFFFFF"/>
          <w:lang w:eastAsia="zh-CN"/>
        </w:rPr>
        <w:t>第二部分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2017年部门决算表</w:t>
      </w:r>
    </w:p>
    <w:p w14:paraId="296C14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rPr>
          <w:color w:val="333333"/>
          <w:sz w:val="24"/>
          <w:szCs w:val="24"/>
        </w:rPr>
        <w:sectPr>
          <w:pgSz w:w="16838" w:h="11906" w:orient="landscape"/>
          <w:pgMar w:top="1800" w:right="1440" w:bottom="1800" w:left="1440" w:header="851" w:footer="992" w:gutter="0"/>
          <w:cols w:space="425" w:num="1"/>
          <w:docGrid w:type="lines" w:linePitch="312" w:charSpace="0"/>
        </w:sectPr>
      </w:pPr>
      <w:r>
        <w:rPr>
          <w:rStyle w:val="13"/>
        </w:rPr>
        <w:drawing>
          <wp:inline distT="0" distB="0" distL="114300" distR="114300">
            <wp:extent cx="5862955" cy="5269865"/>
            <wp:effectExtent l="0" t="0" r="4445" b="6985"/>
            <wp:docPr id="349" name="图片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349"/>
                    <pic:cNvPicPr>
                      <a:picLocks noChangeAspect="1"/>
                    </pic:cNvPicPr>
                  </pic:nvPicPr>
                  <pic:blipFill>
                    <a:blip r:embed="rId4"/>
                    <a:stretch>
                      <a:fillRect/>
                    </a:stretch>
                  </pic:blipFill>
                  <pic:spPr>
                    <a:xfrm>
                      <a:off x="0" y="0"/>
                      <a:ext cx="5862955" cy="5269865"/>
                    </a:xfrm>
                    <a:prstGeom prst="rect">
                      <a:avLst/>
                    </a:prstGeom>
                    <a:noFill/>
                    <a:ln w="9525">
                      <a:noFill/>
                    </a:ln>
                  </pic:spPr>
                </pic:pic>
              </a:graphicData>
            </a:graphic>
          </wp:inline>
        </w:drawing>
      </w:r>
      <w:r>
        <w:rPr>
          <w:rStyle w:val="13"/>
        </w:rPr>
        <w:drawing>
          <wp:inline distT="0" distB="0" distL="114300" distR="114300">
            <wp:extent cx="8859520" cy="3279140"/>
            <wp:effectExtent l="0" t="0" r="17780" b="16510"/>
            <wp:docPr id="350" name="图片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50"/>
                    <pic:cNvPicPr>
                      <a:picLocks noChangeAspect="1"/>
                    </pic:cNvPicPr>
                  </pic:nvPicPr>
                  <pic:blipFill>
                    <a:blip r:embed="rId5"/>
                    <a:stretch>
                      <a:fillRect/>
                    </a:stretch>
                  </pic:blipFill>
                  <pic:spPr>
                    <a:xfrm>
                      <a:off x="0" y="0"/>
                      <a:ext cx="8859520" cy="3279140"/>
                    </a:xfrm>
                    <a:prstGeom prst="rect">
                      <a:avLst/>
                    </a:prstGeom>
                    <a:noFill/>
                    <a:ln w="9525">
                      <a:noFill/>
                    </a:ln>
                  </pic:spPr>
                </pic:pic>
              </a:graphicData>
            </a:graphic>
          </wp:inline>
        </w:drawing>
      </w:r>
      <w:r>
        <w:rPr>
          <w:rStyle w:val="13"/>
        </w:rPr>
        <w:drawing>
          <wp:inline distT="0" distB="0" distL="114300" distR="114300">
            <wp:extent cx="8861425" cy="3604260"/>
            <wp:effectExtent l="0" t="0" r="15875" b="15240"/>
            <wp:docPr id="351" name="图片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51"/>
                    <pic:cNvPicPr>
                      <a:picLocks noChangeAspect="1"/>
                    </pic:cNvPicPr>
                  </pic:nvPicPr>
                  <pic:blipFill>
                    <a:blip r:embed="rId6"/>
                    <a:stretch>
                      <a:fillRect/>
                    </a:stretch>
                  </pic:blipFill>
                  <pic:spPr>
                    <a:xfrm>
                      <a:off x="0" y="0"/>
                      <a:ext cx="8861425" cy="3604260"/>
                    </a:xfrm>
                    <a:prstGeom prst="rect">
                      <a:avLst/>
                    </a:prstGeom>
                    <a:noFill/>
                    <a:ln w="9525">
                      <a:noFill/>
                    </a:ln>
                  </pic:spPr>
                </pic:pic>
              </a:graphicData>
            </a:graphic>
          </wp:inline>
        </w:drawing>
      </w:r>
      <w:r>
        <w:rPr>
          <w:rStyle w:val="13"/>
        </w:rPr>
        <w:drawing>
          <wp:inline distT="0" distB="0" distL="114300" distR="114300">
            <wp:extent cx="6372225" cy="5095875"/>
            <wp:effectExtent l="0" t="0" r="9525" b="9525"/>
            <wp:docPr id="352" name="图片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52"/>
                    <pic:cNvPicPr>
                      <a:picLocks noChangeAspect="1"/>
                    </pic:cNvPicPr>
                  </pic:nvPicPr>
                  <pic:blipFill>
                    <a:blip r:embed="rId7"/>
                    <a:stretch>
                      <a:fillRect/>
                    </a:stretch>
                  </pic:blipFill>
                  <pic:spPr>
                    <a:xfrm>
                      <a:off x="0" y="0"/>
                      <a:ext cx="6372225" cy="5095875"/>
                    </a:xfrm>
                    <a:prstGeom prst="rect">
                      <a:avLst/>
                    </a:prstGeom>
                    <a:noFill/>
                    <a:ln w="9525">
                      <a:noFill/>
                    </a:ln>
                  </pic:spPr>
                </pic:pic>
              </a:graphicData>
            </a:graphic>
          </wp:inline>
        </w:drawing>
      </w:r>
      <w:r>
        <w:rPr>
          <w:rStyle w:val="13"/>
        </w:rPr>
        <w:drawing>
          <wp:inline distT="0" distB="0" distL="114300" distR="114300">
            <wp:extent cx="6200775" cy="4162425"/>
            <wp:effectExtent l="0" t="0" r="9525" b="9525"/>
            <wp:docPr id="353" name="图片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53"/>
                    <pic:cNvPicPr>
                      <a:picLocks noChangeAspect="1"/>
                    </pic:cNvPicPr>
                  </pic:nvPicPr>
                  <pic:blipFill>
                    <a:blip r:embed="rId8"/>
                    <a:stretch>
                      <a:fillRect/>
                    </a:stretch>
                  </pic:blipFill>
                  <pic:spPr>
                    <a:xfrm>
                      <a:off x="0" y="0"/>
                      <a:ext cx="6200775" cy="4162425"/>
                    </a:xfrm>
                    <a:prstGeom prst="rect">
                      <a:avLst/>
                    </a:prstGeom>
                    <a:noFill/>
                    <a:ln w="9525">
                      <a:noFill/>
                    </a:ln>
                  </pic:spPr>
                </pic:pic>
              </a:graphicData>
            </a:graphic>
          </wp:inline>
        </w:drawing>
      </w:r>
      <w:r>
        <w:rPr>
          <w:rStyle w:val="13"/>
        </w:rPr>
        <w:drawing>
          <wp:inline distT="0" distB="0" distL="114300" distR="114300">
            <wp:extent cx="8855710" cy="4955540"/>
            <wp:effectExtent l="0" t="0" r="2540" b="16510"/>
            <wp:docPr id="354" name="图片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54"/>
                    <pic:cNvPicPr>
                      <a:picLocks noChangeAspect="1"/>
                    </pic:cNvPicPr>
                  </pic:nvPicPr>
                  <pic:blipFill>
                    <a:blip r:embed="rId9"/>
                    <a:stretch>
                      <a:fillRect/>
                    </a:stretch>
                  </pic:blipFill>
                  <pic:spPr>
                    <a:xfrm>
                      <a:off x="0" y="0"/>
                      <a:ext cx="8855710" cy="4955540"/>
                    </a:xfrm>
                    <a:prstGeom prst="rect">
                      <a:avLst/>
                    </a:prstGeom>
                    <a:noFill/>
                    <a:ln w="9525">
                      <a:noFill/>
                    </a:ln>
                  </pic:spPr>
                </pic:pic>
              </a:graphicData>
            </a:graphic>
          </wp:inline>
        </w:drawing>
      </w:r>
      <w:r>
        <w:rPr>
          <w:rStyle w:val="13"/>
        </w:rPr>
        <w:drawing>
          <wp:inline distT="0" distB="0" distL="114300" distR="114300">
            <wp:extent cx="8862060" cy="1739900"/>
            <wp:effectExtent l="0" t="0" r="15240" b="12700"/>
            <wp:docPr id="355" name="图片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55"/>
                    <pic:cNvPicPr>
                      <a:picLocks noChangeAspect="1"/>
                    </pic:cNvPicPr>
                  </pic:nvPicPr>
                  <pic:blipFill>
                    <a:blip r:embed="rId10"/>
                    <a:stretch>
                      <a:fillRect/>
                    </a:stretch>
                  </pic:blipFill>
                  <pic:spPr>
                    <a:xfrm>
                      <a:off x="0" y="0"/>
                      <a:ext cx="8862060" cy="1739900"/>
                    </a:xfrm>
                    <a:prstGeom prst="rect">
                      <a:avLst/>
                    </a:prstGeom>
                    <a:noFill/>
                    <a:ln w="9525">
                      <a:noFill/>
                    </a:ln>
                  </pic:spPr>
                </pic:pic>
              </a:graphicData>
            </a:graphic>
          </wp:inline>
        </w:drawing>
      </w:r>
      <w:r>
        <w:rPr>
          <w:rStyle w:val="13"/>
        </w:rPr>
        <w:drawing>
          <wp:inline distT="0" distB="0" distL="114300" distR="114300">
            <wp:extent cx="8856980" cy="2254250"/>
            <wp:effectExtent l="0" t="0" r="1270" b="12700"/>
            <wp:docPr id="356" name="图片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356"/>
                    <pic:cNvPicPr>
                      <a:picLocks noChangeAspect="1"/>
                    </pic:cNvPicPr>
                  </pic:nvPicPr>
                  <pic:blipFill>
                    <a:blip r:embed="rId11"/>
                    <a:stretch>
                      <a:fillRect/>
                    </a:stretch>
                  </pic:blipFill>
                  <pic:spPr>
                    <a:xfrm>
                      <a:off x="0" y="0"/>
                      <a:ext cx="8856980" cy="2254250"/>
                    </a:xfrm>
                    <a:prstGeom prst="rect">
                      <a:avLst/>
                    </a:prstGeom>
                    <a:noFill/>
                    <a:ln w="9525">
                      <a:noFill/>
                    </a:ln>
                  </pic:spPr>
                </pic:pic>
              </a:graphicData>
            </a:graphic>
          </wp:inline>
        </w:drawing>
      </w:r>
    </w:p>
    <w:p w14:paraId="2A2BE1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rPr>
          <w:color w:val="333333"/>
          <w:sz w:val="24"/>
          <w:szCs w:val="24"/>
        </w:rPr>
      </w:pPr>
    </w:p>
    <w:p w14:paraId="0846BC7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p>
    <w:p w14:paraId="66926B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lang w:eastAsia="zh-CN"/>
        </w:rPr>
        <w:t>第三部分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2017年部门决算情况说明</w:t>
      </w:r>
    </w:p>
    <w:p w14:paraId="3D469895">
      <w:pPr>
        <w:widowControl/>
        <w:shd w:val="clear" w:color="auto" w:fill="FFFFFF"/>
        <w:ind w:firstLine="480"/>
        <w:jc w:val="left"/>
        <w:rPr>
          <w:rFonts w:ascii="仿宋_GB2312" w:eastAsia="仿宋_GB2312"/>
          <w:sz w:val="27"/>
          <w:szCs w:val="27"/>
        </w:rPr>
      </w:pPr>
      <w:r>
        <w:rPr>
          <w:rFonts w:hint="eastAsia" w:ascii="仿宋_GB2312" w:eastAsia="仿宋_GB2312" w:cs="仿宋_GB2312"/>
          <w:sz w:val="27"/>
          <w:szCs w:val="27"/>
        </w:rPr>
        <w:t>（一）预算执行情况分析</w:t>
      </w:r>
    </w:p>
    <w:p w14:paraId="5AF2C0E2">
      <w:pPr>
        <w:widowControl/>
        <w:shd w:val="clear" w:color="auto" w:fill="FFFFFF"/>
        <w:ind w:firstLine="560" w:firstLineChars="200"/>
        <w:jc w:val="left"/>
        <w:rPr>
          <w:rFonts w:ascii="宋体" w:cs="宋体"/>
          <w:sz w:val="28"/>
          <w:szCs w:val="28"/>
        </w:rPr>
      </w:pPr>
      <w:r>
        <w:rPr>
          <w:rFonts w:hint="eastAsia" w:ascii="宋体" w:hAnsi="宋体" w:cs="宋体"/>
          <w:sz w:val="28"/>
          <w:szCs w:val="28"/>
        </w:rPr>
        <w:t>截</w:t>
      </w:r>
      <w:r>
        <w:rPr>
          <w:rFonts w:hint="eastAsia" w:ascii="宋体" w:hAnsi="宋体" w:cs="宋体"/>
          <w:sz w:val="28"/>
          <w:szCs w:val="28"/>
          <w:lang w:val="en-US" w:eastAsia="zh-CN"/>
        </w:rPr>
        <w:t>至</w:t>
      </w:r>
      <w:r>
        <w:rPr>
          <w:rFonts w:ascii="宋体" w:hAnsi="宋体" w:cs="宋体"/>
          <w:sz w:val="28"/>
          <w:szCs w:val="28"/>
        </w:rPr>
        <w:t xml:space="preserve">2017 </w:t>
      </w:r>
      <w:r>
        <w:rPr>
          <w:rFonts w:hint="eastAsia" w:ascii="宋体" w:hAnsi="宋体" w:cs="宋体"/>
          <w:sz w:val="28"/>
          <w:szCs w:val="28"/>
        </w:rPr>
        <w:t>年</w:t>
      </w:r>
      <w:r>
        <w:rPr>
          <w:rFonts w:ascii="宋体" w:hAnsi="宋体" w:cs="宋体"/>
          <w:sz w:val="28"/>
          <w:szCs w:val="28"/>
        </w:rPr>
        <w:t xml:space="preserve"> 12 </w:t>
      </w:r>
      <w:r>
        <w:rPr>
          <w:rFonts w:hint="eastAsia" w:ascii="宋体" w:hAnsi="宋体" w:cs="宋体"/>
          <w:sz w:val="28"/>
          <w:szCs w:val="28"/>
        </w:rPr>
        <w:t>月</w:t>
      </w:r>
      <w:r>
        <w:rPr>
          <w:rFonts w:ascii="宋体" w:hAnsi="宋体" w:cs="宋体"/>
          <w:sz w:val="28"/>
          <w:szCs w:val="28"/>
        </w:rPr>
        <w:t xml:space="preserve"> 31 </w:t>
      </w:r>
      <w:r>
        <w:rPr>
          <w:rFonts w:hint="eastAsia" w:ascii="宋体" w:hAnsi="宋体" w:cs="宋体"/>
          <w:sz w:val="28"/>
          <w:szCs w:val="28"/>
        </w:rPr>
        <w:t>日，总收入为</w:t>
      </w:r>
      <w:r>
        <w:rPr>
          <w:rFonts w:ascii="宋体" w:hAnsi="宋体" w:cs="宋体"/>
          <w:sz w:val="28"/>
          <w:szCs w:val="28"/>
        </w:rPr>
        <w:t>1498.62</w:t>
      </w:r>
      <w:r>
        <w:rPr>
          <w:rFonts w:hint="eastAsia" w:ascii="宋体" w:hAnsi="宋体" w:cs="宋体"/>
          <w:sz w:val="28"/>
          <w:szCs w:val="28"/>
        </w:rPr>
        <w:t>万元。相比</w:t>
      </w:r>
      <w:r>
        <w:rPr>
          <w:rFonts w:ascii="宋体" w:hAnsi="宋体" w:cs="宋体"/>
          <w:sz w:val="28"/>
          <w:szCs w:val="28"/>
        </w:rPr>
        <w:t xml:space="preserve"> 2016 </w:t>
      </w:r>
      <w:r>
        <w:rPr>
          <w:rFonts w:hint="eastAsia" w:ascii="宋体" w:hAnsi="宋体" w:cs="宋体"/>
          <w:sz w:val="28"/>
          <w:szCs w:val="28"/>
        </w:rPr>
        <w:t>年，总收入减少</w:t>
      </w:r>
      <w:r>
        <w:rPr>
          <w:rFonts w:ascii="宋体" w:hAnsi="宋体" w:cs="宋体"/>
          <w:sz w:val="28"/>
          <w:szCs w:val="28"/>
        </w:rPr>
        <w:t>101.97</w:t>
      </w:r>
      <w:r>
        <w:rPr>
          <w:rFonts w:hint="eastAsia" w:ascii="宋体" w:hAnsi="宋体" w:cs="宋体"/>
          <w:sz w:val="28"/>
          <w:szCs w:val="28"/>
        </w:rPr>
        <w:t>万元</w:t>
      </w:r>
      <w:r>
        <w:rPr>
          <w:rFonts w:ascii="宋体" w:hAnsi="宋体" w:cs="宋体"/>
          <w:sz w:val="28"/>
          <w:szCs w:val="28"/>
        </w:rPr>
        <w:t>,</w:t>
      </w:r>
      <w:r>
        <w:rPr>
          <w:rFonts w:hint="eastAsia" w:ascii="宋体" w:hAnsi="宋体" w:cs="宋体"/>
          <w:sz w:val="28"/>
          <w:szCs w:val="28"/>
        </w:rPr>
        <w:t>减少</w:t>
      </w:r>
      <w:r>
        <w:rPr>
          <w:rFonts w:ascii="宋体" w:hAnsi="宋体" w:cs="宋体"/>
          <w:sz w:val="28"/>
          <w:szCs w:val="28"/>
        </w:rPr>
        <w:t>7%</w:t>
      </w:r>
      <w:r>
        <w:rPr>
          <w:rFonts w:hint="eastAsia" w:ascii="宋体" w:hAnsi="宋体" w:cs="宋体"/>
          <w:sz w:val="28"/>
          <w:szCs w:val="28"/>
        </w:rPr>
        <w:t>。截</w:t>
      </w:r>
      <w:r>
        <w:rPr>
          <w:rFonts w:hint="eastAsia" w:ascii="宋体" w:hAnsi="宋体" w:cs="宋体"/>
          <w:sz w:val="28"/>
          <w:szCs w:val="28"/>
          <w:lang w:val="en-US" w:eastAsia="zh-CN"/>
        </w:rPr>
        <w:t>至</w:t>
      </w:r>
      <w:r>
        <w:rPr>
          <w:rFonts w:ascii="宋体" w:hAnsi="宋体" w:cs="宋体"/>
          <w:sz w:val="28"/>
          <w:szCs w:val="28"/>
        </w:rPr>
        <w:t xml:space="preserve">2017 </w:t>
      </w:r>
      <w:r>
        <w:rPr>
          <w:rFonts w:hint="eastAsia" w:ascii="宋体" w:hAnsi="宋体" w:cs="宋体"/>
          <w:sz w:val="28"/>
          <w:szCs w:val="28"/>
        </w:rPr>
        <w:t>年</w:t>
      </w:r>
      <w:r>
        <w:rPr>
          <w:rFonts w:ascii="宋体" w:hAnsi="宋体" w:cs="宋体"/>
          <w:sz w:val="28"/>
          <w:szCs w:val="28"/>
        </w:rPr>
        <w:t xml:space="preserve"> 12 </w:t>
      </w:r>
      <w:r>
        <w:rPr>
          <w:rFonts w:hint="eastAsia" w:ascii="宋体" w:hAnsi="宋体" w:cs="宋体"/>
          <w:sz w:val="28"/>
          <w:szCs w:val="28"/>
        </w:rPr>
        <w:t>月</w:t>
      </w:r>
      <w:r>
        <w:rPr>
          <w:rFonts w:ascii="宋体" w:hAnsi="宋体" w:cs="宋体"/>
          <w:sz w:val="28"/>
          <w:szCs w:val="28"/>
        </w:rPr>
        <w:t xml:space="preserve"> 31 </w:t>
      </w:r>
      <w:r>
        <w:rPr>
          <w:rFonts w:hint="eastAsia" w:ascii="宋体" w:hAnsi="宋体" w:cs="宋体"/>
          <w:sz w:val="28"/>
          <w:szCs w:val="28"/>
        </w:rPr>
        <w:t>日，总支出为</w:t>
      </w:r>
      <w:r>
        <w:rPr>
          <w:rFonts w:ascii="宋体" w:hAnsi="宋体" w:cs="宋体"/>
          <w:sz w:val="28"/>
          <w:szCs w:val="28"/>
        </w:rPr>
        <w:t>1498.62</w:t>
      </w:r>
      <w:r>
        <w:rPr>
          <w:rFonts w:hint="eastAsia" w:ascii="宋体" w:hAnsi="宋体" w:cs="宋体"/>
          <w:sz w:val="28"/>
          <w:szCs w:val="28"/>
        </w:rPr>
        <w:t>万元。相比</w:t>
      </w:r>
      <w:r>
        <w:rPr>
          <w:rFonts w:ascii="宋体" w:hAnsi="宋体" w:cs="宋体"/>
          <w:sz w:val="28"/>
          <w:szCs w:val="28"/>
        </w:rPr>
        <w:t xml:space="preserve"> 2016 </w:t>
      </w:r>
      <w:r>
        <w:rPr>
          <w:rFonts w:hint="eastAsia" w:ascii="宋体" w:hAnsi="宋体" w:cs="宋体"/>
          <w:sz w:val="28"/>
          <w:szCs w:val="28"/>
        </w:rPr>
        <w:t>年，总支出减少</w:t>
      </w:r>
      <w:r>
        <w:rPr>
          <w:rFonts w:ascii="宋体" w:hAnsi="宋体" w:cs="宋体"/>
          <w:sz w:val="28"/>
          <w:szCs w:val="28"/>
        </w:rPr>
        <w:t>101.97</w:t>
      </w:r>
      <w:r>
        <w:rPr>
          <w:rFonts w:hint="eastAsia" w:ascii="宋体" w:hAnsi="宋体" w:cs="宋体"/>
          <w:sz w:val="28"/>
          <w:szCs w:val="28"/>
        </w:rPr>
        <w:t>万元</w:t>
      </w:r>
      <w:r>
        <w:rPr>
          <w:rFonts w:ascii="宋体" w:hAnsi="宋体" w:cs="宋体"/>
          <w:sz w:val="28"/>
          <w:szCs w:val="28"/>
        </w:rPr>
        <w:t xml:space="preserve">, </w:t>
      </w:r>
      <w:r>
        <w:rPr>
          <w:rFonts w:hint="eastAsia" w:ascii="宋体" w:hAnsi="宋体" w:cs="宋体"/>
          <w:sz w:val="28"/>
          <w:szCs w:val="28"/>
        </w:rPr>
        <w:t>减少</w:t>
      </w:r>
      <w:r>
        <w:rPr>
          <w:rFonts w:ascii="宋体" w:hAnsi="宋体" w:cs="宋体"/>
          <w:sz w:val="28"/>
          <w:szCs w:val="28"/>
        </w:rPr>
        <w:t>7%</w:t>
      </w:r>
      <w:r>
        <w:rPr>
          <w:rFonts w:hint="eastAsia" w:ascii="宋体" w:hAnsi="宋体" w:cs="宋体"/>
          <w:sz w:val="28"/>
          <w:szCs w:val="28"/>
        </w:rPr>
        <w:t>。原因是：</w:t>
      </w:r>
      <w:r>
        <w:rPr>
          <w:rFonts w:ascii="宋体" w:hAnsi="宋体" w:cs="宋体"/>
          <w:sz w:val="28"/>
          <w:szCs w:val="28"/>
        </w:rPr>
        <w:t xml:space="preserve"> 2017</w:t>
      </w:r>
      <w:r>
        <w:rPr>
          <w:rFonts w:hint="eastAsia" w:ascii="宋体" w:hAnsi="宋体" w:cs="宋体"/>
          <w:sz w:val="28"/>
          <w:szCs w:val="28"/>
        </w:rPr>
        <w:t>年开始进行机关事业单位养老保险及职业年金</w:t>
      </w:r>
      <w:bookmarkStart w:id="0" w:name="_GoBack"/>
      <w:bookmarkEnd w:id="0"/>
      <w:r>
        <w:rPr>
          <w:rFonts w:hint="eastAsia" w:ascii="宋体" w:hAnsi="宋体" w:cs="宋体"/>
          <w:sz w:val="28"/>
          <w:szCs w:val="28"/>
        </w:rPr>
        <w:t>缴纳，</w:t>
      </w:r>
      <w:r>
        <w:rPr>
          <w:rFonts w:ascii="宋体" w:hAnsi="宋体" w:cs="宋体"/>
          <w:sz w:val="28"/>
          <w:szCs w:val="28"/>
        </w:rPr>
        <w:t>2017</w:t>
      </w:r>
      <w:r>
        <w:rPr>
          <w:rFonts w:hint="eastAsia" w:ascii="宋体" w:hAnsi="宋体" w:cs="宋体"/>
          <w:sz w:val="28"/>
          <w:szCs w:val="28"/>
        </w:rPr>
        <w:t>年拨回</w:t>
      </w:r>
      <w:r>
        <w:rPr>
          <w:rFonts w:ascii="宋体" w:hAnsi="宋体" w:cs="宋体"/>
          <w:sz w:val="28"/>
          <w:szCs w:val="28"/>
        </w:rPr>
        <w:t>2014.10</w:t>
      </w:r>
      <w:r>
        <w:rPr>
          <w:rFonts w:hint="eastAsia" w:ascii="宋体" w:hAnsi="宋体" w:cs="宋体"/>
          <w:sz w:val="28"/>
          <w:szCs w:val="28"/>
        </w:rPr>
        <w:t>月</w:t>
      </w:r>
      <w:r>
        <w:rPr>
          <w:rFonts w:ascii="宋体" w:hAnsi="宋体" w:cs="宋体"/>
          <w:sz w:val="28"/>
          <w:szCs w:val="28"/>
        </w:rPr>
        <w:t>-2016.5</w:t>
      </w:r>
      <w:r>
        <w:rPr>
          <w:rFonts w:hint="eastAsia" w:ascii="宋体" w:hAnsi="宋体" w:cs="宋体"/>
          <w:sz w:val="28"/>
          <w:szCs w:val="28"/>
        </w:rPr>
        <w:t>月增补工资以及养老保险及职业年金单位部分</w:t>
      </w:r>
      <w:r>
        <w:rPr>
          <w:rFonts w:ascii="宋体" w:hAnsi="宋体" w:cs="宋体"/>
          <w:sz w:val="28"/>
          <w:szCs w:val="28"/>
        </w:rPr>
        <w:t>52</w:t>
      </w:r>
      <w:r>
        <w:rPr>
          <w:rFonts w:hint="eastAsia" w:ascii="宋体" w:hAnsi="宋体" w:cs="宋体"/>
          <w:sz w:val="28"/>
          <w:szCs w:val="28"/>
        </w:rPr>
        <w:t>万元，桂花湾地质灾害治理资金</w:t>
      </w:r>
      <w:r>
        <w:rPr>
          <w:rFonts w:ascii="宋体" w:hAnsi="宋体" w:cs="宋体"/>
          <w:sz w:val="28"/>
          <w:szCs w:val="28"/>
        </w:rPr>
        <w:t>40</w:t>
      </w:r>
      <w:r>
        <w:rPr>
          <w:rFonts w:hint="eastAsia" w:ascii="宋体" w:hAnsi="宋体" w:cs="宋体"/>
          <w:sz w:val="28"/>
          <w:szCs w:val="28"/>
        </w:rPr>
        <w:t>万元，但</w:t>
      </w:r>
      <w:r>
        <w:rPr>
          <w:rFonts w:ascii="宋体" w:hAnsi="宋体" w:cs="宋体"/>
          <w:sz w:val="28"/>
          <w:szCs w:val="28"/>
        </w:rPr>
        <w:t>2016</w:t>
      </w:r>
      <w:r>
        <w:rPr>
          <w:rFonts w:hint="eastAsia" w:ascii="宋体" w:hAnsi="宋体" w:cs="宋体"/>
          <w:sz w:val="28"/>
          <w:szCs w:val="28"/>
        </w:rPr>
        <w:t>年创卫资金投入较大，</w:t>
      </w:r>
      <w:r>
        <w:rPr>
          <w:rFonts w:ascii="宋体" w:hAnsi="宋体" w:cs="宋体"/>
          <w:sz w:val="28"/>
          <w:szCs w:val="28"/>
        </w:rPr>
        <w:t>2017</w:t>
      </w:r>
      <w:r>
        <w:rPr>
          <w:rFonts w:hint="eastAsia" w:ascii="宋体" w:hAnsi="宋体" w:cs="宋体"/>
          <w:sz w:val="28"/>
          <w:szCs w:val="28"/>
        </w:rPr>
        <w:t>年创卫工作接近尾声，尽管</w:t>
      </w:r>
      <w:r>
        <w:rPr>
          <w:rFonts w:ascii="宋体" w:hAnsi="宋体" w:cs="宋体"/>
          <w:sz w:val="28"/>
          <w:szCs w:val="28"/>
        </w:rPr>
        <w:t>2017</w:t>
      </w:r>
      <w:r>
        <w:rPr>
          <w:rFonts w:hint="eastAsia" w:ascii="宋体" w:hAnsi="宋体" w:cs="宋体"/>
          <w:sz w:val="28"/>
          <w:szCs w:val="28"/>
        </w:rPr>
        <w:t>年预算资金增加，但总收入较</w:t>
      </w:r>
      <w:r>
        <w:rPr>
          <w:rFonts w:ascii="宋体" w:hAnsi="宋体" w:cs="宋体"/>
          <w:sz w:val="28"/>
          <w:szCs w:val="28"/>
        </w:rPr>
        <w:t>2016</w:t>
      </w:r>
      <w:r>
        <w:rPr>
          <w:rFonts w:hint="eastAsia" w:ascii="宋体" w:hAnsi="宋体" w:cs="宋体"/>
          <w:sz w:val="28"/>
          <w:szCs w:val="28"/>
        </w:rPr>
        <w:t>年减少。年初预算为</w:t>
      </w:r>
      <w:r>
        <w:rPr>
          <w:rFonts w:ascii="宋体" w:hAnsi="宋体" w:cs="宋体"/>
          <w:sz w:val="28"/>
          <w:szCs w:val="28"/>
        </w:rPr>
        <w:t>7283671</w:t>
      </w:r>
      <w:r>
        <w:rPr>
          <w:rFonts w:hint="eastAsia" w:ascii="宋体" w:hAnsi="宋体" w:cs="宋体"/>
          <w:sz w:val="28"/>
          <w:szCs w:val="28"/>
        </w:rPr>
        <w:t>元，预算主要为单位人员经费及日常公用经费，因</w:t>
      </w:r>
      <w:r>
        <w:rPr>
          <w:rFonts w:ascii="宋体" w:hAnsi="宋体" w:cs="宋体"/>
          <w:sz w:val="28"/>
          <w:szCs w:val="28"/>
        </w:rPr>
        <w:t>2017</w:t>
      </w:r>
      <w:r>
        <w:rPr>
          <w:rFonts w:hint="eastAsia" w:ascii="宋体" w:hAnsi="宋体" w:cs="宋体"/>
          <w:sz w:val="28"/>
          <w:szCs w:val="28"/>
        </w:rPr>
        <w:t>年期间未纳入预算的各项专项经费拨入及使用，所以支出超过预算。</w:t>
      </w:r>
    </w:p>
    <w:p w14:paraId="4BF712FD">
      <w:pPr>
        <w:widowControl/>
        <w:shd w:val="clear" w:color="auto" w:fill="FFFFFF"/>
        <w:ind w:firstLine="480"/>
        <w:jc w:val="left"/>
        <w:rPr>
          <w:rFonts w:ascii="仿宋_GB2312" w:eastAsia="仿宋_GB2312"/>
          <w:sz w:val="27"/>
          <w:szCs w:val="27"/>
        </w:rPr>
      </w:pPr>
      <w:r>
        <w:rPr>
          <w:rFonts w:hint="eastAsia" w:ascii="仿宋_GB2312" w:eastAsia="仿宋_GB2312" w:cs="仿宋_GB2312"/>
          <w:sz w:val="27"/>
          <w:szCs w:val="27"/>
        </w:rPr>
        <w:t>（二）关于“三公”经费支出说明</w:t>
      </w:r>
    </w:p>
    <w:p w14:paraId="38FDEAC8">
      <w:pPr>
        <w:widowControl/>
        <w:shd w:val="clear" w:color="auto" w:fill="FFFFFF"/>
        <w:jc w:val="left"/>
        <w:rPr>
          <w:rFonts w:ascii="宋体" w:cs="宋体"/>
          <w:sz w:val="28"/>
          <w:szCs w:val="28"/>
        </w:rPr>
      </w:pPr>
      <w:r>
        <w:rPr>
          <w:rFonts w:ascii="宋体" w:hAnsi="宋体" w:cs="宋体"/>
          <w:sz w:val="28"/>
          <w:szCs w:val="28"/>
        </w:rPr>
        <w:t>1</w:t>
      </w:r>
      <w:r>
        <w:rPr>
          <w:rFonts w:hint="eastAsia" w:ascii="宋体" w:hAnsi="宋体" w:cs="宋体"/>
          <w:sz w:val="28"/>
          <w:szCs w:val="28"/>
        </w:rPr>
        <w:t>、我单位</w:t>
      </w:r>
      <w:r>
        <w:rPr>
          <w:rFonts w:ascii="宋体" w:hAnsi="宋体" w:cs="宋体"/>
          <w:sz w:val="28"/>
          <w:szCs w:val="28"/>
        </w:rPr>
        <w:t>2017</w:t>
      </w:r>
      <w:r>
        <w:rPr>
          <w:rFonts w:hint="eastAsia" w:ascii="宋体" w:hAnsi="宋体" w:cs="宋体"/>
          <w:sz w:val="28"/>
          <w:szCs w:val="28"/>
        </w:rPr>
        <w:t>年因公出国（境）费</w:t>
      </w:r>
      <w:r>
        <w:rPr>
          <w:rFonts w:ascii="宋体" w:hAnsi="宋体" w:cs="宋体"/>
          <w:sz w:val="28"/>
          <w:szCs w:val="28"/>
        </w:rPr>
        <w:t>0</w:t>
      </w:r>
      <w:r>
        <w:rPr>
          <w:rFonts w:hint="eastAsia" w:ascii="宋体" w:hAnsi="宋体" w:cs="宋体"/>
          <w:sz w:val="28"/>
          <w:szCs w:val="28"/>
        </w:rPr>
        <w:t>元，较</w:t>
      </w:r>
      <w:r>
        <w:rPr>
          <w:rFonts w:ascii="宋体" w:hAnsi="宋体" w:cs="宋体"/>
          <w:sz w:val="28"/>
          <w:szCs w:val="28"/>
        </w:rPr>
        <w:t>2016</w:t>
      </w:r>
      <w:r>
        <w:rPr>
          <w:rFonts w:hint="eastAsia" w:ascii="宋体" w:hAnsi="宋体" w:cs="宋体"/>
          <w:sz w:val="28"/>
          <w:szCs w:val="28"/>
        </w:rPr>
        <w:t>年决算数持平，主要原因是单位没有因公出国。　</w:t>
      </w:r>
    </w:p>
    <w:p w14:paraId="5EF32C54">
      <w:pPr>
        <w:widowControl/>
        <w:shd w:val="clear" w:color="auto" w:fill="FFFFFF"/>
        <w:jc w:val="left"/>
        <w:rPr>
          <w:rFonts w:ascii="宋体" w:cs="宋体"/>
          <w:sz w:val="28"/>
          <w:szCs w:val="28"/>
        </w:rPr>
      </w:pPr>
      <w:r>
        <w:rPr>
          <w:rFonts w:ascii="宋体" w:hAnsi="宋体" w:cs="宋体"/>
          <w:sz w:val="28"/>
          <w:szCs w:val="28"/>
        </w:rPr>
        <w:t>2</w:t>
      </w:r>
      <w:r>
        <w:rPr>
          <w:rFonts w:hint="eastAsia" w:ascii="宋体" w:hAnsi="宋体" w:cs="宋体"/>
          <w:sz w:val="28"/>
          <w:szCs w:val="28"/>
        </w:rPr>
        <w:t>、</w:t>
      </w:r>
      <w:r>
        <w:rPr>
          <w:rFonts w:ascii="宋体" w:hAnsi="宋体" w:cs="宋体"/>
          <w:sz w:val="28"/>
          <w:szCs w:val="28"/>
        </w:rPr>
        <w:t>2017</w:t>
      </w:r>
      <w:r>
        <w:rPr>
          <w:rFonts w:hint="eastAsia" w:ascii="宋体" w:hAnsi="宋体" w:cs="宋体"/>
          <w:sz w:val="28"/>
          <w:szCs w:val="28"/>
        </w:rPr>
        <w:t>年无公务用车购置及运行维护费，较</w:t>
      </w:r>
      <w:r>
        <w:rPr>
          <w:rFonts w:ascii="宋体" w:hAnsi="宋体" w:cs="宋体"/>
          <w:sz w:val="28"/>
          <w:szCs w:val="28"/>
        </w:rPr>
        <w:t>2016</w:t>
      </w:r>
      <w:r>
        <w:rPr>
          <w:rFonts w:hint="eastAsia" w:ascii="宋体" w:hAnsi="宋体" w:cs="宋体"/>
          <w:sz w:val="28"/>
          <w:szCs w:val="28"/>
        </w:rPr>
        <w:t>年决算数下降，主要原因是</w:t>
      </w:r>
      <w:r>
        <w:rPr>
          <w:rFonts w:ascii="宋体" w:hAnsi="宋体" w:cs="宋体"/>
          <w:sz w:val="28"/>
          <w:szCs w:val="28"/>
        </w:rPr>
        <w:t>2016</w:t>
      </w:r>
      <w:r>
        <w:rPr>
          <w:rFonts w:hint="eastAsia" w:ascii="宋体" w:hAnsi="宋体" w:cs="宋体"/>
          <w:sz w:val="28"/>
          <w:szCs w:val="28"/>
        </w:rPr>
        <w:t>年</w:t>
      </w:r>
      <w:r>
        <w:rPr>
          <w:rFonts w:ascii="宋体" w:hAnsi="宋体" w:cs="宋体"/>
          <w:sz w:val="28"/>
          <w:szCs w:val="28"/>
        </w:rPr>
        <w:t>6</w:t>
      </w:r>
      <w:r>
        <w:rPr>
          <w:rFonts w:hint="eastAsia" w:ascii="宋体" w:hAnsi="宋体" w:cs="宋体"/>
          <w:sz w:val="28"/>
          <w:szCs w:val="28"/>
        </w:rPr>
        <w:t>月进行公车改革，</w:t>
      </w:r>
      <w:r>
        <w:rPr>
          <w:rFonts w:ascii="宋体" w:hAnsi="宋体" w:cs="宋体"/>
          <w:sz w:val="28"/>
          <w:szCs w:val="28"/>
        </w:rPr>
        <w:t>2016</w:t>
      </w:r>
      <w:r>
        <w:rPr>
          <w:rFonts w:hint="eastAsia" w:ascii="宋体" w:hAnsi="宋体" w:cs="宋体"/>
          <w:sz w:val="28"/>
          <w:szCs w:val="28"/>
        </w:rPr>
        <w:t>年</w:t>
      </w:r>
      <w:r>
        <w:rPr>
          <w:rFonts w:ascii="宋体" w:hAnsi="宋体" w:cs="宋体"/>
          <w:sz w:val="28"/>
          <w:szCs w:val="28"/>
        </w:rPr>
        <w:t>1-6</w:t>
      </w:r>
      <w:r>
        <w:rPr>
          <w:rFonts w:hint="eastAsia" w:ascii="宋体" w:hAnsi="宋体" w:cs="宋体"/>
          <w:sz w:val="28"/>
          <w:szCs w:val="28"/>
        </w:rPr>
        <w:t>月仍有公务用车运行费。</w:t>
      </w:r>
    </w:p>
    <w:p w14:paraId="5FF3925F">
      <w:pPr>
        <w:widowControl/>
        <w:shd w:val="clear" w:color="auto" w:fill="FFFFFF"/>
        <w:jc w:val="left"/>
        <w:rPr>
          <w:rFonts w:ascii="宋体" w:cs="宋体"/>
          <w:sz w:val="28"/>
          <w:szCs w:val="28"/>
        </w:rPr>
      </w:pPr>
      <w:r>
        <w:rPr>
          <w:rFonts w:ascii="宋体" w:hAnsi="宋体" w:cs="宋体"/>
          <w:sz w:val="28"/>
          <w:szCs w:val="28"/>
        </w:rPr>
        <w:t>3</w:t>
      </w:r>
      <w:r>
        <w:rPr>
          <w:rFonts w:hint="eastAsia" w:ascii="宋体" w:hAnsi="宋体" w:cs="宋体"/>
          <w:sz w:val="28"/>
          <w:szCs w:val="28"/>
        </w:rPr>
        <w:t>、</w:t>
      </w:r>
      <w:r>
        <w:rPr>
          <w:rFonts w:ascii="宋体" w:hAnsi="宋体" w:cs="宋体"/>
          <w:sz w:val="28"/>
          <w:szCs w:val="28"/>
        </w:rPr>
        <w:t>2017</w:t>
      </w:r>
      <w:r>
        <w:rPr>
          <w:rFonts w:hint="eastAsia" w:ascii="宋体" w:hAnsi="宋体" w:cs="宋体"/>
          <w:sz w:val="28"/>
          <w:szCs w:val="28"/>
        </w:rPr>
        <w:t>年无公务接待费，较</w:t>
      </w:r>
      <w:r>
        <w:rPr>
          <w:rFonts w:ascii="宋体" w:hAnsi="宋体" w:cs="宋体"/>
          <w:sz w:val="28"/>
          <w:szCs w:val="28"/>
        </w:rPr>
        <w:t>2016</w:t>
      </w:r>
      <w:r>
        <w:rPr>
          <w:rFonts w:hint="eastAsia" w:ascii="宋体" w:hAnsi="宋体" w:cs="宋体"/>
          <w:sz w:val="28"/>
          <w:szCs w:val="28"/>
        </w:rPr>
        <w:t>年决算数持平。主要原因是单位没有公务接待。　</w:t>
      </w:r>
    </w:p>
    <w:p w14:paraId="4EB49E2E">
      <w:pPr>
        <w:widowControl/>
        <w:shd w:val="clear" w:color="auto" w:fill="FFFFFF"/>
        <w:jc w:val="left"/>
        <w:rPr>
          <w:rFonts w:ascii="宋体" w:cs="宋体"/>
          <w:sz w:val="28"/>
          <w:szCs w:val="28"/>
        </w:rPr>
      </w:pPr>
      <w:r>
        <w:rPr>
          <w:rFonts w:hint="eastAsia" w:ascii="宋体" w:hAnsi="宋体" w:cs="宋体"/>
          <w:sz w:val="28"/>
          <w:szCs w:val="28"/>
        </w:rPr>
        <w:t>　（三）关于机关运行经费支出说明</w:t>
      </w:r>
    </w:p>
    <w:p w14:paraId="2F54461D">
      <w:pPr>
        <w:pStyle w:val="9"/>
        <w:rPr>
          <w:rFonts w:ascii="宋体" w:cs="宋体"/>
          <w:sz w:val="28"/>
          <w:szCs w:val="28"/>
        </w:rPr>
      </w:pPr>
      <w:r>
        <w:rPr>
          <w:rFonts w:hint="eastAsia" w:ascii="宋体" w:hAnsi="宋体" w:cs="宋体"/>
          <w:sz w:val="28"/>
          <w:szCs w:val="28"/>
        </w:rPr>
        <w:t>本单位</w:t>
      </w:r>
      <w:r>
        <w:rPr>
          <w:rFonts w:ascii="宋体" w:hAnsi="宋体" w:cs="宋体"/>
          <w:sz w:val="28"/>
          <w:szCs w:val="28"/>
        </w:rPr>
        <w:t>2017</w:t>
      </w:r>
      <w:r>
        <w:rPr>
          <w:rFonts w:hint="eastAsia" w:ascii="宋体" w:hAnsi="宋体" w:cs="宋体"/>
          <w:sz w:val="28"/>
          <w:szCs w:val="28"/>
        </w:rPr>
        <w:t>年度机关运行经费支出</w:t>
      </w:r>
      <w:r>
        <w:rPr>
          <w:rFonts w:ascii="宋体" w:hAnsi="宋体" w:cs="宋体"/>
          <w:sz w:val="28"/>
          <w:szCs w:val="28"/>
        </w:rPr>
        <w:t>1091.53</w:t>
      </w:r>
      <w:r>
        <w:rPr>
          <w:rFonts w:hint="eastAsia" w:ascii="宋体" w:hAnsi="宋体" w:cs="宋体"/>
          <w:sz w:val="28"/>
          <w:szCs w:val="28"/>
        </w:rPr>
        <w:t>万元，比</w:t>
      </w:r>
      <w:r>
        <w:rPr>
          <w:rFonts w:ascii="宋体" w:hAnsi="宋体" w:cs="宋体"/>
          <w:sz w:val="28"/>
          <w:szCs w:val="28"/>
        </w:rPr>
        <w:t>2016</w:t>
      </w:r>
      <w:r>
        <w:rPr>
          <w:rFonts w:hint="eastAsia" w:ascii="宋体" w:hAnsi="宋体" w:cs="宋体"/>
          <w:sz w:val="28"/>
          <w:szCs w:val="28"/>
        </w:rPr>
        <w:t>年增加</w:t>
      </w:r>
      <w:r>
        <w:rPr>
          <w:rFonts w:ascii="宋体" w:hAnsi="宋体" w:cs="宋体"/>
          <w:sz w:val="28"/>
          <w:szCs w:val="28"/>
        </w:rPr>
        <w:t>632.98</w:t>
      </w:r>
      <w:r>
        <w:rPr>
          <w:rFonts w:hint="eastAsia" w:ascii="宋体" w:hAnsi="宋体" w:cs="宋体"/>
          <w:sz w:val="28"/>
          <w:szCs w:val="28"/>
        </w:rPr>
        <w:t>万元，增长</w:t>
      </w:r>
      <w:r>
        <w:rPr>
          <w:rFonts w:ascii="宋体" w:hAnsi="宋体" w:cs="宋体"/>
          <w:sz w:val="28"/>
          <w:szCs w:val="28"/>
        </w:rPr>
        <w:t>138%</w:t>
      </w:r>
      <w:r>
        <w:rPr>
          <w:rFonts w:hint="eastAsia" w:ascii="宋体" w:hAnsi="宋体" w:cs="宋体"/>
          <w:sz w:val="28"/>
          <w:szCs w:val="28"/>
        </w:rPr>
        <w:t>。主要原因是：社区工作人员工资本年度计入委托业务费项目核算属于公用经费，纳入机关运行经费支出，上年度计入其他工资福利支出核算，归属于人员经费，不计入机关运行经费支出。</w:t>
      </w:r>
    </w:p>
    <w:p w14:paraId="3466C846">
      <w:pPr>
        <w:widowControl/>
        <w:shd w:val="clear" w:color="auto" w:fill="FFFFFF"/>
        <w:jc w:val="left"/>
        <w:rPr>
          <w:rFonts w:ascii="宋体" w:cs="宋体"/>
          <w:b/>
          <w:bCs/>
          <w:sz w:val="28"/>
          <w:szCs w:val="28"/>
        </w:rPr>
      </w:pPr>
      <w:r>
        <w:rPr>
          <w:rFonts w:hint="eastAsia" w:ascii="宋体" w:hAnsi="宋体" w:cs="宋体"/>
          <w:b/>
          <w:bCs/>
          <w:sz w:val="28"/>
          <w:szCs w:val="28"/>
        </w:rPr>
        <w:t>　　（四）关于政府采购支出说明</w:t>
      </w:r>
    </w:p>
    <w:p w14:paraId="341D0C10">
      <w:pPr>
        <w:pStyle w:val="9"/>
        <w:ind w:firstLine="560" w:firstLineChars="200"/>
        <w:rPr>
          <w:rFonts w:ascii="宋体" w:cs="宋体"/>
          <w:sz w:val="28"/>
          <w:szCs w:val="28"/>
        </w:rPr>
      </w:pPr>
      <w:r>
        <w:rPr>
          <w:rFonts w:hint="eastAsia" w:ascii="宋体" w:hAnsi="宋体" w:cs="宋体"/>
          <w:sz w:val="28"/>
          <w:szCs w:val="28"/>
        </w:rPr>
        <w:t>本单位</w:t>
      </w:r>
      <w:r>
        <w:rPr>
          <w:rFonts w:ascii="宋体" w:hAnsi="宋体" w:cs="宋体"/>
          <w:sz w:val="28"/>
          <w:szCs w:val="28"/>
        </w:rPr>
        <w:t>2017</w:t>
      </w:r>
      <w:r>
        <w:rPr>
          <w:rFonts w:hint="eastAsia" w:ascii="宋体" w:hAnsi="宋体" w:cs="宋体"/>
          <w:sz w:val="28"/>
          <w:szCs w:val="28"/>
        </w:rPr>
        <w:t>年度政府采购支出总额</w:t>
      </w:r>
      <w:r>
        <w:rPr>
          <w:rFonts w:ascii="宋体" w:hAnsi="宋体" w:cs="宋体"/>
          <w:sz w:val="28"/>
          <w:szCs w:val="28"/>
        </w:rPr>
        <w:t>0</w:t>
      </w:r>
      <w:r>
        <w:rPr>
          <w:rFonts w:hint="eastAsia" w:ascii="宋体" w:hAnsi="宋体" w:cs="宋体"/>
          <w:sz w:val="28"/>
          <w:szCs w:val="28"/>
        </w:rPr>
        <w:t>万元，主要原因是单位没有本年度无政府采购支出。　</w:t>
      </w:r>
    </w:p>
    <w:p w14:paraId="6E26C566">
      <w:pPr>
        <w:widowControl/>
        <w:shd w:val="clear" w:color="auto" w:fill="FFFFFF"/>
        <w:jc w:val="left"/>
        <w:rPr>
          <w:rFonts w:hint="eastAsia" w:ascii="仿宋_GB2312" w:eastAsia="仿宋_GB2312"/>
          <w:sz w:val="30"/>
          <w:szCs w:val="30"/>
        </w:rPr>
      </w:pPr>
      <w:r>
        <w:rPr>
          <w:rFonts w:hint="eastAsia" w:ascii="仿宋_GB2312" w:eastAsia="仿宋_GB2312"/>
          <w:sz w:val="30"/>
          <w:szCs w:val="30"/>
        </w:rPr>
        <w:t>（五）关于国有资产占用情况说明</w:t>
      </w:r>
    </w:p>
    <w:p w14:paraId="383F2D08">
      <w:pPr>
        <w:widowControl/>
        <w:shd w:val="clear" w:color="auto" w:fill="FFFFFF"/>
        <w:ind w:firstLine="600" w:firstLineChars="200"/>
        <w:jc w:val="left"/>
        <w:rPr>
          <w:rFonts w:hint="eastAsia" w:ascii="仿宋_GB2312" w:eastAsia="仿宋_GB2312"/>
          <w:sz w:val="30"/>
          <w:szCs w:val="30"/>
        </w:rPr>
      </w:pPr>
      <w:r>
        <w:rPr>
          <w:rFonts w:hint="eastAsia" w:ascii="仿宋_GB2312" w:eastAsia="仿宋_GB2312"/>
          <w:sz w:val="30"/>
          <w:szCs w:val="30"/>
        </w:rPr>
        <w:t>截到2017年12月31日，本部门共有车辆0辆，其中：领导干部用车0辆，一般公务用车0辆，一般执法执勤用车0辆，特种专业技术用车0辆，其他用车0辆。单位价值50万元以上通用设备0台，单价100万元以上专用设备0台。</w:t>
      </w:r>
    </w:p>
    <w:p w14:paraId="6BA6B50F">
      <w:pPr>
        <w:widowControl/>
        <w:shd w:val="clear" w:color="auto" w:fill="FFFFFF"/>
        <w:jc w:val="left"/>
        <w:rPr>
          <w:rFonts w:ascii="仿宋_GB2312" w:hAnsi="仿宋" w:eastAsia="仿宋_GB2312"/>
          <w:sz w:val="32"/>
          <w:szCs w:val="32"/>
        </w:rPr>
      </w:pPr>
      <w:r>
        <w:rPr>
          <w:rFonts w:hint="eastAsia" w:ascii="仿宋_GB2312" w:hAnsi="仿宋" w:eastAsia="仿宋_GB2312"/>
          <w:sz w:val="32"/>
          <w:szCs w:val="32"/>
        </w:rPr>
        <w:t>　</w:t>
      </w:r>
    </w:p>
    <w:p w14:paraId="529229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仿宋_GB2312" w:eastAsia="仿宋_GB2312"/>
          <w:sz w:val="27"/>
          <w:szCs w:val="27"/>
        </w:rPr>
        <w:t xml:space="preserve"> </w:t>
      </w:r>
      <w:r>
        <w:rPr>
          <w:rStyle w:val="8"/>
          <w:rFonts w:hint="eastAsia" w:ascii="微软雅黑" w:hAnsi="微软雅黑" w:eastAsia="微软雅黑" w:cs="微软雅黑"/>
          <w:i w:val="0"/>
          <w:caps w:val="0"/>
          <w:color w:val="333333"/>
          <w:spacing w:val="0"/>
          <w:sz w:val="24"/>
          <w:szCs w:val="24"/>
          <w:shd w:val="clear" w:fill="FFFFFF"/>
        </w:rPr>
        <w:t>第四部分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名词解释</w:t>
      </w:r>
    </w:p>
    <w:p w14:paraId="50CDAC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一、财政补助收入：指县级财政当年拨付的资金。</w:t>
      </w:r>
    </w:p>
    <w:p w14:paraId="4F4FD9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二、其他收入：指除“财政拨款收入”、“上级补助收入”、“事业收入”、“经营收入”等以外的收入。主要是存款利息收入等。</w:t>
      </w:r>
    </w:p>
    <w:p w14:paraId="36ECD6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三、年初结转和结余：指以前年度尚未完成、结转到本年按有关规定继续使用的资金。</w:t>
      </w:r>
    </w:p>
    <w:p w14:paraId="4B9D24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四、一般公共服务（类）行政运行（项）：指县行政单位及参照公务员管理事业单位用于保障机构正常运行、开展日常工作的基本支出。</w:t>
      </w:r>
    </w:p>
    <w:p w14:paraId="56C624A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五、一般公共服务（类）一般行政管理事务（项）：指县行政单位及参照公务员管理事业单位用于开展立法调研、财政信息宣传、非税收入征管等未单独设置项级科目的专门性财政管理工作的项目支出。</w:t>
      </w:r>
    </w:p>
    <w:p w14:paraId="1D2ECC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六、一般公共服务（类）机关服务（项）：指县</w:t>
      </w:r>
      <w:r>
        <w:rPr>
          <w:rFonts w:hint="eastAsia" w:ascii="微软雅黑" w:hAnsi="微软雅黑" w:eastAsia="微软雅黑" w:cs="微软雅黑"/>
          <w:b w:val="0"/>
          <w:i w:val="0"/>
          <w:caps w:val="0"/>
          <w:color w:val="333333"/>
          <w:spacing w:val="0"/>
          <w:sz w:val="24"/>
          <w:szCs w:val="24"/>
          <w:shd w:val="clear" w:fill="FFFFFF"/>
          <w:lang w:eastAsia="zh-CN"/>
        </w:rPr>
        <w:t>黄石港区磁湖街办</w:t>
      </w:r>
      <w:r>
        <w:rPr>
          <w:rFonts w:hint="eastAsia" w:ascii="微软雅黑" w:hAnsi="微软雅黑" w:eastAsia="微软雅黑" w:cs="微软雅黑"/>
          <w:b w:val="0"/>
          <w:i w:val="0"/>
          <w:caps w:val="0"/>
          <w:color w:val="333333"/>
          <w:spacing w:val="0"/>
          <w:sz w:val="24"/>
          <w:szCs w:val="24"/>
          <w:shd w:val="clear" w:fill="FFFFFF"/>
        </w:rPr>
        <w:t>服务中心为机关提供办公楼日常维修、维护等后勤保障服务的支出。</w:t>
      </w:r>
    </w:p>
    <w:p w14:paraId="5E9104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七、一般公共服务（类）其他一般公共服务支出（款）其他一般公共服务支出（项）：指</w:t>
      </w:r>
      <w:r>
        <w:rPr>
          <w:rFonts w:hint="eastAsia" w:ascii="微软雅黑" w:hAnsi="微软雅黑" w:eastAsia="微软雅黑" w:cs="微软雅黑"/>
          <w:b w:val="0"/>
          <w:i w:val="0"/>
          <w:caps w:val="0"/>
          <w:color w:val="333333"/>
          <w:spacing w:val="0"/>
          <w:sz w:val="24"/>
          <w:szCs w:val="24"/>
          <w:shd w:val="clear" w:fill="FFFFFF"/>
          <w:lang w:eastAsia="zh-CN"/>
        </w:rPr>
        <w:t>黄石港区磁湖街办</w:t>
      </w:r>
      <w:r>
        <w:rPr>
          <w:rFonts w:hint="eastAsia" w:ascii="微软雅黑" w:hAnsi="微软雅黑" w:eastAsia="微软雅黑" w:cs="微软雅黑"/>
          <w:b w:val="0"/>
          <w:i w:val="0"/>
          <w:caps w:val="0"/>
          <w:color w:val="333333"/>
          <w:spacing w:val="0"/>
          <w:sz w:val="24"/>
          <w:szCs w:val="24"/>
          <w:shd w:val="clear" w:fill="FFFFFF"/>
        </w:rPr>
        <w:t>用于其他一般公共服务方面的支出。</w:t>
      </w:r>
    </w:p>
    <w:p w14:paraId="3C40F09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八、教育（类）普通教育（款）高等教育（项）：指</w:t>
      </w:r>
      <w:r>
        <w:rPr>
          <w:rFonts w:hint="eastAsia" w:ascii="微软雅黑" w:hAnsi="微软雅黑" w:eastAsia="微软雅黑" w:cs="微软雅黑"/>
          <w:b w:val="0"/>
          <w:i w:val="0"/>
          <w:caps w:val="0"/>
          <w:color w:val="333333"/>
          <w:spacing w:val="0"/>
          <w:sz w:val="24"/>
          <w:szCs w:val="24"/>
          <w:shd w:val="clear" w:fill="FFFFFF"/>
          <w:lang w:eastAsia="zh-CN"/>
        </w:rPr>
        <w:t>黄石港区磁湖街办</w:t>
      </w:r>
      <w:r>
        <w:rPr>
          <w:rFonts w:hint="eastAsia" w:ascii="微软雅黑" w:hAnsi="微软雅黑" w:eastAsia="微软雅黑" w:cs="微软雅黑"/>
          <w:b w:val="0"/>
          <w:i w:val="0"/>
          <w:caps w:val="0"/>
          <w:color w:val="333333"/>
          <w:spacing w:val="0"/>
          <w:sz w:val="24"/>
          <w:szCs w:val="24"/>
          <w:shd w:val="clear" w:fill="FFFFFF"/>
        </w:rPr>
        <w:t>厅支持地方高校的重点发展和特色办学，组织专家对省属院校申报的建设规划和项目预算进行评审等相关工作的支出。</w:t>
      </w:r>
    </w:p>
    <w:p w14:paraId="53E6F0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九、社会保障和就业(类)行政事业单位离退休（款）归口管理的行政单位离退休（项）：指</w:t>
      </w:r>
      <w:r>
        <w:rPr>
          <w:rFonts w:hint="eastAsia" w:ascii="微软雅黑" w:hAnsi="微软雅黑" w:eastAsia="微软雅黑" w:cs="微软雅黑"/>
          <w:b w:val="0"/>
          <w:i w:val="0"/>
          <w:caps w:val="0"/>
          <w:color w:val="333333"/>
          <w:spacing w:val="0"/>
          <w:sz w:val="24"/>
          <w:szCs w:val="24"/>
          <w:shd w:val="clear" w:fill="FFFFFF"/>
          <w:lang w:eastAsia="zh-CN"/>
        </w:rPr>
        <w:t>黄石港区磁湖街办</w:t>
      </w:r>
      <w:r>
        <w:rPr>
          <w:rFonts w:hint="eastAsia" w:ascii="微软雅黑" w:hAnsi="微软雅黑" w:eastAsia="微软雅黑" w:cs="微软雅黑"/>
          <w:b w:val="0"/>
          <w:i w:val="0"/>
          <w:caps w:val="0"/>
          <w:color w:val="333333"/>
          <w:spacing w:val="0"/>
          <w:sz w:val="24"/>
          <w:szCs w:val="24"/>
          <w:shd w:val="clear" w:fill="FFFFFF"/>
        </w:rPr>
        <w:t>用于离退休人员的支出、退休人员支出，以及提供管理服务工作的离退休干部处的支出。</w:t>
      </w:r>
    </w:p>
    <w:p w14:paraId="64CE50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十、社会保障和就业(类)行政事业单位离退休（款）其他行政事业单位离退休支出（项）：指</w:t>
      </w:r>
      <w:r>
        <w:rPr>
          <w:rFonts w:hint="eastAsia" w:ascii="微软雅黑" w:hAnsi="微软雅黑" w:eastAsia="微软雅黑" w:cs="微软雅黑"/>
          <w:b w:val="0"/>
          <w:i w:val="0"/>
          <w:caps w:val="0"/>
          <w:color w:val="333333"/>
          <w:spacing w:val="0"/>
          <w:sz w:val="24"/>
          <w:szCs w:val="24"/>
          <w:shd w:val="clear" w:fill="FFFFFF"/>
          <w:lang w:eastAsia="zh-CN"/>
        </w:rPr>
        <w:t>黄石港区磁湖街办</w:t>
      </w:r>
      <w:r>
        <w:rPr>
          <w:rFonts w:hint="eastAsia" w:ascii="微软雅黑" w:hAnsi="微软雅黑" w:eastAsia="微软雅黑" w:cs="微软雅黑"/>
          <w:b w:val="0"/>
          <w:i w:val="0"/>
          <w:caps w:val="0"/>
          <w:color w:val="333333"/>
          <w:spacing w:val="0"/>
          <w:sz w:val="24"/>
          <w:szCs w:val="24"/>
          <w:shd w:val="clear" w:fill="FFFFFF"/>
        </w:rPr>
        <w:t>用于离退休方面的其他支出。</w:t>
      </w:r>
    </w:p>
    <w:p w14:paraId="2488E8D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十一、医疗卫生与计划生育（类）医疗保障（款）行政单位医疗（项）：指</w:t>
      </w:r>
      <w:r>
        <w:rPr>
          <w:rFonts w:hint="eastAsia" w:ascii="微软雅黑" w:hAnsi="微软雅黑" w:eastAsia="微软雅黑" w:cs="微软雅黑"/>
          <w:b w:val="0"/>
          <w:i w:val="0"/>
          <w:caps w:val="0"/>
          <w:color w:val="333333"/>
          <w:spacing w:val="0"/>
          <w:sz w:val="24"/>
          <w:szCs w:val="24"/>
          <w:shd w:val="clear" w:fill="FFFFFF"/>
          <w:lang w:eastAsia="zh-CN"/>
        </w:rPr>
        <w:t>黄石港区磁湖街办</w:t>
      </w:r>
      <w:r>
        <w:rPr>
          <w:rFonts w:hint="eastAsia" w:ascii="微软雅黑" w:hAnsi="微软雅黑" w:eastAsia="微软雅黑" w:cs="微软雅黑"/>
          <w:b w:val="0"/>
          <w:i w:val="0"/>
          <w:caps w:val="0"/>
          <w:color w:val="333333"/>
          <w:spacing w:val="0"/>
          <w:sz w:val="24"/>
          <w:szCs w:val="24"/>
          <w:shd w:val="clear" w:fill="FFFFFF"/>
        </w:rPr>
        <w:t>用于机关干部职工及离退休人员医疗方面的支出。</w:t>
      </w:r>
    </w:p>
    <w:p w14:paraId="5CB580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十二、住房保障（类）住房改革支出（款）购房补贴（项）：指按照相关住房分配货币化改革的政策规定和标准，对无房和住房未达标职工发放的住房分配货币化补贴资金。</w:t>
      </w:r>
    </w:p>
    <w:p w14:paraId="2D81DEC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十三、年末结转和结余：指本年度或以前年度预算安排、因客观条件发生变化无法按原计划实施，需要延迟到以后年度按有关规定继续使用的资金。</w:t>
      </w:r>
    </w:p>
    <w:p w14:paraId="434097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十四、基本支出：指为保障机构正常运转、完成日常工作任务而发生的人员支出（包括基本工资、津贴补贴等）和公用支出（包括办公费、水电费、邮电费、交通费、差旅费等）。</w:t>
      </w:r>
    </w:p>
    <w:p w14:paraId="73864B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十五、项目支出：指在基本支出之外为完成特定行政任务和事业发展目标所发生的支出。</w:t>
      </w:r>
    </w:p>
    <w:p w14:paraId="27D440B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十六、“三公”经费：是指用财政拨款安排的因公出国（境）费、公务用车购置及运行维护费、公务接待费。</w:t>
      </w:r>
    </w:p>
    <w:p w14:paraId="37FEEB6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EFF16"/>
    <w:multiLevelType w:val="singleLevel"/>
    <w:tmpl w:val="9F9EFF1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56809"/>
    <w:rsid w:val="01BA2E7D"/>
    <w:rsid w:val="0664587B"/>
    <w:rsid w:val="07064C72"/>
    <w:rsid w:val="09FF39B4"/>
    <w:rsid w:val="0B821CB6"/>
    <w:rsid w:val="0F243B6C"/>
    <w:rsid w:val="0F580F62"/>
    <w:rsid w:val="10157CA5"/>
    <w:rsid w:val="11411182"/>
    <w:rsid w:val="13FA6E94"/>
    <w:rsid w:val="1BC741CC"/>
    <w:rsid w:val="1D3216D7"/>
    <w:rsid w:val="219E41B4"/>
    <w:rsid w:val="22E5395A"/>
    <w:rsid w:val="255E033E"/>
    <w:rsid w:val="27272230"/>
    <w:rsid w:val="27390172"/>
    <w:rsid w:val="2CCE2491"/>
    <w:rsid w:val="2F081AB6"/>
    <w:rsid w:val="35840005"/>
    <w:rsid w:val="401A2F36"/>
    <w:rsid w:val="408F5EDF"/>
    <w:rsid w:val="43693B26"/>
    <w:rsid w:val="44064590"/>
    <w:rsid w:val="457D21A1"/>
    <w:rsid w:val="49D83A19"/>
    <w:rsid w:val="4A187DA8"/>
    <w:rsid w:val="4CC36F4D"/>
    <w:rsid w:val="4FCC39E6"/>
    <w:rsid w:val="507C1CF5"/>
    <w:rsid w:val="53FA08DA"/>
    <w:rsid w:val="57193076"/>
    <w:rsid w:val="5EF27DB1"/>
    <w:rsid w:val="602B7412"/>
    <w:rsid w:val="61773BFF"/>
    <w:rsid w:val="621B3808"/>
    <w:rsid w:val="67E4782B"/>
    <w:rsid w:val="6A5F0092"/>
    <w:rsid w:val="6FC62DF1"/>
    <w:rsid w:val="746766E2"/>
    <w:rsid w:val="74EA7B66"/>
    <w:rsid w:val="78186405"/>
    <w:rsid w:val="784C1E5B"/>
    <w:rsid w:val="796F54E7"/>
    <w:rsid w:val="7D417A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line="500" w:lineRule="exact"/>
      <w:ind w:firstLine="640" w:firstLineChars="200"/>
    </w:pPr>
    <w:rPr>
      <w:rFonts w:ascii="宋体"/>
      <w:sz w:val="32"/>
    </w:rPr>
  </w:style>
  <w:style w:type="paragraph" w:styleId="4">
    <w:name w:val="Plain Text"/>
    <w:basedOn w:val="1"/>
    <w:qFormat/>
    <w:uiPriority w:val="0"/>
    <w:rPr>
      <w:rFonts w:ascii="宋体" w:hAnsi="Courier New" w:cs="Courier New"/>
      <w:szCs w:val="21"/>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正文缩进 + 首行缩进:  2 字符"/>
    <w:basedOn w:val="1"/>
    <w:qFormat/>
    <w:uiPriority w:val="0"/>
    <w:pPr>
      <w:spacing w:line="560" w:lineRule="exact"/>
      <w:ind w:firstLine="640"/>
    </w:pPr>
    <w:rPr>
      <w:rFonts w:ascii="仿宋" w:hAnsi="仿宋" w:cs="宋体"/>
      <w:sz w:val="32"/>
      <w:szCs w:val="32"/>
    </w:rPr>
  </w:style>
  <w:style w:type="character" w:customStyle="1" w:styleId="10">
    <w:name w:val="ca-2"/>
    <w:basedOn w:val="7"/>
    <w:qFormat/>
    <w:uiPriority w:val="0"/>
  </w:style>
  <w:style w:type="paragraph" w:customStyle="1" w:styleId="11">
    <w:name w:val="Normal (Web)"/>
    <w:basedOn w:val="1"/>
    <w:qFormat/>
    <w:uiPriority w:val="0"/>
    <w:pPr>
      <w:widowControl/>
      <w:spacing w:before="100" w:beforeAutospacing="1" w:after="100" w:afterAutospacing="1"/>
      <w:jc w:val="left"/>
    </w:pPr>
    <w:rPr>
      <w:rFonts w:ascii="宋体" w:hAnsi="宋体" w:cs="宋体"/>
      <w:kern w:val="0"/>
      <w:sz w:val="24"/>
    </w:rPr>
  </w:style>
  <w:style w:type="character" w:customStyle="1" w:styleId="12">
    <w:name w:val="ca-3"/>
    <w:basedOn w:val="7"/>
    <w:qFormat/>
    <w:uiPriority w:val="0"/>
  </w:style>
  <w:style w:type="character" w:customStyle="1" w:styleId="13">
    <w:name w:val="apple-converted-space"/>
    <w:basedOn w:val="7"/>
    <w:qFormat/>
    <w:uiPriority w:val="99"/>
  </w:style>
  <w:style w:type="paragraph" w:customStyle="1" w:styleId="14">
    <w:name w:val="pa-1"/>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2154</Words>
  <Characters>2313</Characters>
  <Lines>0</Lines>
  <Paragraphs>0</Paragraphs>
  <TotalTime>8</TotalTime>
  <ScaleCrop>false</ScaleCrop>
  <LinksUpToDate>false</LinksUpToDate>
  <CharactersWithSpaces>2345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gg</dc:creator>
  <cp:lastModifiedBy>.</cp:lastModifiedBy>
  <dcterms:modified xsi:type="dcterms:W3CDTF">2026-08-17T08:23:17Z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KSOTemplateDocerSaveRecord">
    <vt:lpwstr>eyJoZGlkIjoiZjIyMGRlNjkwMTc4Y2VkZjQxNGJmY2E1MjgyZDNhYTIiLCJ1c2VySWQiOiIxODk5MDg5MjMifQ==</vt:lpwstr>
  </property>
  <property fmtid="{D5CDD505-2E9C-101B-9397-08002B2CF9AE}" pid="4" name="ICV">
    <vt:lpwstr>5C300367FCD5411482027A44DCD99ED8_12</vt:lpwstr>
  </property>
</Properties>
</file>