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333757">
      <w:pPr>
        <w:pStyle w:val="2"/>
        <w:widowControl/>
        <w:shd w:val="clear" w:color="auto" w:fill="FFFFFF"/>
        <w:spacing w:beforeAutospacing="0" w:after="375" w:afterAutospacing="0" w:line="450" w:lineRule="atLeast"/>
        <w:jc w:val="center"/>
        <w:rPr>
          <w:rFonts w:ascii="微软雅黑" w:hAnsi="微软雅黑" w:eastAsia="微软雅黑" w:cs="微软雅黑"/>
          <w:color w:val="BC1010"/>
          <w:sz w:val="40"/>
          <w:szCs w:val="40"/>
        </w:rPr>
      </w:pPr>
      <w:r>
        <w:rPr>
          <w:rFonts w:hint="eastAsia" w:ascii="微软雅黑" w:hAnsi="微软雅黑" w:eastAsia="微软雅黑" w:cs="微软雅黑"/>
          <w:color w:val="BC1010"/>
          <w:sz w:val="40"/>
          <w:szCs w:val="40"/>
          <w:shd w:val="clear" w:color="auto" w:fill="FFFFFF"/>
        </w:rPr>
        <w:t>磁湖街办</w:t>
      </w:r>
      <w:r>
        <w:rPr>
          <w:rFonts w:ascii="微软雅黑" w:hAnsi="微软雅黑" w:eastAsia="微软雅黑" w:cs="微软雅黑"/>
          <w:color w:val="BC1010"/>
          <w:sz w:val="40"/>
          <w:szCs w:val="40"/>
          <w:shd w:val="clear" w:color="auto" w:fill="FFFFFF"/>
        </w:rPr>
        <w:t>201</w:t>
      </w:r>
      <w:r>
        <w:rPr>
          <w:rFonts w:hint="eastAsia" w:ascii="微软雅黑" w:hAnsi="微软雅黑" w:eastAsia="微软雅黑" w:cs="微软雅黑"/>
          <w:color w:val="BC1010"/>
          <w:sz w:val="40"/>
          <w:szCs w:val="40"/>
          <w:shd w:val="clear" w:color="auto" w:fill="FFFFFF"/>
        </w:rPr>
        <w:t>8年决算公开</w:t>
      </w:r>
    </w:p>
    <w:p w14:paraId="44C97A13">
      <w:pPr>
        <w:pStyle w:val="5"/>
        <w:widowControl/>
        <w:spacing w:before="76" w:beforeAutospacing="0" w:after="76" w:afterAutospacing="0" w:line="450" w:lineRule="atLeast"/>
        <w:ind w:firstLine="420"/>
        <w:jc w:val="center"/>
        <w:rPr>
          <w:color w:val="333333"/>
        </w:rPr>
      </w:pPr>
      <w:r>
        <w:rPr>
          <w:rStyle w:val="9"/>
          <w:rFonts w:hint="eastAsia" w:ascii="微软雅黑" w:hAnsi="微软雅黑" w:eastAsia="微软雅黑" w:cs="微软雅黑"/>
          <w:color w:val="333333"/>
          <w:shd w:val="clear" w:color="auto" w:fill="FFFFFF"/>
        </w:rPr>
        <w:t>黄石港区磁湖街办</w:t>
      </w:r>
      <w:r>
        <w:rPr>
          <w:rStyle w:val="9"/>
          <w:rFonts w:ascii="微软雅黑" w:hAnsi="微软雅黑" w:eastAsia="微软雅黑" w:cs="微软雅黑"/>
          <w:color w:val="333333"/>
          <w:shd w:val="clear" w:color="auto" w:fill="FFFFFF"/>
        </w:rPr>
        <w:t>201</w:t>
      </w:r>
      <w:r>
        <w:rPr>
          <w:rStyle w:val="9"/>
          <w:rFonts w:hint="eastAsia" w:ascii="微软雅黑" w:hAnsi="微软雅黑" w:eastAsia="微软雅黑" w:cs="微软雅黑"/>
          <w:color w:val="333333"/>
          <w:shd w:val="clear" w:color="auto" w:fill="FFFFFF"/>
        </w:rPr>
        <w:t>8年决算公开</w:t>
      </w:r>
    </w:p>
    <w:p w14:paraId="1879B855">
      <w:pPr>
        <w:pStyle w:val="5"/>
        <w:widowControl/>
        <w:spacing w:before="76" w:beforeAutospacing="0" w:after="76" w:afterAutospacing="0" w:line="450" w:lineRule="atLeast"/>
        <w:ind w:firstLine="420"/>
        <w:jc w:val="center"/>
        <w:rPr>
          <w:color w:val="333333"/>
        </w:rPr>
      </w:pPr>
      <w:r>
        <w:rPr>
          <w:rFonts w:hint="eastAsia" w:ascii="微软雅黑" w:hAnsi="微软雅黑" w:eastAsia="微软雅黑" w:cs="微软雅黑"/>
          <w:color w:val="333333"/>
          <w:shd w:val="clear" w:color="auto" w:fill="FFFFFF"/>
        </w:rPr>
        <w:t>目</w:t>
      </w:r>
      <w:r>
        <w:rPr>
          <w:rFonts w:ascii="Microsoft YaHei Western" w:hAnsi="Microsoft YaHei Western" w:eastAsia="微软雅黑" w:cs="Microsoft YaHei Western"/>
          <w:color w:val="333333"/>
          <w:shd w:val="clear" w:color="auto" w:fill="FFFFFF"/>
        </w:rPr>
        <w:t xml:space="preserve">  </w:t>
      </w:r>
      <w:r>
        <w:rPr>
          <w:rFonts w:hint="eastAsia" w:ascii="微软雅黑" w:hAnsi="微软雅黑" w:eastAsia="微软雅黑" w:cs="微软雅黑"/>
          <w:color w:val="333333"/>
          <w:shd w:val="clear" w:color="auto" w:fill="FFFFFF"/>
        </w:rPr>
        <w:t>录</w:t>
      </w:r>
    </w:p>
    <w:p w14:paraId="4BD30C54">
      <w:pPr>
        <w:pStyle w:val="5"/>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第一部分</w:t>
      </w:r>
      <w:r>
        <w:rPr>
          <w:rFonts w:ascii="微软雅黑" w:hAnsi="微软雅黑" w:eastAsia="微软雅黑" w:cs="微软雅黑"/>
          <w:color w:val="333333"/>
          <w:shd w:val="clear" w:color="auto" w:fill="FFFFFF"/>
        </w:rPr>
        <w:t>:</w:t>
      </w:r>
      <w:r>
        <w:rPr>
          <w:rFonts w:hint="eastAsia" w:ascii="微软雅黑" w:hAnsi="微软雅黑" w:eastAsia="微软雅黑" w:cs="微软雅黑"/>
          <w:color w:val="333333"/>
          <w:shd w:val="clear" w:color="auto" w:fill="FFFFFF"/>
        </w:rPr>
        <w:t>部门基本情况</w:t>
      </w:r>
    </w:p>
    <w:p w14:paraId="04360780">
      <w:pPr>
        <w:pStyle w:val="5"/>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一、部门主要职责</w:t>
      </w:r>
    </w:p>
    <w:p w14:paraId="47B48B8F">
      <w:pPr>
        <w:pStyle w:val="5"/>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二、部门决算单位构成</w:t>
      </w:r>
    </w:p>
    <w:p w14:paraId="4133DE65">
      <w:pPr>
        <w:pStyle w:val="5"/>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第二部分</w:t>
      </w:r>
      <w:r>
        <w:rPr>
          <w:rFonts w:ascii="微软雅黑" w:hAnsi="微软雅黑" w:eastAsia="微软雅黑" w:cs="微软雅黑"/>
          <w:color w:val="333333"/>
          <w:shd w:val="clear" w:color="auto" w:fill="FFFFFF"/>
        </w:rPr>
        <w:t xml:space="preserve">: </w:t>
      </w:r>
      <w:r>
        <w:rPr>
          <w:rFonts w:hint="eastAsia" w:ascii="微软雅黑" w:hAnsi="微软雅黑" w:eastAsia="微软雅黑" w:cs="微软雅黑"/>
          <w:color w:val="333333"/>
          <w:shd w:val="clear" w:color="auto" w:fill="FFFFFF"/>
        </w:rPr>
        <w:t>部门</w:t>
      </w:r>
      <w:r>
        <w:rPr>
          <w:rFonts w:ascii="微软雅黑" w:hAnsi="微软雅黑" w:eastAsia="微软雅黑" w:cs="微软雅黑"/>
          <w:color w:val="333333"/>
          <w:shd w:val="clear" w:color="auto" w:fill="FFFFFF"/>
        </w:rPr>
        <w:t>201</w:t>
      </w:r>
      <w:r>
        <w:rPr>
          <w:rFonts w:hint="eastAsia" w:ascii="微软雅黑" w:hAnsi="微软雅黑" w:eastAsia="微软雅黑" w:cs="微软雅黑"/>
          <w:color w:val="333333"/>
          <w:shd w:val="clear" w:color="auto" w:fill="FFFFFF"/>
        </w:rPr>
        <w:t>8年部门决算表</w:t>
      </w:r>
    </w:p>
    <w:p w14:paraId="4A81A317">
      <w:pPr>
        <w:pStyle w:val="5"/>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一、收入支出决算总表（表</w:t>
      </w:r>
      <w:r>
        <w:rPr>
          <w:rFonts w:ascii="微软雅黑" w:hAnsi="微软雅黑" w:eastAsia="微软雅黑" w:cs="微软雅黑"/>
          <w:color w:val="333333"/>
          <w:shd w:val="clear" w:color="auto" w:fill="FFFFFF"/>
        </w:rPr>
        <w:t>1</w:t>
      </w:r>
      <w:r>
        <w:rPr>
          <w:rFonts w:hint="eastAsia" w:ascii="微软雅黑" w:hAnsi="微软雅黑" w:eastAsia="微软雅黑" w:cs="微软雅黑"/>
          <w:color w:val="333333"/>
          <w:shd w:val="clear" w:color="auto" w:fill="FFFFFF"/>
        </w:rPr>
        <w:t>）</w:t>
      </w:r>
    </w:p>
    <w:p w14:paraId="510CD57D">
      <w:pPr>
        <w:pStyle w:val="5"/>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二、收入决算表（表</w:t>
      </w:r>
      <w:r>
        <w:rPr>
          <w:rFonts w:ascii="微软雅黑" w:hAnsi="微软雅黑" w:eastAsia="微软雅黑" w:cs="微软雅黑"/>
          <w:color w:val="333333"/>
          <w:shd w:val="clear" w:color="auto" w:fill="FFFFFF"/>
        </w:rPr>
        <w:t>2</w:t>
      </w:r>
      <w:r>
        <w:rPr>
          <w:rFonts w:hint="eastAsia" w:ascii="微软雅黑" w:hAnsi="微软雅黑" w:eastAsia="微软雅黑" w:cs="微软雅黑"/>
          <w:color w:val="333333"/>
          <w:shd w:val="clear" w:color="auto" w:fill="FFFFFF"/>
        </w:rPr>
        <w:t>）</w:t>
      </w:r>
    </w:p>
    <w:p w14:paraId="6E1FB5AF">
      <w:pPr>
        <w:pStyle w:val="5"/>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三、支出决算表（表</w:t>
      </w:r>
      <w:r>
        <w:rPr>
          <w:rFonts w:ascii="微软雅黑" w:hAnsi="微软雅黑" w:eastAsia="微软雅黑" w:cs="微软雅黑"/>
          <w:color w:val="333333"/>
          <w:shd w:val="clear" w:color="auto" w:fill="FFFFFF"/>
        </w:rPr>
        <w:t>3</w:t>
      </w:r>
      <w:r>
        <w:rPr>
          <w:rFonts w:hint="eastAsia" w:ascii="微软雅黑" w:hAnsi="微软雅黑" w:eastAsia="微软雅黑" w:cs="微软雅黑"/>
          <w:color w:val="333333"/>
          <w:shd w:val="clear" w:color="auto" w:fill="FFFFFF"/>
        </w:rPr>
        <w:t>）</w:t>
      </w:r>
    </w:p>
    <w:p w14:paraId="7B7A5B31">
      <w:pPr>
        <w:pStyle w:val="5"/>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四、财政拨款收入支出决算总表（表</w:t>
      </w:r>
      <w:r>
        <w:rPr>
          <w:rFonts w:ascii="微软雅黑" w:hAnsi="微软雅黑" w:eastAsia="微软雅黑" w:cs="微软雅黑"/>
          <w:color w:val="333333"/>
          <w:shd w:val="clear" w:color="auto" w:fill="FFFFFF"/>
        </w:rPr>
        <w:t>4</w:t>
      </w:r>
      <w:r>
        <w:rPr>
          <w:rFonts w:hint="eastAsia" w:ascii="微软雅黑" w:hAnsi="微软雅黑" w:eastAsia="微软雅黑" w:cs="微软雅黑"/>
          <w:color w:val="333333"/>
          <w:shd w:val="clear" w:color="auto" w:fill="FFFFFF"/>
        </w:rPr>
        <w:t>）</w:t>
      </w:r>
    </w:p>
    <w:p w14:paraId="3611F047">
      <w:pPr>
        <w:pStyle w:val="5"/>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五、一般公共预算财政拨款支出决算表（表</w:t>
      </w:r>
      <w:r>
        <w:rPr>
          <w:rFonts w:ascii="微软雅黑" w:hAnsi="微软雅黑" w:eastAsia="微软雅黑" w:cs="微软雅黑"/>
          <w:color w:val="333333"/>
          <w:shd w:val="clear" w:color="auto" w:fill="FFFFFF"/>
        </w:rPr>
        <w:t>5</w:t>
      </w:r>
      <w:r>
        <w:rPr>
          <w:rFonts w:hint="eastAsia" w:ascii="微软雅黑" w:hAnsi="微软雅黑" w:eastAsia="微软雅黑" w:cs="微软雅黑"/>
          <w:color w:val="333333"/>
          <w:shd w:val="clear" w:color="auto" w:fill="FFFFFF"/>
        </w:rPr>
        <w:t>）</w:t>
      </w:r>
    </w:p>
    <w:p w14:paraId="68444C28">
      <w:pPr>
        <w:pStyle w:val="5"/>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六、一般公共预算财政拨款基本支出决算表（表</w:t>
      </w:r>
      <w:r>
        <w:rPr>
          <w:rFonts w:ascii="微软雅黑" w:hAnsi="微软雅黑" w:eastAsia="微软雅黑" w:cs="微软雅黑"/>
          <w:color w:val="333333"/>
          <w:shd w:val="clear" w:color="auto" w:fill="FFFFFF"/>
        </w:rPr>
        <w:t>6</w:t>
      </w:r>
      <w:r>
        <w:rPr>
          <w:rFonts w:hint="eastAsia" w:ascii="微软雅黑" w:hAnsi="微软雅黑" w:eastAsia="微软雅黑" w:cs="微软雅黑"/>
          <w:color w:val="333333"/>
          <w:shd w:val="clear" w:color="auto" w:fill="FFFFFF"/>
        </w:rPr>
        <w:t>）</w:t>
      </w:r>
    </w:p>
    <w:p w14:paraId="10D46B57">
      <w:pPr>
        <w:pStyle w:val="5"/>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七、一般公共预算财政拨款“三公”经费支出决算表（表</w:t>
      </w:r>
      <w:r>
        <w:rPr>
          <w:rFonts w:ascii="微软雅黑" w:hAnsi="微软雅黑" w:eastAsia="微软雅黑" w:cs="微软雅黑"/>
          <w:color w:val="333333"/>
          <w:shd w:val="clear" w:color="auto" w:fill="FFFFFF"/>
        </w:rPr>
        <w:t>7</w:t>
      </w:r>
      <w:r>
        <w:rPr>
          <w:rFonts w:hint="eastAsia" w:ascii="微软雅黑" w:hAnsi="微软雅黑" w:eastAsia="微软雅黑" w:cs="微软雅黑"/>
          <w:color w:val="333333"/>
          <w:shd w:val="clear" w:color="auto" w:fill="FFFFFF"/>
        </w:rPr>
        <w:t>）</w:t>
      </w:r>
    </w:p>
    <w:p w14:paraId="4212B0D0">
      <w:pPr>
        <w:pStyle w:val="5"/>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八、政府性基金预算财政拨款收入支出决算表（</w:t>
      </w:r>
      <w:r>
        <w:rPr>
          <w:rFonts w:ascii="微软雅黑" w:hAnsi="微软雅黑" w:eastAsia="微软雅黑" w:cs="微软雅黑"/>
          <w:color w:val="333333"/>
          <w:shd w:val="clear" w:color="auto" w:fill="FFFFFF"/>
        </w:rPr>
        <w:t>8</w:t>
      </w:r>
      <w:r>
        <w:rPr>
          <w:rFonts w:hint="eastAsia" w:ascii="微软雅黑" w:hAnsi="微软雅黑" w:eastAsia="微软雅黑" w:cs="微软雅黑"/>
          <w:color w:val="333333"/>
          <w:shd w:val="clear" w:color="auto" w:fill="FFFFFF"/>
        </w:rPr>
        <w:t>）</w:t>
      </w:r>
    </w:p>
    <w:p w14:paraId="6B925CCA">
      <w:pPr>
        <w:pStyle w:val="5"/>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第三部分：部门</w:t>
      </w:r>
      <w:r>
        <w:rPr>
          <w:rFonts w:ascii="微软雅黑" w:hAnsi="微软雅黑" w:eastAsia="微软雅黑" w:cs="微软雅黑"/>
          <w:color w:val="333333"/>
          <w:shd w:val="clear" w:color="auto" w:fill="FFFFFF"/>
        </w:rPr>
        <w:t>201</w:t>
      </w:r>
      <w:r>
        <w:rPr>
          <w:rFonts w:hint="eastAsia" w:ascii="微软雅黑" w:hAnsi="微软雅黑" w:eastAsia="微软雅黑" w:cs="微软雅黑"/>
          <w:color w:val="333333"/>
          <w:shd w:val="clear" w:color="auto" w:fill="FFFFFF"/>
        </w:rPr>
        <w:t>8年部门决算情况说明</w:t>
      </w:r>
    </w:p>
    <w:p w14:paraId="096F3983">
      <w:pPr>
        <w:pStyle w:val="5"/>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一、预算执行情况分析</w:t>
      </w:r>
    </w:p>
    <w:p w14:paraId="6C448104">
      <w:pPr>
        <w:pStyle w:val="5"/>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二、关于“三公”经费支出说明</w:t>
      </w:r>
    </w:p>
    <w:p w14:paraId="7835188A">
      <w:pPr>
        <w:pStyle w:val="5"/>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三、关于机关运行经费支出说明</w:t>
      </w:r>
    </w:p>
    <w:p w14:paraId="43C09A25">
      <w:pPr>
        <w:pStyle w:val="5"/>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四、关于政府采购支出说明</w:t>
      </w:r>
    </w:p>
    <w:p w14:paraId="21617E87">
      <w:pPr>
        <w:pStyle w:val="5"/>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五、关于国有资产占用情况说明</w:t>
      </w:r>
    </w:p>
    <w:p w14:paraId="7246C13B">
      <w:pPr>
        <w:pStyle w:val="5"/>
        <w:widowControl/>
        <w:spacing w:before="76" w:beforeAutospacing="0" w:after="76" w:afterAutospacing="0" w:line="450" w:lineRule="atLeast"/>
        <w:ind w:firstLine="420"/>
        <w:rPr>
          <w:rFonts w:hint="eastAsia" w:ascii="Microsoft YaHei Western" w:hAnsi="Microsoft YaHei Western" w:eastAsia="微软雅黑" w:cs="Microsoft YaHei Western"/>
          <w:color w:val="333333"/>
          <w:shd w:val="clear" w:color="auto" w:fill="FFFFFF"/>
        </w:rPr>
      </w:pPr>
      <w:r>
        <w:rPr>
          <w:rFonts w:hint="eastAsia" w:ascii="微软雅黑" w:hAnsi="微软雅黑" w:eastAsia="微软雅黑" w:cs="微软雅黑"/>
          <w:color w:val="333333"/>
          <w:shd w:val="clear" w:color="auto" w:fill="FFFFFF"/>
        </w:rPr>
        <w:t>第四部分：名词解释</w:t>
      </w:r>
      <w:r>
        <w:rPr>
          <w:rFonts w:ascii="Microsoft YaHei Western" w:hAnsi="Microsoft YaHei Western" w:eastAsia="微软雅黑" w:cs="Microsoft YaHei Western"/>
          <w:color w:val="333333"/>
          <w:shd w:val="clear" w:color="auto" w:fill="FFFFFF"/>
        </w:rPr>
        <w:t> </w:t>
      </w:r>
    </w:p>
    <w:p w14:paraId="3C66DB49">
      <w:pPr>
        <w:pStyle w:val="5"/>
        <w:widowControl/>
        <w:spacing w:before="76" w:beforeAutospacing="0" w:after="76" w:afterAutospacing="0" w:line="450" w:lineRule="atLeast"/>
        <w:ind w:firstLine="420"/>
        <w:rPr>
          <w:rFonts w:hint="eastAsia"/>
          <w:color w:val="333333"/>
        </w:rPr>
      </w:pPr>
    </w:p>
    <w:p w14:paraId="042814C5">
      <w:pPr>
        <w:pStyle w:val="5"/>
        <w:widowControl/>
        <w:spacing w:before="76" w:beforeAutospacing="0" w:after="76" w:afterAutospacing="0" w:line="450" w:lineRule="atLeast"/>
        <w:ind w:firstLine="420"/>
        <w:jc w:val="center"/>
        <w:rPr>
          <w:color w:val="333333"/>
        </w:rPr>
      </w:pPr>
      <w:r>
        <w:rPr>
          <w:rStyle w:val="9"/>
          <w:rFonts w:ascii="微软雅黑" w:hAnsi="微软雅黑" w:eastAsia="微软雅黑" w:cs="微软雅黑"/>
          <w:color w:val="333333"/>
          <w:shd w:val="clear" w:color="auto" w:fill="FFFFFF"/>
        </w:rPr>
        <w:t>201</w:t>
      </w:r>
      <w:r>
        <w:rPr>
          <w:rStyle w:val="9"/>
          <w:rFonts w:hint="eastAsia" w:ascii="微软雅黑" w:hAnsi="微软雅黑" w:eastAsia="微软雅黑" w:cs="微软雅黑"/>
          <w:color w:val="333333"/>
          <w:shd w:val="clear" w:color="auto" w:fill="FFFFFF"/>
        </w:rPr>
        <w:t>8年部门决算</w:t>
      </w:r>
    </w:p>
    <w:p w14:paraId="79893230">
      <w:pPr>
        <w:pStyle w:val="5"/>
        <w:widowControl/>
        <w:spacing w:before="76" w:beforeAutospacing="0" w:after="76" w:afterAutospacing="0" w:line="450" w:lineRule="atLeast"/>
        <w:ind w:firstLine="420"/>
        <w:rPr>
          <w:color w:val="333333"/>
        </w:rPr>
      </w:pPr>
      <w:r>
        <w:rPr>
          <w:rStyle w:val="9"/>
          <w:rFonts w:hint="eastAsia" w:ascii="微软雅黑" w:hAnsi="微软雅黑" w:eastAsia="微软雅黑" w:cs="微软雅黑"/>
          <w:color w:val="333333"/>
          <w:shd w:val="clear" w:color="auto" w:fill="FFFFFF"/>
        </w:rPr>
        <w:t>第一部分</w:t>
      </w:r>
      <w:r>
        <w:rPr>
          <w:rStyle w:val="9"/>
          <w:rFonts w:ascii="微软雅黑" w:hAnsi="微软雅黑" w:eastAsia="微软雅黑" w:cs="微软雅黑"/>
          <w:color w:val="333333"/>
          <w:shd w:val="clear" w:color="auto" w:fill="FFFFFF"/>
        </w:rPr>
        <w:t xml:space="preserve"> </w:t>
      </w:r>
      <w:r>
        <w:rPr>
          <w:rStyle w:val="9"/>
          <w:rFonts w:hint="eastAsia" w:ascii="微软雅黑" w:hAnsi="微软雅黑" w:eastAsia="微软雅黑" w:cs="微软雅黑"/>
          <w:color w:val="333333"/>
          <w:shd w:val="clear" w:color="auto" w:fill="FFFFFF"/>
        </w:rPr>
        <w:t>部门概况</w:t>
      </w:r>
    </w:p>
    <w:p w14:paraId="5060EF3D">
      <w:pPr>
        <w:snapToGrid w:val="0"/>
        <w:spacing w:line="520" w:lineRule="exact"/>
        <w:ind w:firstLine="560" w:firstLineChars="200"/>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（一）基本职能</w:t>
      </w:r>
    </w:p>
    <w:p w14:paraId="33DAF3E1">
      <w:pPr>
        <w:widowControl/>
        <w:shd w:val="clear" w:color="auto" w:fill="FFFFFF"/>
        <w:ind w:firstLine="560" w:firstLineChars="200"/>
        <w:jc w:val="left"/>
        <w:rPr>
          <w:rFonts w:hint="eastAsia" w:asciiTheme="minorEastAsia" w:hAnsiTheme="minorEastAsia" w:eastAsiaTheme="minorEastAsia" w:cstheme="minorEastAsia"/>
          <w:b w:val="0"/>
          <w:bCs w:val="0"/>
          <w:color w:val="333333"/>
          <w:kern w:val="0"/>
          <w:sz w:val="28"/>
          <w:szCs w:val="28"/>
        </w:rPr>
      </w:pPr>
      <w:r>
        <w:rPr>
          <w:rFonts w:hint="eastAsia" w:asciiTheme="minorEastAsia" w:hAnsiTheme="minorEastAsia" w:eastAsiaTheme="minorEastAsia" w:cstheme="minorEastAsia"/>
          <w:sz w:val="28"/>
          <w:szCs w:val="28"/>
        </w:rPr>
        <w:t>黄石市黄石港区磁湖街道办事处是黄石港区人民政府的派出机关，受区人民政府领导，依据法律、法规的规定，</w:t>
      </w:r>
      <w:r>
        <w:rPr>
          <w:rFonts w:hint="eastAsia" w:asciiTheme="minorEastAsia" w:hAnsiTheme="minorEastAsia" w:eastAsiaTheme="minorEastAsia" w:cstheme="minorEastAsia"/>
          <w:b w:val="0"/>
          <w:bCs w:val="0"/>
          <w:sz w:val="28"/>
          <w:szCs w:val="28"/>
        </w:rPr>
        <w:t>在本辖区内行使相应的政府管理职能。</w:t>
      </w:r>
    </w:p>
    <w:p w14:paraId="1FC7D3D3">
      <w:pPr>
        <w:numPr>
          <w:ilvl w:val="0"/>
          <w:numId w:val="1"/>
        </w:numPr>
        <w:snapToGrid w:val="0"/>
        <w:spacing w:line="52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机构设置</w:t>
      </w:r>
    </w:p>
    <w:p w14:paraId="0C90515C">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公共服务中心、经济服务中心、城市建设管理中心、综合办、法治办、司法所。</w:t>
      </w:r>
    </w:p>
    <w:p w14:paraId="37F795D8">
      <w:pPr>
        <w:ind w:firstLine="560" w:firstLineChars="200"/>
        <w:rPr>
          <w:rFonts w:hint="eastAsia" w:ascii="宋体" w:hAnsi="宋体" w:cs="宋体"/>
          <w:sz w:val="28"/>
          <w:szCs w:val="28"/>
        </w:rPr>
      </w:pPr>
    </w:p>
    <w:p w14:paraId="100F5F46">
      <w:pPr>
        <w:ind w:firstLine="560" w:firstLineChars="200"/>
        <w:rPr>
          <w:rFonts w:hint="eastAsia" w:ascii="宋体" w:hAnsi="宋体" w:cs="宋体"/>
          <w:sz w:val="28"/>
          <w:szCs w:val="28"/>
        </w:rPr>
      </w:pPr>
    </w:p>
    <w:p w14:paraId="33FFF178">
      <w:pPr>
        <w:ind w:firstLine="560" w:firstLineChars="200"/>
        <w:rPr>
          <w:rFonts w:hint="eastAsia" w:ascii="宋体" w:hAnsi="宋体" w:cs="宋体"/>
          <w:sz w:val="28"/>
          <w:szCs w:val="28"/>
        </w:rPr>
      </w:pPr>
    </w:p>
    <w:p w14:paraId="28457925">
      <w:pPr>
        <w:ind w:firstLine="560" w:firstLineChars="200"/>
        <w:rPr>
          <w:rFonts w:hint="eastAsia" w:ascii="宋体" w:hAnsi="宋体" w:cs="宋体"/>
          <w:sz w:val="28"/>
          <w:szCs w:val="28"/>
        </w:rPr>
      </w:pPr>
    </w:p>
    <w:p w14:paraId="40493BC0">
      <w:pPr>
        <w:ind w:firstLine="560" w:firstLineChars="200"/>
        <w:rPr>
          <w:rFonts w:hint="eastAsia" w:ascii="宋体" w:hAnsi="宋体" w:cs="宋体"/>
          <w:sz w:val="28"/>
          <w:szCs w:val="28"/>
        </w:rPr>
      </w:pPr>
    </w:p>
    <w:p w14:paraId="520CC1DD">
      <w:pPr>
        <w:ind w:firstLine="560" w:firstLineChars="200"/>
        <w:rPr>
          <w:rFonts w:hint="eastAsia" w:ascii="宋体" w:hAnsi="宋体" w:cs="宋体"/>
          <w:sz w:val="28"/>
          <w:szCs w:val="28"/>
        </w:rPr>
      </w:pPr>
    </w:p>
    <w:p w14:paraId="44FA4946">
      <w:pPr>
        <w:pStyle w:val="5"/>
        <w:widowControl/>
        <w:spacing w:before="76" w:beforeAutospacing="0" w:after="76" w:afterAutospacing="0" w:line="450" w:lineRule="atLeast"/>
        <w:ind w:firstLine="420"/>
        <w:rPr>
          <w:rFonts w:hint="eastAsia"/>
        </w:rPr>
      </w:pPr>
      <w:r>
        <w:rPr>
          <w:rStyle w:val="9"/>
          <w:rFonts w:hint="eastAsia" w:ascii="微软雅黑" w:hAnsi="微软雅黑" w:eastAsia="微软雅黑" w:cs="微软雅黑"/>
          <w:color w:val="333333"/>
          <w:shd w:val="clear" w:color="auto" w:fill="FFFFFF"/>
        </w:rPr>
        <w:t>第二部分</w:t>
      </w:r>
      <w:r>
        <w:rPr>
          <w:rStyle w:val="9"/>
          <w:rFonts w:ascii="微软雅黑" w:hAnsi="微软雅黑" w:eastAsia="微软雅黑" w:cs="微软雅黑"/>
          <w:color w:val="333333"/>
          <w:shd w:val="clear" w:color="auto" w:fill="FFFFFF"/>
        </w:rPr>
        <w:t xml:space="preserve"> 201</w:t>
      </w:r>
      <w:r>
        <w:rPr>
          <w:rStyle w:val="9"/>
          <w:rFonts w:hint="eastAsia" w:ascii="微软雅黑" w:hAnsi="微软雅黑" w:eastAsia="微软雅黑" w:cs="微软雅黑"/>
          <w:color w:val="333333"/>
          <w:shd w:val="clear" w:color="auto" w:fill="FFFFFF"/>
        </w:rPr>
        <w:t>8年部门决算表</w:t>
      </w:r>
    </w:p>
    <w:p w14:paraId="06195C18">
      <w:pPr>
        <w:pStyle w:val="5"/>
        <w:widowControl/>
        <w:spacing w:before="76" w:beforeAutospacing="0" w:after="76" w:afterAutospacing="0" w:line="450" w:lineRule="atLeast"/>
        <w:rPr>
          <w:rFonts w:hint="eastAsia"/>
        </w:rPr>
      </w:pPr>
      <w:r>
        <w:drawing>
          <wp:inline distT="0" distB="0" distL="114300" distR="114300">
            <wp:extent cx="8803640" cy="4710430"/>
            <wp:effectExtent l="0" t="0" r="16510" b="13970"/>
            <wp:docPr id="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pic:cNvPicPr>
                      <a:picLocks noChangeAspect="1"/>
                    </pic:cNvPicPr>
                  </pic:nvPicPr>
                  <pic:blipFill>
                    <a:blip r:embed="rId4"/>
                    <a:stretch>
                      <a:fillRect/>
                    </a:stretch>
                  </pic:blipFill>
                  <pic:spPr>
                    <a:xfrm>
                      <a:off x="0" y="0"/>
                      <a:ext cx="8803640" cy="4710430"/>
                    </a:xfrm>
                    <a:prstGeom prst="rect">
                      <a:avLst/>
                    </a:prstGeom>
                    <a:noFill/>
                    <a:ln>
                      <a:noFill/>
                    </a:ln>
                  </pic:spPr>
                </pic:pic>
              </a:graphicData>
            </a:graphic>
          </wp:inline>
        </w:drawing>
      </w:r>
    </w:p>
    <w:p w14:paraId="676E1AAE">
      <w:pPr>
        <w:pStyle w:val="5"/>
        <w:widowControl/>
        <w:spacing w:before="76" w:beforeAutospacing="0" w:after="76" w:afterAutospacing="0" w:line="450" w:lineRule="atLeast"/>
        <w:rPr>
          <w:rFonts w:hint="eastAsia"/>
        </w:rPr>
      </w:pPr>
      <w:r>
        <w:drawing>
          <wp:inline distT="0" distB="0" distL="114300" distR="114300">
            <wp:extent cx="8852535" cy="3361055"/>
            <wp:effectExtent l="0" t="0" r="5715" b="10795"/>
            <wp:docPr id="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1"/>
                    <pic:cNvPicPr>
                      <a:picLocks noChangeAspect="1"/>
                    </pic:cNvPicPr>
                  </pic:nvPicPr>
                  <pic:blipFill>
                    <a:blip r:embed="rId5"/>
                    <a:stretch>
                      <a:fillRect/>
                    </a:stretch>
                  </pic:blipFill>
                  <pic:spPr>
                    <a:xfrm>
                      <a:off x="0" y="0"/>
                      <a:ext cx="8852535" cy="3361055"/>
                    </a:xfrm>
                    <a:prstGeom prst="rect">
                      <a:avLst/>
                    </a:prstGeom>
                    <a:noFill/>
                    <a:ln>
                      <a:noFill/>
                    </a:ln>
                  </pic:spPr>
                </pic:pic>
              </a:graphicData>
            </a:graphic>
          </wp:inline>
        </w:drawing>
      </w:r>
    </w:p>
    <w:p w14:paraId="5E931549">
      <w:pPr>
        <w:pStyle w:val="5"/>
        <w:widowControl/>
        <w:spacing w:before="76" w:beforeAutospacing="0" w:after="76" w:afterAutospacing="0" w:line="450" w:lineRule="atLeast"/>
        <w:rPr>
          <w:rFonts w:hint="eastAsia"/>
        </w:rPr>
      </w:pPr>
    </w:p>
    <w:p w14:paraId="7DEBE88D">
      <w:pPr>
        <w:pStyle w:val="5"/>
        <w:widowControl/>
        <w:spacing w:before="76" w:beforeAutospacing="0" w:after="76" w:afterAutospacing="0" w:line="450" w:lineRule="atLeast"/>
        <w:rPr>
          <w:rFonts w:hint="eastAsia"/>
        </w:rPr>
      </w:pPr>
    </w:p>
    <w:p w14:paraId="31BCB50F">
      <w:pPr>
        <w:pStyle w:val="5"/>
        <w:widowControl/>
        <w:spacing w:before="76" w:beforeAutospacing="0" w:after="76" w:afterAutospacing="0" w:line="450" w:lineRule="atLeast"/>
        <w:rPr>
          <w:rFonts w:hint="eastAsia"/>
        </w:rPr>
      </w:pPr>
    </w:p>
    <w:p w14:paraId="28FA1B84">
      <w:pPr>
        <w:pStyle w:val="5"/>
        <w:widowControl/>
        <w:spacing w:before="76" w:beforeAutospacing="0" w:after="76" w:afterAutospacing="0" w:line="450" w:lineRule="atLeast"/>
        <w:rPr>
          <w:rFonts w:hint="eastAsia"/>
        </w:rPr>
      </w:pPr>
    </w:p>
    <w:p w14:paraId="01DD4C94">
      <w:pPr>
        <w:pStyle w:val="5"/>
        <w:widowControl/>
        <w:spacing w:before="76" w:beforeAutospacing="0" w:after="76" w:afterAutospacing="0" w:line="450" w:lineRule="atLeast"/>
        <w:rPr>
          <w:rFonts w:hint="eastAsia"/>
        </w:rPr>
      </w:pPr>
    </w:p>
    <w:p w14:paraId="32FBD4AC">
      <w:pPr>
        <w:pStyle w:val="5"/>
        <w:widowControl/>
        <w:spacing w:before="76" w:beforeAutospacing="0" w:after="76" w:afterAutospacing="0" w:line="450" w:lineRule="atLeast"/>
        <w:rPr>
          <w:rFonts w:hint="eastAsia"/>
        </w:rPr>
      </w:pPr>
      <w:r>
        <w:drawing>
          <wp:inline distT="0" distB="0" distL="114300" distR="114300">
            <wp:extent cx="8859520" cy="3759835"/>
            <wp:effectExtent l="0" t="0" r="17780" b="12065"/>
            <wp:docPr id="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2"/>
                    <pic:cNvPicPr>
                      <a:picLocks noChangeAspect="1"/>
                    </pic:cNvPicPr>
                  </pic:nvPicPr>
                  <pic:blipFill>
                    <a:blip r:embed="rId6"/>
                    <a:stretch>
                      <a:fillRect/>
                    </a:stretch>
                  </pic:blipFill>
                  <pic:spPr>
                    <a:xfrm>
                      <a:off x="0" y="0"/>
                      <a:ext cx="8859520" cy="3759835"/>
                    </a:xfrm>
                    <a:prstGeom prst="rect">
                      <a:avLst/>
                    </a:prstGeom>
                    <a:noFill/>
                    <a:ln>
                      <a:noFill/>
                    </a:ln>
                  </pic:spPr>
                </pic:pic>
              </a:graphicData>
            </a:graphic>
          </wp:inline>
        </w:drawing>
      </w:r>
    </w:p>
    <w:p w14:paraId="2F7E4726">
      <w:pPr>
        <w:pStyle w:val="5"/>
        <w:widowControl/>
        <w:spacing w:before="76" w:beforeAutospacing="0" w:after="76" w:afterAutospacing="0" w:line="450" w:lineRule="atLeast"/>
        <w:rPr>
          <w:rFonts w:hint="eastAsia"/>
        </w:rPr>
      </w:pPr>
    </w:p>
    <w:p w14:paraId="4673AD3E">
      <w:pPr>
        <w:pStyle w:val="5"/>
        <w:widowControl/>
        <w:spacing w:before="76" w:beforeAutospacing="0" w:after="76" w:afterAutospacing="0" w:line="450" w:lineRule="atLeast"/>
        <w:rPr>
          <w:rFonts w:hint="eastAsia"/>
        </w:rPr>
      </w:pPr>
    </w:p>
    <w:p w14:paraId="72776F75">
      <w:pPr>
        <w:pStyle w:val="5"/>
        <w:widowControl/>
        <w:spacing w:before="76" w:beforeAutospacing="0" w:after="76" w:afterAutospacing="0" w:line="450" w:lineRule="atLeast"/>
        <w:rPr>
          <w:rFonts w:hint="eastAsia"/>
        </w:rPr>
      </w:pPr>
    </w:p>
    <w:p w14:paraId="6CC9BE1B">
      <w:pPr>
        <w:pStyle w:val="5"/>
        <w:widowControl/>
        <w:spacing w:before="76" w:beforeAutospacing="0" w:after="76" w:afterAutospacing="0" w:line="450" w:lineRule="atLeast"/>
        <w:rPr>
          <w:rFonts w:hint="eastAsia"/>
        </w:rPr>
      </w:pPr>
      <w:r>
        <w:drawing>
          <wp:inline distT="0" distB="0" distL="114300" distR="114300">
            <wp:extent cx="8857615" cy="5682615"/>
            <wp:effectExtent l="0" t="0" r="635" b="13335"/>
            <wp:docPr id="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3"/>
                    <pic:cNvPicPr>
                      <a:picLocks noChangeAspect="1"/>
                    </pic:cNvPicPr>
                  </pic:nvPicPr>
                  <pic:blipFill>
                    <a:blip r:embed="rId7"/>
                    <a:stretch>
                      <a:fillRect/>
                    </a:stretch>
                  </pic:blipFill>
                  <pic:spPr>
                    <a:xfrm>
                      <a:off x="0" y="0"/>
                      <a:ext cx="8857615" cy="5682615"/>
                    </a:xfrm>
                    <a:prstGeom prst="rect">
                      <a:avLst/>
                    </a:prstGeom>
                    <a:noFill/>
                    <a:ln>
                      <a:noFill/>
                    </a:ln>
                  </pic:spPr>
                </pic:pic>
              </a:graphicData>
            </a:graphic>
          </wp:inline>
        </w:drawing>
      </w:r>
    </w:p>
    <w:p w14:paraId="5C95C7E6">
      <w:pPr>
        <w:pStyle w:val="5"/>
        <w:widowControl/>
        <w:spacing w:before="76" w:beforeAutospacing="0" w:after="76" w:afterAutospacing="0" w:line="450" w:lineRule="atLeast"/>
        <w:rPr>
          <w:rFonts w:hint="eastAsia"/>
        </w:rPr>
      </w:pPr>
      <w:r>
        <w:drawing>
          <wp:inline distT="0" distB="0" distL="114300" distR="114300">
            <wp:extent cx="8789035" cy="4171950"/>
            <wp:effectExtent l="0" t="0" r="12065" b="0"/>
            <wp:docPr id="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4"/>
                    <pic:cNvPicPr>
                      <a:picLocks noChangeAspect="1"/>
                    </pic:cNvPicPr>
                  </pic:nvPicPr>
                  <pic:blipFill>
                    <a:blip r:embed="rId8"/>
                    <a:stretch>
                      <a:fillRect/>
                    </a:stretch>
                  </pic:blipFill>
                  <pic:spPr>
                    <a:xfrm>
                      <a:off x="0" y="0"/>
                      <a:ext cx="8789035" cy="4171950"/>
                    </a:xfrm>
                    <a:prstGeom prst="rect">
                      <a:avLst/>
                    </a:prstGeom>
                    <a:noFill/>
                    <a:ln>
                      <a:noFill/>
                    </a:ln>
                  </pic:spPr>
                </pic:pic>
              </a:graphicData>
            </a:graphic>
          </wp:inline>
        </w:drawing>
      </w:r>
    </w:p>
    <w:p w14:paraId="4F476D5D">
      <w:pPr>
        <w:pStyle w:val="5"/>
        <w:widowControl/>
        <w:spacing w:before="76" w:beforeAutospacing="0" w:after="76" w:afterAutospacing="0" w:line="450" w:lineRule="atLeast"/>
        <w:rPr>
          <w:rFonts w:hint="eastAsia"/>
        </w:rPr>
      </w:pPr>
    </w:p>
    <w:p w14:paraId="03A8E6FA">
      <w:pPr>
        <w:pStyle w:val="5"/>
        <w:widowControl/>
        <w:spacing w:before="76" w:beforeAutospacing="0" w:after="76" w:afterAutospacing="0" w:line="450" w:lineRule="atLeast"/>
        <w:rPr>
          <w:rFonts w:hint="eastAsia"/>
        </w:rPr>
      </w:pPr>
    </w:p>
    <w:p w14:paraId="3ABE7A2E">
      <w:pPr>
        <w:pStyle w:val="5"/>
        <w:widowControl/>
        <w:spacing w:before="76" w:beforeAutospacing="0" w:after="76" w:afterAutospacing="0" w:line="450" w:lineRule="atLeast"/>
        <w:rPr>
          <w:rFonts w:hint="eastAsia"/>
        </w:rPr>
      </w:pPr>
      <w:r>
        <w:drawing>
          <wp:inline distT="0" distB="0" distL="114300" distR="114300">
            <wp:extent cx="8859520" cy="5638165"/>
            <wp:effectExtent l="0" t="0" r="17780" b="635"/>
            <wp:docPr id="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5"/>
                    <pic:cNvPicPr>
                      <a:picLocks noChangeAspect="1"/>
                    </pic:cNvPicPr>
                  </pic:nvPicPr>
                  <pic:blipFill>
                    <a:blip r:embed="rId9"/>
                    <a:stretch>
                      <a:fillRect/>
                    </a:stretch>
                  </pic:blipFill>
                  <pic:spPr>
                    <a:xfrm>
                      <a:off x="0" y="0"/>
                      <a:ext cx="8859520" cy="5638165"/>
                    </a:xfrm>
                    <a:prstGeom prst="rect">
                      <a:avLst/>
                    </a:prstGeom>
                    <a:noFill/>
                    <a:ln>
                      <a:noFill/>
                    </a:ln>
                  </pic:spPr>
                </pic:pic>
              </a:graphicData>
            </a:graphic>
          </wp:inline>
        </w:drawing>
      </w:r>
    </w:p>
    <w:p w14:paraId="17CAE6A6">
      <w:pPr>
        <w:pStyle w:val="5"/>
        <w:widowControl/>
        <w:spacing w:before="76" w:beforeAutospacing="0" w:after="76" w:afterAutospacing="0" w:line="450" w:lineRule="atLeast"/>
        <w:rPr>
          <w:rFonts w:hint="eastAsia"/>
        </w:rPr>
      </w:pPr>
      <w:r>
        <w:drawing>
          <wp:inline distT="0" distB="0" distL="114300" distR="114300">
            <wp:extent cx="8855710" cy="2303145"/>
            <wp:effectExtent l="0" t="0" r="2540" b="1905"/>
            <wp:docPr id="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6"/>
                    <pic:cNvPicPr>
                      <a:picLocks noChangeAspect="1"/>
                    </pic:cNvPicPr>
                  </pic:nvPicPr>
                  <pic:blipFill>
                    <a:blip r:embed="rId10"/>
                    <a:stretch>
                      <a:fillRect/>
                    </a:stretch>
                  </pic:blipFill>
                  <pic:spPr>
                    <a:xfrm>
                      <a:off x="0" y="0"/>
                      <a:ext cx="8855710" cy="2303145"/>
                    </a:xfrm>
                    <a:prstGeom prst="rect">
                      <a:avLst/>
                    </a:prstGeom>
                    <a:noFill/>
                    <a:ln>
                      <a:noFill/>
                    </a:ln>
                  </pic:spPr>
                </pic:pic>
              </a:graphicData>
            </a:graphic>
          </wp:inline>
        </w:drawing>
      </w:r>
    </w:p>
    <w:p w14:paraId="55840A83">
      <w:pPr>
        <w:pStyle w:val="5"/>
        <w:widowControl/>
        <w:spacing w:before="76" w:beforeAutospacing="0" w:after="76" w:afterAutospacing="0" w:line="450" w:lineRule="atLeast"/>
        <w:rPr>
          <w:rFonts w:hint="eastAsia"/>
        </w:rPr>
      </w:pPr>
      <w:r>
        <w:drawing>
          <wp:inline distT="0" distB="0" distL="114300" distR="114300">
            <wp:extent cx="8778240" cy="2705735"/>
            <wp:effectExtent l="0" t="0" r="3810" b="18415"/>
            <wp:docPr id="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7"/>
                    <pic:cNvPicPr>
                      <a:picLocks noChangeAspect="1"/>
                    </pic:cNvPicPr>
                  </pic:nvPicPr>
                  <pic:blipFill>
                    <a:blip r:embed="rId11"/>
                    <a:stretch>
                      <a:fillRect/>
                    </a:stretch>
                  </pic:blipFill>
                  <pic:spPr>
                    <a:xfrm>
                      <a:off x="0" y="0"/>
                      <a:ext cx="8778240" cy="2705735"/>
                    </a:xfrm>
                    <a:prstGeom prst="rect">
                      <a:avLst/>
                    </a:prstGeom>
                    <a:noFill/>
                    <a:ln>
                      <a:noFill/>
                    </a:ln>
                  </pic:spPr>
                </pic:pic>
              </a:graphicData>
            </a:graphic>
          </wp:inline>
        </w:drawing>
      </w:r>
    </w:p>
    <w:p w14:paraId="1C995E8F">
      <w:pPr>
        <w:pStyle w:val="5"/>
        <w:widowControl/>
        <w:spacing w:before="76" w:beforeAutospacing="0" w:after="76" w:afterAutospacing="0" w:line="450" w:lineRule="atLeast"/>
        <w:rPr>
          <w:color w:val="333333"/>
        </w:rPr>
        <w:sectPr>
          <w:pgSz w:w="16838" w:h="11906" w:orient="landscape"/>
          <w:pgMar w:top="1800" w:right="1440" w:bottom="1800" w:left="1440" w:header="851" w:footer="992" w:gutter="0"/>
          <w:cols w:space="720" w:num="1"/>
          <w:docGrid w:type="lines" w:linePitch="312" w:charSpace="0"/>
        </w:sectPr>
      </w:pPr>
    </w:p>
    <w:p w14:paraId="180FC55E">
      <w:pPr>
        <w:pStyle w:val="5"/>
        <w:widowControl/>
        <w:spacing w:before="76" w:beforeAutospacing="0" w:after="76" w:afterAutospacing="0" w:line="450" w:lineRule="atLeast"/>
        <w:rPr>
          <w:color w:val="333333"/>
        </w:rPr>
      </w:pPr>
      <w:r>
        <w:rPr>
          <w:rStyle w:val="9"/>
          <w:rFonts w:hint="eastAsia" w:ascii="微软雅黑" w:hAnsi="微软雅黑" w:eastAsia="微软雅黑" w:cs="微软雅黑"/>
          <w:color w:val="333333"/>
          <w:shd w:val="clear" w:color="auto" w:fill="FFFFFF"/>
        </w:rPr>
        <w:t>第三部分</w:t>
      </w:r>
      <w:r>
        <w:rPr>
          <w:rStyle w:val="9"/>
          <w:rFonts w:ascii="微软雅黑" w:hAnsi="微软雅黑" w:eastAsia="微软雅黑" w:cs="微软雅黑"/>
          <w:color w:val="333333"/>
          <w:shd w:val="clear" w:color="auto" w:fill="FFFFFF"/>
        </w:rPr>
        <w:t xml:space="preserve"> 201</w:t>
      </w:r>
      <w:r>
        <w:rPr>
          <w:rStyle w:val="9"/>
          <w:rFonts w:hint="eastAsia" w:ascii="微软雅黑" w:hAnsi="微软雅黑" w:eastAsia="微软雅黑" w:cs="微软雅黑"/>
          <w:color w:val="333333"/>
          <w:shd w:val="clear" w:color="auto" w:fill="FFFFFF"/>
        </w:rPr>
        <w:t>8年部门决算情况说明</w:t>
      </w:r>
    </w:p>
    <w:p w14:paraId="3F964BE9">
      <w:pPr>
        <w:widowControl/>
        <w:shd w:val="clear" w:color="auto" w:fill="FFFFFF"/>
        <w:ind w:firstLine="480"/>
        <w:jc w:val="lef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（一）预算执行情况分析</w:t>
      </w:r>
    </w:p>
    <w:p w14:paraId="5412BA09">
      <w:pPr>
        <w:widowControl/>
        <w:shd w:val="clear" w:color="auto" w:fill="FFFFFF"/>
        <w:ind w:firstLine="560" w:firstLineChars="200"/>
        <w:jc w:val="left"/>
        <w:rPr>
          <w:rFonts w:hint="eastAsia" w:ascii="宋体"/>
          <w:color w:val="FF0000"/>
          <w:sz w:val="28"/>
          <w:szCs w:val="28"/>
        </w:rPr>
      </w:pPr>
      <w:r>
        <w:rPr>
          <w:rFonts w:hint="eastAsia" w:ascii="宋体" w:hAnsi="宋体" w:cs="宋体"/>
          <w:sz w:val="28"/>
          <w:szCs w:val="28"/>
        </w:rPr>
        <w:t>截</w:t>
      </w:r>
      <w:r>
        <w:rPr>
          <w:rFonts w:hint="eastAsia" w:ascii="宋体" w:hAnsi="宋体" w:cs="宋体"/>
          <w:sz w:val="28"/>
          <w:szCs w:val="28"/>
          <w:lang w:val="en-US" w:eastAsia="zh-CN"/>
        </w:rPr>
        <w:t>至</w:t>
      </w:r>
      <w:r>
        <w:rPr>
          <w:rFonts w:ascii="宋体" w:hAnsi="宋体" w:cs="宋体"/>
          <w:sz w:val="28"/>
          <w:szCs w:val="28"/>
        </w:rPr>
        <w:t>2018</w:t>
      </w:r>
      <w:r>
        <w:rPr>
          <w:rFonts w:hint="eastAsia" w:ascii="宋体" w:hAnsi="宋体" w:cs="宋体"/>
          <w:sz w:val="28"/>
          <w:szCs w:val="28"/>
        </w:rPr>
        <w:t>年</w:t>
      </w:r>
      <w:r>
        <w:rPr>
          <w:rFonts w:ascii="宋体" w:hAnsi="宋体" w:cs="宋体"/>
          <w:sz w:val="28"/>
          <w:szCs w:val="28"/>
        </w:rPr>
        <w:t xml:space="preserve"> 12 </w:t>
      </w:r>
      <w:r>
        <w:rPr>
          <w:rFonts w:hint="eastAsia" w:ascii="宋体" w:hAnsi="宋体" w:cs="宋体"/>
          <w:sz w:val="28"/>
          <w:szCs w:val="28"/>
        </w:rPr>
        <w:t>月</w:t>
      </w:r>
      <w:r>
        <w:rPr>
          <w:rFonts w:ascii="宋体" w:hAnsi="宋体" w:cs="宋体"/>
          <w:sz w:val="28"/>
          <w:szCs w:val="28"/>
        </w:rPr>
        <w:t xml:space="preserve"> 31 </w:t>
      </w:r>
      <w:r>
        <w:rPr>
          <w:rFonts w:hint="eastAsia" w:ascii="宋体" w:hAnsi="宋体" w:cs="宋体"/>
          <w:sz w:val="28"/>
          <w:szCs w:val="28"/>
        </w:rPr>
        <w:t>日，总收入为</w:t>
      </w:r>
      <w:r>
        <w:rPr>
          <w:rFonts w:ascii="宋体" w:hAnsi="宋体" w:cs="宋体"/>
          <w:sz w:val="28"/>
          <w:szCs w:val="28"/>
        </w:rPr>
        <w:t>1803.80</w:t>
      </w:r>
      <w:r>
        <w:rPr>
          <w:rFonts w:hint="eastAsia" w:ascii="宋体" w:hAnsi="宋体" w:cs="宋体"/>
          <w:sz w:val="28"/>
          <w:szCs w:val="28"/>
        </w:rPr>
        <w:t>万元。相比</w:t>
      </w:r>
      <w:r>
        <w:rPr>
          <w:rFonts w:ascii="宋体" w:hAnsi="宋体" w:cs="宋体"/>
          <w:sz w:val="28"/>
          <w:szCs w:val="28"/>
        </w:rPr>
        <w:t xml:space="preserve"> 2017</w:t>
      </w:r>
      <w:r>
        <w:rPr>
          <w:rFonts w:hint="eastAsia" w:ascii="宋体" w:hAnsi="宋体" w:cs="宋体"/>
          <w:sz w:val="28"/>
          <w:szCs w:val="28"/>
        </w:rPr>
        <w:t>年，总收入增加305.18万元</w:t>
      </w:r>
      <w:r>
        <w:rPr>
          <w:rFonts w:ascii="宋体" w:cs="宋体"/>
          <w:sz w:val="28"/>
          <w:szCs w:val="28"/>
        </w:rPr>
        <w:t>,</w:t>
      </w:r>
      <w:r>
        <w:rPr>
          <w:rFonts w:hint="eastAsia" w:ascii="宋体" w:hAnsi="宋体" w:cs="宋体"/>
          <w:sz w:val="28"/>
          <w:szCs w:val="28"/>
        </w:rPr>
        <w:t>增加20.36</w:t>
      </w:r>
      <w:r>
        <w:rPr>
          <w:rFonts w:ascii="宋体" w:hAnsi="宋体" w:cs="宋体"/>
          <w:sz w:val="28"/>
          <w:szCs w:val="28"/>
        </w:rPr>
        <w:t>%</w:t>
      </w:r>
      <w:r>
        <w:rPr>
          <w:rFonts w:hint="eastAsia" w:ascii="宋体" w:hAnsi="宋体" w:cs="宋体"/>
          <w:sz w:val="28"/>
          <w:szCs w:val="28"/>
        </w:rPr>
        <w:t>。</w:t>
      </w:r>
      <w:r>
        <w:rPr>
          <w:rFonts w:hint="eastAsia" w:ascii="宋体" w:hAnsi="宋体" w:cs="宋体"/>
          <w:sz w:val="28"/>
          <w:szCs w:val="28"/>
          <w:lang w:eastAsia="zh-CN"/>
        </w:rPr>
        <w:t>截至</w:t>
      </w:r>
      <w:bookmarkStart w:id="0" w:name="_GoBack"/>
      <w:bookmarkEnd w:id="0"/>
      <w:r>
        <w:rPr>
          <w:rFonts w:ascii="宋体" w:hAnsi="宋体" w:cs="宋体"/>
          <w:sz w:val="28"/>
          <w:szCs w:val="28"/>
        </w:rPr>
        <w:t>201</w:t>
      </w:r>
      <w:r>
        <w:rPr>
          <w:rFonts w:hint="eastAsia" w:ascii="宋体" w:hAnsi="宋体" w:cs="宋体"/>
          <w:sz w:val="28"/>
          <w:szCs w:val="28"/>
        </w:rPr>
        <w:t>8</w:t>
      </w:r>
      <w:r>
        <w:rPr>
          <w:rFonts w:ascii="宋体" w:hAnsi="宋体" w:cs="宋体"/>
          <w:sz w:val="28"/>
          <w:szCs w:val="28"/>
        </w:rPr>
        <w:t xml:space="preserve"> </w:t>
      </w:r>
      <w:r>
        <w:rPr>
          <w:rFonts w:hint="eastAsia" w:ascii="宋体" w:hAnsi="宋体" w:cs="宋体"/>
          <w:sz w:val="28"/>
          <w:szCs w:val="28"/>
        </w:rPr>
        <w:t>年</w:t>
      </w:r>
      <w:r>
        <w:rPr>
          <w:rFonts w:ascii="宋体" w:hAnsi="宋体" w:cs="宋体"/>
          <w:sz w:val="28"/>
          <w:szCs w:val="28"/>
        </w:rPr>
        <w:t xml:space="preserve"> 12 </w:t>
      </w:r>
      <w:r>
        <w:rPr>
          <w:rFonts w:hint="eastAsia" w:ascii="宋体" w:hAnsi="宋体" w:cs="宋体"/>
          <w:sz w:val="28"/>
          <w:szCs w:val="28"/>
        </w:rPr>
        <w:t>月</w:t>
      </w:r>
      <w:r>
        <w:rPr>
          <w:rFonts w:ascii="宋体" w:hAnsi="宋体" w:cs="宋体"/>
          <w:sz w:val="28"/>
          <w:szCs w:val="28"/>
        </w:rPr>
        <w:t xml:space="preserve"> 31 </w:t>
      </w:r>
      <w:r>
        <w:rPr>
          <w:rFonts w:hint="eastAsia" w:ascii="宋体" w:hAnsi="宋体" w:cs="宋体"/>
          <w:sz w:val="28"/>
          <w:szCs w:val="28"/>
        </w:rPr>
        <w:t>日，总支出为</w:t>
      </w:r>
      <w:r>
        <w:rPr>
          <w:rFonts w:ascii="宋体" w:hAnsi="宋体" w:cs="宋体"/>
          <w:sz w:val="28"/>
          <w:szCs w:val="28"/>
        </w:rPr>
        <w:t>1</w:t>
      </w:r>
      <w:r>
        <w:rPr>
          <w:rFonts w:hint="eastAsia" w:ascii="宋体" w:hAnsi="宋体" w:cs="宋体"/>
          <w:sz w:val="28"/>
          <w:szCs w:val="28"/>
        </w:rPr>
        <w:t>803.80万元。相比</w:t>
      </w:r>
      <w:r>
        <w:rPr>
          <w:rFonts w:ascii="宋体" w:hAnsi="宋体" w:cs="宋体"/>
          <w:sz w:val="28"/>
          <w:szCs w:val="28"/>
        </w:rPr>
        <w:t xml:space="preserve"> 201</w:t>
      </w:r>
      <w:r>
        <w:rPr>
          <w:rFonts w:hint="eastAsia" w:ascii="宋体" w:hAnsi="宋体" w:cs="宋体"/>
          <w:sz w:val="28"/>
          <w:szCs w:val="28"/>
        </w:rPr>
        <w:t>7年，总支出增加305.18万元</w:t>
      </w:r>
      <w:r>
        <w:rPr>
          <w:rFonts w:ascii="宋体" w:cs="宋体"/>
          <w:sz w:val="28"/>
          <w:szCs w:val="28"/>
        </w:rPr>
        <w:t>,</w:t>
      </w:r>
      <w:r>
        <w:rPr>
          <w:rFonts w:ascii="宋体" w:hAnsi="宋体" w:cs="宋体"/>
          <w:sz w:val="28"/>
          <w:szCs w:val="28"/>
        </w:rPr>
        <w:t xml:space="preserve"> </w:t>
      </w:r>
      <w:r>
        <w:rPr>
          <w:rFonts w:hint="eastAsia" w:ascii="宋体" w:hAnsi="宋体" w:cs="宋体"/>
          <w:sz w:val="28"/>
          <w:szCs w:val="28"/>
        </w:rPr>
        <w:t>增加20.36</w:t>
      </w:r>
      <w:r>
        <w:rPr>
          <w:rFonts w:ascii="宋体" w:hAnsi="宋体" w:cs="宋体"/>
          <w:sz w:val="28"/>
          <w:szCs w:val="28"/>
        </w:rPr>
        <w:t>%</w:t>
      </w:r>
      <w:r>
        <w:rPr>
          <w:rFonts w:hint="eastAsia" w:ascii="宋体" w:hAnsi="宋体" w:cs="宋体"/>
          <w:sz w:val="28"/>
          <w:szCs w:val="28"/>
        </w:rPr>
        <w:t>。原因是</w:t>
      </w:r>
      <w:r>
        <w:rPr>
          <w:rFonts w:hint="eastAsia" w:ascii="宋体" w:hAnsi="宋体" w:cs="宋体"/>
          <w:sz w:val="28"/>
          <w:szCs w:val="28"/>
          <w:lang w:eastAsia="zh-CN"/>
        </w:rPr>
        <w:t>：</w:t>
      </w:r>
      <w:r>
        <w:rPr>
          <w:rFonts w:hint="eastAsia" w:ascii="宋体" w:hAnsi="宋体" w:cs="宋体"/>
          <w:sz w:val="28"/>
          <w:szCs w:val="28"/>
        </w:rPr>
        <w:t>1</w:t>
      </w:r>
      <w:r>
        <w:rPr>
          <w:rFonts w:hint="eastAsia" w:ascii="宋体" w:hAnsi="宋体" w:cs="宋体"/>
          <w:sz w:val="28"/>
          <w:szCs w:val="28"/>
          <w:lang w:eastAsia="zh-CN"/>
        </w:rPr>
        <w:t>、</w:t>
      </w:r>
      <w:r>
        <w:rPr>
          <w:rFonts w:hint="eastAsia" w:ascii="宋体" w:hAnsi="宋体" w:cs="宋体"/>
          <w:sz w:val="28"/>
          <w:szCs w:val="28"/>
        </w:rPr>
        <w:t>街道及社区人员经费逐年递增；2</w:t>
      </w:r>
      <w:r>
        <w:rPr>
          <w:rFonts w:hint="eastAsia" w:ascii="宋体" w:hAnsi="宋体" w:cs="宋体"/>
          <w:sz w:val="28"/>
          <w:szCs w:val="28"/>
          <w:lang w:eastAsia="zh-CN"/>
        </w:rPr>
        <w:t>、</w:t>
      </w:r>
      <w:r>
        <w:rPr>
          <w:rFonts w:hint="eastAsia" w:ascii="宋体" w:hAnsi="宋体" w:cs="宋体"/>
          <w:sz w:val="28"/>
          <w:szCs w:val="28"/>
        </w:rPr>
        <w:t>2018年全力创建文明城市，本年度</w:t>
      </w:r>
      <w:r>
        <w:rPr>
          <w:rFonts w:hint="eastAsia" w:ascii="宋体" w:hAnsi="宋体" w:cs="宋体"/>
          <w:sz w:val="28"/>
          <w:szCs w:val="28"/>
          <w:lang w:eastAsia="zh-CN"/>
        </w:rPr>
        <w:t>财政拨款</w:t>
      </w:r>
      <w:r>
        <w:rPr>
          <w:rFonts w:hint="eastAsia" w:ascii="宋体" w:hAnsi="宋体" w:cs="宋体"/>
          <w:sz w:val="28"/>
          <w:szCs w:val="28"/>
        </w:rPr>
        <w:t>新增创文专项资金，3</w:t>
      </w:r>
      <w:r>
        <w:rPr>
          <w:rFonts w:hint="eastAsia" w:ascii="宋体" w:hAnsi="宋体" w:cs="宋体"/>
          <w:sz w:val="28"/>
          <w:szCs w:val="28"/>
          <w:lang w:eastAsia="zh-CN"/>
        </w:rPr>
        <w:t>、</w:t>
      </w:r>
      <w:r>
        <w:rPr>
          <w:rFonts w:hint="eastAsia" w:ascii="宋体" w:hAnsi="宋体" w:cs="宋体"/>
          <w:sz w:val="28"/>
          <w:szCs w:val="28"/>
        </w:rPr>
        <w:t>我单位今年搬迁新址，</w:t>
      </w:r>
      <w:r>
        <w:rPr>
          <w:rFonts w:hint="eastAsia" w:ascii="宋体" w:hAnsi="宋体" w:cs="宋体"/>
          <w:sz w:val="28"/>
          <w:szCs w:val="28"/>
          <w:lang w:eastAsia="zh-CN"/>
        </w:rPr>
        <w:t>财政拨款</w:t>
      </w:r>
      <w:r>
        <w:rPr>
          <w:rFonts w:hint="eastAsia" w:ascii="宋体" w:hAnsi="宋体" w:cs="宋体"/>
          <w:sz w:val="28"/>
          <w:szCs w:val="28"/>
        </w:rPr>
        <w:t>新增房租经费30万元，4</w:t>
      </w:r>
      <w:r>
        <w:rPr>
          <w:rFonts w:hint="eastAsia" w:ascii="宋体" w:hAnsi="宋体" w:cs="宋体"/>
          <w:sz w:val="28"/>
          <w:szCs w:val="28"/>
          <w:lang w:eastAsia="zh-CN"/>
        </w:rPr>
        <w:t>、</w:t>
      </w:r>
      <w:r>
        <w:rPr>
          <w:rFonts w:hint="eastAsia" w:ascii="宋体" w:hAnsi="宋体" w:cs="宋体"/>
          <w:sz w:val="28"/>
          <w:szCs w:val="28"/>
        </w:rPr>
        <w:t>本年度新增收财政拨社区经费96万元等，所以支出超过预算。</w:t>
      </w:r>
    </w:p>
    <w:p w14:paraId="05764D95">
      <w:pPr>
        <w:widowControl/>
        <w:numPr>
          <w:ilvl w:val="0"/>
          <w:numId w:val="1"/>
        </w:numPr>
        <w:shd w:val="clear" w:color="auto" w:fill="FFFFFF"/>
        <w:ind w:left="0" w:leftChars="0" w:firstLine="562" w:firstLineChars="200"/>
        <w:jc w:val="lef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关于“三公”经费支出说明</w:t>
      </w:r>
    </w:p>
    <w:p w14:paraId="69BB6C49">
      <w:pPr>
        <w:keepNext w:val="0"/>
        <w:keepLines w:val="0"/>
        <w:pageBreakBefore w:val="0"/>
        <w:widowControl/>
        <w:numPr>
          <w:ilvl w:val="0"/>
          <w:numId w:val="0"/>
        </w:numPr>
        <w:shd w:val="clear" w:color="auto" w:fill="FFFFFF"/>
        <w:kinsoku/>
        <w:wordWrap/>
        <w:overflowPunct/>
        <w:topLinePunct w:val="0"/>
        <w:autoSpaceDE/>
        <w:autoSpaceDN/>
        <w:bidi w:val="0"/>
        <w:adjustRightInd/>
        <w:snapToGrid/>
        <w:ind w:firstLine="560" w:firstLineChars="200"/>
        <w:jc w:val="left"/>
        <w:textAlignment w:val="auto"/>
        <w:rPr>
          <w:rFonts w:ascii="宋体" w:cs="宋体"/>
          <w:sz w:val="28"/>
          <w:szCs w:val="28"/>
        </w:rPr>
      </w:pPr>
      <w:r>
        <w:rPr>
          <w:rFonts w:hint="eastAsia" w:ascii="宋体" w:hAnsi="宋体" w:cs="宋体"/>
          <w:sz w:val="28"/>
          <w:szCs w:val="28"/>
        </w:rPr>
        <w:t>我单位</w:t>
      </w:r>
      <w:r>
        <w:rPr>
          <w:rFonts w:ascii="宋体" w:hAnsi="宋体" w:cs="宋体"/>
          <w:sz w:val="28"/>
          <w:szCs w:val="28"/>
        </w:rPr>
        <w:t>201</w:t>
      </w:r>
      <w:r>
        <w:rPr>
          <w:rFonts w:hint="eastAsia" w:ascii="宋体" w:hAnsi="宋体" w:cs="宋体"/>
          <w:sz w:val="28"/>
          <w:szCs w:val="28"/>
        </w:rPr>
        <w:t>8年因公出国（境）费</w:t>
      </w:r>
      <w:r>
        <w:rPr>
          <w:rFonts w:ascii="宋体" w:cs="宋体"/>
          <w:sz w:val="28"/>
          <w:szCs w:val="28"/>
        </w:rPr>
        <w:t>0</w:t>
      </w:r>
      <w:r>
        <w:rPr>
          <w:rFonts w:hint="eastAsia" w:ascii="宋体" w:hAnsi="宋体" w:cs="宋体"/>
          <w:sz w:val="28"/>
          <w:szCs w:val="28"/>
        </w:rPr>
        <w:t>元，较</w:t>
      </w:r>
      <w:r>
        <w:rPr>
          <w:rFonts w:ascii="宋体" w:hAnsi="宋体" w:cs="宋体"/>
          <w:sz w:val="28"/>
          <w:szCs w:val="28"/>
        </w:rPr>
        <w:t>201</w:t>
      </w:r>
      <w:r>
        <w:rPr>
          <w:rFonts w:hint="eastAsia" w:ascii="宋体" w:hAnsi="宋体" w:cs="宋体"/>
          <w:sz w:val="28"/>
          <w:szCs w:val="28"/>
        </w:rPr>
        <w:t>7年决算数持平，主要原因是单位没有因公出国</w:t>
      </w:r>
      <w:r>
        <w:rPr>
          <w:rFonts w:hint="eastAsia" w:ascii="宋体" w:hAnsi="宋体" w:cs="宋体"/>
          <w:sz w:val="28"/>
          <w:szCs w:val="28"/>
          <w:lang w:eastAsia="zh-CN"/>
        </w:rPr>
        <w:t>；</w:t>
      </w:r>
      <w:r>
        <w:rPr>
          <w:rFonts w:hint="eastAsia" w:ascii="宋体" w:hAnsi="宋体"/>
          <w:sz w:val="28"/>
        </w:rPr>
        <w:t>2018年无公务用车购置及运行维护费，较2017年决算数持平，主要原因是单位无公务车辆</w:t>
      </w:r>
      <w:r>
        <w:rPr>
          <w:rFonts w:hint="eastAsia" w:ascii="宋体" w:hAnsi="宋体"/>
          <w:sz w:val="28"/>
          <w:lang w:eastAsia="zh-CN"/>
        </w:rPr>
        <w:t>；</w:t>
      </w:r>
      <w:r>
        <w:rPr>
          <w:rFonts w:hint="eastAsia" w:ascii="宋体" w:hAnsi="宋体"/>
          <w:sz w:val="28"/>
        </w:rPr>
        <w:t>2018年无公务接待费，较2017年决算数持平。主要原因是单位没有公务接待。　</w:t>
      </w:r>
      <w:r>
        <w:rPr>
          <w:rFonts w:hint="eastAsia" w:ascii="宋体" w:hAnsi="宋体" w:cs="宋体"/>
          <w:sz w:val="28"/>
          <w:szCs w:val="28"/>
        </w:rPr>
        <w:t>　</w:t>
      </w:r>
    </w:p>
    <w:p w14:paraId="09ABAC5E">
      <w:pPr>
        <w:widowControl/>
        <w:shd w:val="clear" w:color="auto" w:fill="FFFFFF"/>
        <w:ind w:firstLine="480"/>
        <w:jc w:val="lef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（三）关于机关运行经费支出说明</w:t>
      </w:r>
    </w:p>
    <w:p w14:paraId="3FAC730D">
      <w:pPr>
        <w:pStyle w:val="10"/>
        <w:rPr>
          <w:rFonts w:ascii="宋体" w:cs="Times New Roman"/>
          <w:sz w:val="28"/>
          <w:szCs w:val="28"/>
        </w:rPr>
      </w:pPr>
      <w:r>
        <w:rPr>
          <w:rFonts w:hint="eastAsia" w:ascii="宋体" w:hAnsi="宋体"/>
          <w:sz w:val="28"/>
          <w:szCs w:val="28"/>
        </w:rPr>
        <w:t>本单位</w:t>
      </w:r>
      <w:r>
        <w:rPr>
          <w:rFonts w:ascii="宋体" w:hAnsi="宋体"/>
          <w:sz w:val="28"/>
          <w:szCs w:val="28"/>
        </w:rPr>
        <w:t>2018</w:t>
      </w:r>
      <w:r>
        <w:rPr>
          <w:rFonts w:hint="eastAsia" w:ascii="宋体" w:hAnsi="宋体"/>
          <w:sz w:val="28"/>
          <w:szCs w:val="28"/>
        </w:rPr>
        <w:t>年度机关运行经费支出1336.95万元，比</w:t>
      </w:r>
      <w:r>
        <w:rPr>
          <w:rFonts w:ascii="宋体" w:hAnsi="宋体"/>
          <w:sz w:val="28"/>
          <w:szCs w:val="28"/>
        </w:rPr>
        <w:t>201</w:t>
      </w:r>
      <w:r>
        <w:rPr>
          <w:rFonts w:hint="eastAsia" w:ascii="宋体" w:hAnsi="宋体"/>
          <w:sz w:val="28"/>
          <w:szCs w:val="28"/>
        </w:rPr>
        <w:t>7年增加245.42万元，增长22.48</w:t>
      </w:r>
      <w:r>
        <w:rPr>
          <w:rFonts w:ascii="宋体" w:hAnsi="宋体"/>
          <w:sz w:val="28"/>
          <w:szCs w:val="28"/>
        </w:rPr>
        <w:t>%</w:t>
      </w:r>
      <w:r>
        <w:rPr>
          <w:rFonts w:hint="eastAsia" w:ascii="宋体" w:hAnsi="宋体"/>
          <w:sz w:val="28"/>
          <w:szCs w:val="28"/>
        </w:rPr>
        <w:t>。主要原因是：1</w:t>
      </w:r>
      <w:r>
        <w:rPr>
          <w:rFonts w:hint="eastAsia" w:ascii="宋体" w:hAnsi="宋体"/>
          <w:sz w:val="28"/>
          <w:szCs w:val="28"/>
          <w:lang w:eastAsia="zh-CN"/>
        </w:rPr>
        <w:t>、</w:t>
      </w:r>
      <w:r>
        <w:rPr>
          <w:rFonts w:hint="eastAsia" w:ascii="宋体" w:hAnsi="宋体"/>
          <w:sz w:val="28"/>
          <w:szCs w:val="28"/>
        </w:rPr>
        <w:t>社区工作人员工资本年度计入委托业务费项目核算属于公用经费，纳入机关运行经费支出，上年度计入其他工资福利支出核算，归属于人员经费，不计入机关运行经费支出； 2</w:t>
      </w:r>
      <w:r>
        <w:rPr>
          <w:rFonts w:hint="eastAsia" w:ascii="宋体" w:hAnsi="宋体"/>
          <w:sz w:val="28"/>
          <w:szCs w:val="28"/>
          <w:lang w:eastAsia="zh-CN"/>
        </w:rPr>
        <w:t>、</w:t>
      </w:r>
      <w:r>
        <w:rPr>
          <w:rFonts w:hint="eastAsia" w:ascii="宋体" w:hAnsi="宋体"/>
          <w:sz w:val="28"/>
          <w:szCs w:val="28"/>
        </w:rPr>
        <w:t>2018年全力创建文明城市，本年度</w:t>
      </w:r>
      <w:r>
        <w:rPr>
          <w:rFonts w:hint="eastAsia" w:ascii="宋体" w:hAnsi="宋体"/>
          <w:sz w:val="28"/>
          <w:szCs w:val="28"/>
          <w:lang w:eastAsia="zh-CN"/>
        </w:rPr>
        <w:t>财政拨款</w:t>
      </w:r>
      <w:r>
        <w:rPr>
          <w:rFonts w:hint="eastAsia" w:ascii="宋体" w:hAnsi="宋体"/>
          <w:sz w:val="28"/>
          <w:szCs w:val="28"/>
        </w:rPr>
        <w:t>新增创文专项资金，3</w:t>
      </w:r>
      <w:r>
        <w:rPr>
          <w:rFonts w:hint="eastAsia" w:ascii="宋体" w:hAnsi="宋体"/>
          <w:sz w:val="28"/>
          <w:szCs w:val="28"/>
          <w:lang w:eastAsia="zh-CN"/>
        </w:rPr>
        <w:t>、</w:t>
      </w:r>
      <w:r>
        <w:rPr>
          <w:rFonts w:hint="eastAsia" w:ascii="宋体" w:hAnsi="宋体"/>
          <w:sz w:val="28"/>
          <w:szCs w:val="28"/>
        </w:rPr>
        <w:t>我单位今年搬迁新址，</w:t>
      </w:r>
      <w:r>
        <w:rPr>
          <w:rFonts w:hint="eastAsia" w:ascii="宋体" w:hAnsi="宋体"/>
          <w:sz w:val="28"/>
          <w:szCs w:val="28"/>
          <w:lang w:eastAsia="zh-CN"/>
        </w:rPr>
        <w:t>财政拨款</w:t>
      </w:r>
      <w:r>
        <w:rPr>
          <w:rFonts w:hint="eastAsia" w:ascii="宋体" w:hAnsi="宋体"/>
          <w:sz w:val="28"/>
          <w:szCs w:val="28"/>
        </w:rPr>
        <w:t>新增房租经费30万元，4.本年度新增收财政拨社区经费96万元等，所以较上年有所增加。</w:t>
      </w:r>
    </w:p>
    <w:p w14:paraId="246A01E0">
      <w:pPr>
        <w:widowControl/>
        <w:shd w:val="clear" w:color="auto" w:fill="FFFFFF"/>
        <w:jc w:val="left"/>
        <w:rPr>
          <w:rFonts w:ascii="宋体" w:cs="宋体"/>
          <w:b/>
          <w:bCs/>
          <w:sz w:val="28"/>
          <w:szCs w:val="28"/>
        </w:rPr>
      </w:pPr>
      <w:r>
        <w:rPr>
          <w:rFonts w:hint="eastAsia" w:ascii="宋体" w:hAnsi="宋体" w:cs="宋体"/>
          <w:b/>
          <w:bCs/>
          <w:sz w:val="28"/>
          <w:szCs w:val="28"/>
        </w:rPr>
        <w:t>　　（四）关于政府采购支出说明</w:t>
      </w:r>
    </w:p>
    <w:p w14:paraId="7467F3A0">
      <w:pPr>
        <w:widowControl/>
        <w:shd w:val="clear" w:color="auto" w:fill="FFFFFF"/>
        <w:ind w:firstLine="480"/>
        <w:jc w:val="lef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本单位2018年度政府采购支出总额0万元，主要原因是单位没有本年度无政府采购支出。　</w:t>
      </w:r>
    </w:p>
    <w:p w14:paraId="6432CD4A">
      <w:pPr>
        <w:widowControl/>
        <w:shd w:val="clear" w:color="auto" w:fill="FFFFFF"/>
        <w:ind w:firstLine="480"/>
        <w:jc w:val="left"/>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（五）关于国有资产占用情况说明</w:t>
      </w:r>
    </w:p>
    <w:p w14:paraId="4A8C7743">
      <w:pPr>
        <w:widowControl/>
        <w:shd w:val="clear" w:color="auto" w:fill="FFFFFF"/>
        <w:ind w:firstLine="480"/>
        <w:jc w:val="left"/>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截至2018年12月31日，本部门共有车辆0辆，其中：领导干部用车0辆，一般公务用车0辆，一般执法执勤用车0辆，特种专业技术用车0辆，其他用车0辆。单位价值50万元以上通用设备0台，单价100万元以上专用设备0台。</w:t>
      </w:r>
    </w:p>
    <w:p w14:paraId="2EDA5C97">
      <w:pPr>
        <w:widowControl/>
        <w:shd w:val="clear" w:color="auto" w:fill="FFFFFF"/>
        <w:ind w:firstLine="480"/>
        <w:jc w:val="left"/>
        <w:rPr>
          <w:rFonts w:hint="eastAsia" w:asciiTheme="minorEastAsia" w:hAnsiTheme="minorEastAsia" w:eastAsiaTheme="minorEastAsia" w:cstheme="minorEastAsia"/>
          <w:b w:val="0"/>
          <w:bCs w:val="0"/>
          <w:sz w:val="28"/>
          <w:szCs w:val="28"/>
          <w:lang w:val="en-US" w:eastAsia="zh-CN"/>
        </w:rPr>
      </w:pPr>
    </w:p>
    <w:p w14:paraId="36CA7BF8">
      <w:pPr>
        <w:widowControl/>
        <w:shd w:val="clear" w:color="auto" w:fill="FFFFFF"/>
        <w:ind w:firstLine="480"/>
        <w:jc w:val="left"/>
        <w:rPr>
          <w:rFonts w:hint="eastAsia" w:asciiTheme="minorEastAsia" w:hAnsiTheme="minorEastAsia" w:eastAsiaTheme="minorEastAsia" w:cstheme="minorEastAsia"/>
          <w:b w:val="0"/>
          <w:bCs w:val="0"/>
          <w:sz w:val="28"/>
          <w:szCs w:val="28"/>
          <w:lang w:val="en-US" w:eastAsia="zh-CN"/>
        </w:rPr>
      </w:pPr>
    </w:p>
    <w:p w14:paraId="571FFC07">
      <w:pPr>
        <w:widowControl/>
        <w:shd w:val="clear" w:color="auto" w:fill="FFFFFF"/>
        <w:ind w:firstLine="480"/>
        <w:jc w:val="left"/>
        <w:rPr>
          <w:rFonts w:hint="eastAsia" w:asciiTheme="minorEastAsia" w:hAnsiTheme="minorEastAsia" w:eastAsiaTheme="minorEastAsia" w:cstheme="minorEastAsia"/>
          <w:b w:val="0"/>
          <w:bCs w:val="0"/>
          <w:sz w:val="28"/>
          <w:szCs w:val="28"/>
          <w:lang w:val="en-US" w:eastAsia="zh-CN"/>
        </w:rPr>
      </w:pPr>
    </w:p>
    <w:p w14:paraId="2B025A07">
      <w:pPr>
        <w:widowControl/>
        <w:shd w:val="clear" w:color="auto" w:fill="FFFFFF"/>
        <w:jc w:val="left"/>
        <w:rPr>
          <w:rFonts w:hint="eastAsia" w:ascii="仿宋_GB2312" w:hAnsi="仿宋" w:eastAsia="仿宋_GB2312"/>
          <w:sz w:val="32"/>
          <w:szCs w:val="32"/>
        </w:rPr>
      </w:pPr>
      <w:r>
        <w:rPr>
          <w:rFonts w:hint="eastAsia" w:ascii="仿宋_GB2312" w:hAnsi="仿宋" w:eastAsia="仿宋_GB2312"/>
          <w:sz w:val="32"/>
          <w:szCs w:val="32"/>
        </w:rPr>
        <w:t>　</w:t>
      </w:r>
    </w:p>
    <w:p w14:paraId="5592B30B">
      <w:pPr>
        <w:pStyle w:val="5"/>
        <w:widowControl/>
        <w:spacing w:before="76" w:beforeAutospacing="0" w:after="76" w:afterAutospacing="0" w:line="450" w:lineRule="atLeast"/>
        <w:ind w:firstLine="420"/>
        <w:rPr>
          <w:color w:val="333333"/>
        </w:rPr>
      </w:pPr>
      <w:r>
        <w:rPr>
          <w:rFonts w:ascii="仿宋_GB2312" w:eastAsia="仿宋_GB2312"/>
          <w:sz w:val="27"/>
          <w:szCs w:val="27"/>
        </w:rPr>
        <w:t xml:space="preserve"> </w:t>
      </w:r>
      <w:r>
        <w:rPr>
          <w:rStyle w:val="9"/>
          <w:rFonts w:hint="eastAsia" w:ascii="微软雅黑" w:hAnsi="微软雅黑" w:eastAsia="微软雅黑" w:cs="微软雅黑"/>
          <w:color w:val="333333"/>
          <w:shd w:val="clear" w:color="auto" w:fill="FFFFFF"/>
        </w:rPr>
        <w:t>第四部分</w:t>
      </w:r>
      <w:r>
        <w:rPr>
          <w:rStyle w:val="9"/>
          <w:rFonts w:ascii="微软雅黑" w:hAnsi="微软雅黑" w:eastAsia="微软雅黑" w:cs="微软雅黑"/>
          <w:color w:val="333333"/>
          <w:shd w:val="clear" w:color="auto" w:fill="FFFFFF"/>
        </w:rPr>
        <w:t xml:space="preserve"> </w:t>
      </w:r>
      <w:r>
        <w:rPr>
          <w:rStyle w:val="9"/>
          <w:rFonts w:hint="eastAsia" w:ascii="微软雅黑" w:hAnsi="微软雅黑" w:eastAsia="微软雅黑" w:cs="微软雅黑"/>
          <w:color w:val="333333"/>
          <w:shd w:val="clear" w:color="auto" w:fill="FFFFFF"/>
        </w:rPr>
        <w:t>名词解释</w:t>
      </w:r>
    </w:p>
    <w:p w14:paraId="097307FE">
      <w:pPr>
        <w:pStyle w:val="5"/>
        <w:widowControl/>
        <w:spacing w:before="76" w:beforeAutospacing="0" w:after="76" w:afterAutospacing="0" w:line="450" w:lineRule="atLeast"/>
        <w:ind w:firstLine="420"/>
        <w:rPr>
          <w:rFonts w:hint="eastAsia" w:asciiTheme="minorEastAsia" w:hAnsiTheme="minorEastAsia" w:eastAsiaTheme="minorEastAsia" w:cstheme="minorEastAsia"/>
          <w:color w:val="333333"/>
          <w:sz w:val="28"/>
          <w:szCs w:val="28"/>
        </w:rPr>
      </w:pPr>
      <w:r>
        <w:rPr>
          <w:rFonts w:hint="eastAsia" w:asciiTheme="minorEastAsia" w:hAnsiTheme="minorEastAsia" w:eastAsiaTheme="minorEastAsia" w:cstheme="minorEastAsia"/>
          <w:color w:val="333333"/>
          <w:sz w:val="28"/>
          <w:szCs w:val="28"/>
          <w:shd w:val="clear" w:color="auto" w:fill="FFFFFF"/>
        </w:rPr>
        <w:t>一、财政补助收入：指县级财政当年拨付的资金。</w:t>
      </w:r>
    </w:p>
    <w:p w14:paraId="0CFD734A">
      <w:pPr>
        <w:pStyle w:val="5"/>
        <w:widowControl/>
        <w:spacing w:before="76" w:beforeAutospacing="0" w:after="76" w:afterAutospacing="0" w:line="450" w:lineRule="atLeast"/>
        <w:ind w:firstLine="420"/>
        <w:rPr>
          <w:rFonts w:hint="eastAsia" w:asciiTheme="minorEastAsia" w:hAnsiTheme="minorEastAsia" w:eastAsiaTheme="minorEastAsia" w:cstheme="minorEastAsia"/>
          <w:color w:val="333333"/>
          <w:sz w:val="28"/>
          <w:szCs w:val="28"/>
        </w:rPr>
      </w:pPr>
      <w:r>
        <w:rPr>
          <w:rFonts w:hint="eastAsia" w:asciiTheme="minorEastAsia" w:hAnsiTheme="minorEastAsia" w:eastAsiaTheme="minorEastAsia" w:cstheme="minorEastAsia"/>
          <w:color w:val="333333"/>
          <w:sz w:val="28"/>
          <w:szCs w:val="28"/>
          <w:shd w:val="clear" w:color="auto" w:fill="FFFFFF"/>
        </w:rPr>
        <w:t>二、其他收入：指除“财政拨款收入”、“上级补助收入”、“事业收入”、“经营收入”等以外的收入。主要是存款利息收入等。</w:t>
      </w:r>
    </w:p>
    <w:p w14:paraId="52C2ED5D">
      <w:pPr>
        <w:pStyle w:val="5"/>
        <w:widowControl/>
        <w:spacing w:before="76" w:beforeAutospacing="0" w:after="76" w:afterAutospacing="0" w:line="450" w:lineRule="atLeast"/>
        <w:ind w:firstLine="420"/>
        <w:rPr>
          <w:rFonts w:hint="eastAsia" w:asciiTheme="minorEastAsia" w:hAnsiTheme="minorEastAsia" w:eastAsiaTheme="minorEastAsia" w:cstheme="minorEastAsia"/>
          <w:color w:val="333333"/>
          <w:sz w:val="28"/>
          <w:szCs w:val="28"/>
        </w:rPr>
      </w:pPr>
      <w:r>
        <w:rPr>
          <w:rFonts w:hint="eastAsia" w:asciiTheme="minorEastAsia" w:hAnsiTheme="minorEastAsia" w:eastAsiaTheme="minorEastAsia" w:cstheme="minorEastAsia"/>
          <w:color w:val="333333"/>
          <w:sz w:val="28"/>
          <w:szCs w:val="28"/>
          <w:shd w:val="clear" w:color="auto" w:fill="FFFFFF"/>
        </w:rPr>
        <w:t>三、年初结转和结余：指以前年度尚未完成、结转到本年按有关规定继续使用的资金。</w:t>
      </w:r>
    </w:p>
    <w:p w14:paraId="2DCE10A0">
      <w:pPr>
        <w:pStyle w:val="5"/>
        <w:widowControl/>
        <w:spacing w:before="76" w:beforeAutospacing="0" w:after="76" w:afterAutospacing="0" w:line="450" w:lineRule="atLeast"/>
        <w:ind w:firstLine="420"/>
        <w:rPr>
          <w:rFonts w:hint="eastAsia" w:asciiTheme="minorEastAsia" w:hAnsiTheme="minorEastAsia" w:eastAsiaTheme="minorEastAsia" w:cstheme="minorEastAsia"/>
          <w:color w:val="333333"/>
          <w:sz w:val="28"/>
          <w:szCs w:val="28"/>
        </w:rPr>
      </w:pPr>
      <w:r>
        <w:rPr>
          <w:rFonts w:hint="eastAsia" w:asciiTheme="minorEastAsia" w:hAnsiTheme="minorEastAsia" w:eastAsiaTheme="minorEastAsia" w:cstheme="minorEastAsia"/>
          <w:color w:val="333333"/>
          <w:sz w:val="28"/>
          <w:szCs w:val="28"/>
          <w:shd w:val="clear" w:color="auto" w:fill="FFFFFF"/>
        </w:rPr>
        <w:t>四、一般公共服务（类）行政运行（项）：指县行政单位及参照公务员管理事业单位用于保障机构正常运行、开展日常工作的基本支出。</w:t>
      </w:r>
    </w:p>
    <w:p w14:paraId="0AC09BC3">
      <w:pPr>
        <w:pStyle w:val="5"/>
        <w:widowControl/>
        <w:spacing w:before="76" w:beforeAutospacing="0" w:after="76" w:afterAutospacing="0" w:line="450" w:lineRule="atLeast"/>
        <w:ind w:firstLine="420"/>
        <w:rPr>
          <w:rFonts w:hint="eastAsia" w:asciiTheme="minorEastAsia" w:hAnsiTheme="minorEastAsia" w:eastAsiaTheme="minorEastAsia" w:cstheme="minorEastAsia"/>
          <w:color w:val="333333"/>
          <w:sz w:val="28"/>
          <w:szCs w:val="28"/>
        </w:rPr>
      </w:pPr>
      <w:r>
        <w:rPr>
          <w:rFonts w:hint="eastAsia" w:asciiTheme="minorEastAsia" w:hAnsiTheme="minorEastAsia" w:eastAsiaTheme="minorEastAsia" w:cstheme="minorEastAsia"/>
          <w:color w:val="333333"/>
          <w:sz w:val="28"/>
          <w:szCs w:val="28"/>
          <w:shd w:val="clear" w:color="auto" w:fill="FFFFFF"/>
        </w:rPr>
        <w:t>五、一般公共服务（类）一般行政管理事务（项）：指县行政单位及参照公务员管理事业单位用于开展立法调研、财政信息宣传、非税收入征管等未单独设置项级科目的专门性财政管理工作的项目支出。</w:t>
      </w:r>
    </w:p>
    <w:p w14:paraId="6AE272EE">
      <w:pPr>
        <w:pStyle w:val="5"/>
        <w:widowControl/>
        <w:spacing w:before="76" w:beforeAutospacing="0" w:after="76" w:afterAutospacing="0" w:line="450" w:lineRule="atLeast"/>
        <w:ind w:firstLine="420"/>
        <w:rPr>
          <w:rFonts w:hint="eastAsia" w:asciiTheme="minorEastAsia" w:hAnsiTheme="minorEastAsia" w:eastAsiaTheme="minorEastAsia" w:cstheme="minorEastAsia"/>
          <w:color w:val="333333"/>
          <w:sz w:val="28"/>
          <w:szCs w:val="28"/>
        </w:rPr>
      </w:pPr>
      <w:r>
        <w:rPr>
          <w:rFonts w:hint="eastAsia" w:asciiTheme="minorEastAsia" w:hAnsiTheme="minorEastAsia" w:eastAsiaTheme="minorEastAsia" w:cstheme="minorEastAsia"/>
          <w:color w:val="333333"/>
          <w:sz w:val="28"/>
          <w:szCs w:val="28"/>
          <w:shd w:val="clear" w:color="auto" w:fill="FFFFFF"/>
        </w:rPr>
        <w:t>六、一般公共服务（类）机关服务（项）：指县黄石港区磁湖街办服务中心为机关提供办公楼日常维修、维护等后勤保障服务的支出。</w:t>
      </w:r>
    </w:p>
    <w:p w14:paraId="7577E344">
      <w:pPr>
        <w:pStyle w:val="5"/>
        <w:widowControl/>
        <w:spacing w:before="76" w:beforeAutospacing="0" w:after="76" w:afterAutospacing="0" w:line="450" w:lineRule="atLeast"/>
        <w:ind w:firstLine="420"/>
        <w:rPr>
          <w:rFonts w:hint="eastAsia" w:asciiTheme="minorEastAsia" w:hAnsiTheme="minorEastAsia" w:eastAsiaTheme="minorEastAsia" w:cstheme="minorEastAsia"/>
          <w:color w:val="333333"/>
          <w:sz w:val="28"/>
          <w:szCs w:val="28"/>
        </w:rPr>
      </w:pPr>
      <w:r>
        <w:rPr>
          <w:rFonts w:hint="eastAsia" w:asciiTheme="minorEastAsia" w:hAnsiTheme="minorEastAsia" w:eastAsiaTheme="minorEastAsia" w:cstheme="minorEastAsia"/>
          <w:color w:val="333333"/>
          <w:sz w:val="28"/>
          <w:szCs w:val="28"/>
          <w:shd w:val="clear" w:color="auto" w:fill="FFFFFF"/>
        </w:rPr>
        <w:t>七、一般公共服务（类）其他一般公共服务支出（款）其他一般公共服务支出（项）：指黄石港区磁湖街办用于其他一般公共服务方面的支出。</w:t>
      </w:r>
    </w:p>
    <w:p w14:paraId="61BF3EEC">
      <w:pPr>
        <w:pStyle w:val="5"/>
        <w:widowControl/>
        <w:spacing w:before="76" w:beforeAutospacing="0" w:after="76" w:afterAutospacing="0" w:line="450" w:lineRule="atLeast"/>
        <w:ind w:firstLine="420"/>
        <w:rPr>
          <w:rFonts w:hint="eastAsia" w:asciiTheme="minorEastAsia" w:hAnsiTheme="minorEastAsia" w:eastAsiaTheme="minorEastAsia" w:cstheme="minorEastAsia"/>
          <w:color w:val="333333"/>
          <w:sz w:val="28"/>
          <w:szCs w:val="28"/>
        </w:rPr>
      </w:pPr>
      <w:r>
        <w:rPr>
          <w:rFonts w:hint="eastAsia" w:asciiTheme="minorEastAsia" w:hAnsiTheme="minorEastAsia" w:eastAsiaTheme="minorEastAsia" w:cstheme="minorEastAsia"/>
          <w:color w:val="333333"/>
          <w:sz w:val="28"/>
          <w:szCs w:val="28"/>
          <w:shd w:val="clear" w:color="auto" w:fill="FFFFFF"/>
        </w:rPr>
        <w:t>八、教育（类）普通教育（款）高等教育（项）：指黄石港区磁湖街办厅支持地方高校的重点发展和特色办学，组织专家对省属院校申报的建设规划和项目预算进行评审等相关工作的支出。</w:t>
      </w:r>
    </w:p>
    <w:p w14:paraId="6253615E">
      <w:pPr>
        <w:pStyle w:val="5"/>
        <w:widowControl/>
        <w:spacing w:before="76" w:beforeAutospacing="0" w:after="76" w:afterAutospacing="0" w:line="450" w:lineRule="atLeast"/>
        <w:ind w:firstLine="420"/>
        <w:rPr>
          <w:rFonts w:hint="eastAsia" w:asciiTheme="minorEastAsia" w:hAnsiTheme="minorEastAsia" w:eastAsiaTheme="minorEastAsia" w:cstheme="minorEastAsia"/>
          <w:color w:val="333333"/>
          <w:sz w:val="28"/>
          <w:szCs w:val="28"/>
        </w:rPr>
      </w:pPr>
      <w:r>
        <w:rPr>
          <w:rFonts w:hint="eastAsia" w:asciiTheme="minorEastAsia" w:hAnsiTheme="minorEastAsia" w:eastAsiaTheme="minorEastAsia" w:cstheme="minorEastAsia"/>
          <w:color w:val="333333"/>
          <w:sz w:val="28"/>
          <w:szCs w:val="28"/>
          <w:shd w:val="clear" w:color="auto" w:fill="FFFFFF"/>
        </w:rPr>
        <w:t>九、社会保障和就业(类)行政事业单位离退休（款）归口管理的行政单位离退休（项）：指黄石港区磁湖街办用于离退休人员的支出、退休人员支出，以及提供管理服务工作的离退休干部处的支出。</w:t>
      </w:r>
    </w:p>
    <w:p w14:paraId="19FAFDC6">
      <w:pPr>
        <w:pStyle w:val="5"/>
        <w:widowControl/>
        <w:spacing w:before="76" w:beforeAutospacing="0" w:after="76" w:afterAutospacing="0" w:line="450" w:lineRule="atLeast"/>
        <w:ind w:firstLine="420"/>
        <w:rPr>
          <w:rFonts w:hint="eastAsia" w:asciiTheme="minorEastAsia" w:hAnsiTheme="minorEastAsia" w:eastAsiaTheme="minorEastAsia" w:cstheme="minorEastAsia"/>
          <w:color w:val="333333"/>
          <w:sz w:val="28"/>
          <w:szCs w:val="28"/>
        </w:rPr>
      </w:pPr>
      <w:r>
        <w:rPr>
          <w:rFonts w:hint="eastAsia" w:asciiTheme="minorEastAsia" w:hAnsiTheme="minorEastAsia" w:eastAsiaTheme="minorEastAsia" w:cstheme="minorEastAsia"/>
          <w:color w:val="333333"/>
          <w:sz w:val="28"/>
          <w:szCs w:val="28"/>
          <w:shd w:val="clear" w:color="auto" w:fill="FFFFFF"/>
        </w:rPr>
        <w:t>十、社会保障和就业(类)行政事业单位离退休（款）其他行政事业单位离退休支出（项）：指黄石港区磁湖街办用于离退休方面的其他支出。</w:t>
      </w:r>
    </w:p>
    <w:p w14:paraId="7D7A9814">
      <w:pPr>
        <w:pStyle w:val="5"/>
        <w:widowControl/>
        <w:spacing w:before="76" w:beforeAutospacing="0" w:after="76" w:afterAutospacing="0" w:line="450" w:lineRule="atLeast"/>
        <w:ind w:firstLine="420"/>
        <w:rPr>
          <w:rFonts w:hint="eastAsia" w:asciiTheme="minorEastAsia" w:hAnsiTheme="minorEastAsia" w:eastAsiaTheme="minorEastAsia" w:cstheme="minorEastAsia"/>
          <w:color w:val="333333"/>
          <w:sz w:val="28"/>
          <w:szCs w:val="28"/>
        </w:rPr>
      </w:pPr>
      <w:r>
        <w:rPr>
          <w:rFonts w:hint="eastAsia" w:asciiTheme="minorEastAsia" w:hAnsiTheme="minorEastAsia" w:eastAsiaTheme="minorEastAsia" w:cstheme="minorEastAsia"/>
          <w:color w:val="333333"/>
          <w:sz w:val="28"/>
          <w:szCs w:val="28"/>
          <w:shd w:val="clear" w:color="auto" w:fill="FFFFFF"/>
        </w:rPr>
        <w:t>十一、医疗卫生与计划生育（类）医疗保障（款）行政单位医疗（项）：指黄石港区磁湖街办用于机关干部职工及离退休人员医疗方面的支出。</w:t>
      </w:r>
    </w:p>
    <w:p w14:paraId="36C3DCBB">
      <w:pPr>
        <w:pStyle w:val="5"/>
        <w:widowControl/>
        <w:spacing w:before="76" w:beforeAutospacing="0" w:after="76" w:afterAutospacing="0" w:line="450" w:lineRule="atLeast"/>
        <w:ind w:firstLine="420"/>
        <w:rPr>
          <w:rFonts w:hint="eastAsia" w:asciiTheme="minorEastAsia" w:hAnsiTheme="minorEastAsia" w:eastAsiaTheme="minorEastAsia" w:cstheme="minorEastAsia"/>
          <w:color w:val="333333"/>
          <w:sz w:val="28"/>
          <w:szCs w:val="28"/>
        </w:rPr>
      </w:pPr>
      <w:r>
        <w:rPr>
          <w:rFonts w:hint="eastAsia" w:asciiTheme="minorEastAsia" w:hAnsiTheme="minorEastAsia" w:eastAsiaTheme="minorEastAsia" w:cstheme="minorEastAsia"/>
          <w:color w:val="333333"/>
          <w:sz w:val="28"/>
          <w:szCs w:val="28"/>
          <w:shd w:val="clear" w:color="auto" w:fill="FFFFFF"/>
        </w:rPr>
        <w:t>十二、住房保障（类）住房改革支出（款）购房补贴（项）：指按照相关住房分配货币化改革的政策规定和标准，对无房和住房未达标职工发放的住房分配货币化补贴资金。</w:t>
      </w:r>
    </w:p>
    <w:p w14:paraId="01E282F3">
      <w:pPr>
        <w:pStyle w:val="5"/>
        <w:widowControl/>
        <w:spacing w:before="76" w:beforeAutospacing="0" w:after="76" w:afterAutospacing="0" w:line="450" w:lineRule="atLeast"/>
        <w:ind w:firstLine="420"/>
        <w:rPr>
          <w:rFonts w:hint="eastAsia" w:asciiTheme="minorEastAsia" w:hAnsiTheme="minorEastAsia" w:eastAsiaTheme="minorEastAsia" w:cstheme="minorEastAsia"/>
          <w:color w:val="333333"/>
          <w:sz w:val="28"/>
          <w:szCs w:val="28"/>
        </w:rPr>
      </w:pPr>
      <w:r>
        <w:rPr>
          <w:rFonts w:hint="eastAsia" w:asciiTheme="minorEastAsia" w:hAnsiTheme="minorEastAsia" w:eastAsiaTheme="minorEastAsia" w:cstheme="minorEastAsia"/>
          <w:color w:val="333333"/>
          <w:sz w:val="28"/>
          <w:szCs w:val="28"/>
          <w:shd w:val="clear" w:color="auto" w:fill="FFFFFF"/>
        </w:rPr>
        <w:t>十三、年末结转和结余：指本年度或以前年度预算安排、因客观条件发生变化无法按原计划实施，需要延迟到以后年度按有关规定继续使用的资金。</w:t>
      </w:r>
    </w:p>
    <w:p w14:paraId="1F64C28F">
      <w:pPr>
        <w:pStyle w:val="5"/>
        <w:widowControl/>
        <w:spacing w:before="76" w:beforeAutospacing="0" w:after="76" w:afterAutospacing="0" w:line="450" w:lineRule="atLeast"/>
        <w:ind w:firstLine="420"/>
        <w:rPr>
          <w:rFonts w:hint="eastAsia" w:asciiTheme="minorEastAsia" w:hAnsiTheme="minorEastAsia" w:eastAsiaTheme="minorEastAsia" w:cstheme="minorEastAsia"/>
          <w:color w:val="333333"/>
          <w:sz w:val="28"/>
          <w:szCs w:val="28"/>
        </w:rPr>
      </w:pPr>
      <w:r>
        <w:rPr>
          <w:rFonts w:hint="eastAsia" w:asciiTheme="minorEastAsia" w:hAnsiTheme="minorEastAsia" w:eastAsiaTheme="minorEastAsia" w:cstheme="minorEastAsia"/>
          <w:color w:val="333333"/>
          <w:sz w:val="28"/>
          <w:szCs w:val="28"/>
          <w:shd w:val="clear" w:color="auto" w:fill="FFFFFF"/>
        </w:rPr>
        <w:t>十四、基本支出：指为保障机构正常运转、完成日常工作任务而发生的人员支出（包括基本工资、津贴补贴等）和公用支出（包括办公费、水电费、邮电费、交通费、差旅费等）。</w:t>
      </w:r>
    </w:p>
    <w:p w14:paraId="2511E64B">
      <w:pPr>
        <w:pStyle w:val="5"/>
        <w:widowControl/>
        <w:spacing w:before="76" w:beforeAutospacing="0" w:after="76" w:afterAutospacing="0" w:line="450" w:lineRule="atLeast"/>
        <w:ind w:firstLine="420"/>
        <w:rPr>
          <w:rFonts w:hint="eastAsia" w:asciiTheme="minorEastAsia" w:hAnsiTheme="minorEastAsia" w:eastAsiaTheme="minorEastAsia" w:cstheme="minorEastAsia"/>
          <w:color w:val="333333"/>
          <w:sz w:val="28"/>
          <w:szCs w:val="28"/>
        </w:rPr>
      </w:pPr>
      <w:r>
        <w:rPr>
          <w:rFonts w:hint="eastAsia" w:asciiTheme="minorEastAsia" w:hAnsiTheme="minorEastAsia" w:eastAsiaTheme="minorEastAsia" w:cstheme="minorEastAsia"/>
          <w:color w:val="333333"/>
          <w:sz w:val="28"/>
          <w:szCs w:val="28"/>
          <w:shd w:val="clear" w:color="auto" w:fill="FFFFFF"/>
        </w:rPr>
        <w:t>十五、项目支出：指在基本支出之外为完成特定行政任务和事业发展目标所发生的支出。</w:t>
      </w:r>
    </w:p>
    <w:p w14:paraId="4D39BE7C">
      <w:pPr>
        <w:pStyle w:val="5"/>
        <w:widowControl/>
        <w:spacing w:before="76" w:beforeAutospacing="0" w:after="76" w:afterAutospacing="0" w:line="450" w:lineRule="atLeast"/>
        <w:ind w:firstLine="420"/>
        <w:rPr>
          <w:rFonts w:hint="eastAsia" w:asciiTheme="minorEastAsia" w:hAnsiTheme="minorEastAsia" w:eastAsiaTheme="minorEastAsia" w:cstheme="minorEastAsia"/>
          <w:color w:val="333333"/>
          <w:sz w:val="28"/>
          <w:szCs w:val="28"/>
        </w:rPr>
      </w:pPr>
      <w:r>
        <w:rPr>
          <w:rFonts w:hint="eastAsia" w:asciiTheme="minorEastAsia" w:hAnsiTheme="minorEastAsia" w:eastAsiaTheme="minorEastAsia" w:cstheme="minorEastAsia"/>
          <w:color w:val="333333"/>
          <w:sz w:val="28"/>
          <w:szCs w:val="28"/>
          <w:shd w:val="clear" w:color="auto" w:fill="FFFFFF"/>
        </w:rPr>
        <w:t>十六、“三公”经费：是指用财政拨款安排的因公出国（境）费、公务用车购置及运行维护费、公务接待费。</w:t>
      </w:r>
    </w:p>
    <w:p w14:paraId="6408A7A3"/>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icrosoft YaHei Western">
    <w:altName w:val="Times New Roman"/>
    <w:panose1 w:val="00000000000000000000"/>
    <w:charset w:val="00"/>
    <w:family w:val="auto"/>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9EFF16"/>
    <w:multiLevelType w:val="singleLevel"/>
    <w:tmpl w:val="9F9EFF16"/>
    <w:lvl w:ilvl="0" w:tentative="0">
      <w:start w:val="2"/>
      <w:numFmt w:val="chineseCounting"/>
      <w:suff w:val="nothing"/>
      <w:lvlText w:val="（%1）"/>
      <w:lvlJc w:val="left"/>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9C9"/>
    <w:rsid w:val="0012738B"/>
    <w:rsid w:val="00164849"/>
    <w:rsid w:val="0036317D"/>
    <w:rsid w:val="007E47FD"/>
    <w:rsid w:val="00805B13"/>
    <w:rsid w:val="009849C9"/>
    <w:rsid w:val="00AC0523"/>
    <w:rsid w:val="00EF3346"/>
    <w:rsid w:val="01956809"/>
    <w:rsid w:val="01BA2E7D"/>
    <w:rsid w:val="0664587B"/>
    <w:rsid w:val="07064C72"/>
    <w:rsid w:val="09496452"/>
    <w:rsid w:val="09FF39B4"/>
    <w:rsid w:val="0AB34DA1"/>
    <w:rsid w:val="0B821CB6"/>
    <w:rsid w:val="0F243B6C"/>
    <w:rsid w:val="0F580F62"/>
    <w:rsid w:val="10157CA5"/>
    <w:rsid w:val="11411182"/>
    <w:rsid w:val="13FA6E94"/>
    <w:rsid w:val="1D3216D7"/>
    <w:rsid w:val="219E41B4"/>
    <w:rsid w:val="22E5395A"/>
    <w:rsid w:val="25406646"/>
    <w:rsid w:val="255E033E"/>
    <w:rsid w:val="27272230"/>
    <w:rsid w:val="27390172"/>
    <w:rsid w:val="2BDF0111"/>
    <w:rsid w:val="2CCE2491"/>
    <w:rsid w:val="2DF62DBE"/>
    <w:rsid w:val="2F081AB6"/>
    <w:rsid w:val="35840005"/>
    <w:rsid w:val="3F733A40"/>
    <w:rsid w:val="401A2F36"/>
    <w:rsid w:val="408F5EDF"/>
    <w:rsid w:val="43693B26"/>
    <w:rsid w:val="44064590"/>
    <w:rsid w:val="457D21A1"/>
    <w:rsid w:val="49D83A19"/>
    <w:rsid w:val="4A187DA8"/>
    <w:rsid w:val="4CC36F4D"/>
    <w:rsid w:val="4FCC39E6"/>
    <w:rsid w:val="507C1CF5"/>
    <w:rsid w:val="53FA08DA"/>
    <w:rsid w:val="57193076"/>
    <w:rsid w:val="5B841365"/>
    <w:rsid w:val="5EF27DB1"/>
    <w:rsid w:val="602B7412"/>
    <w:rsid w:val="605D00CB"/>
    <w:rsid w:val="61773BFF"/>
    <w:rsid w:val="621B3808"/>
    <w:rsid w:val="62E26A46"/>
    <w:rsid w:val="67E4782B"/>
    <w:rsid w:val="6A5F0092"/>
    <w:rsid w:val="6FC62DF1"/>
    <w:rsid w:val="746766E2"/>
    <w:rsid w:val="74EA7B66"/>
    <w:rsid w:val="78186405"/>
    <w:rsid w:val="784C1E5B"/>
    <w:rsid w:val="796F54E7"/>
    <w:rsid w:val="7D417A4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ocked="1"/>
    <w:lsdException w:unhideWhenUsed="0" w:uiPriority="0" w:semiHidden="0" w:name="heading 2" w:locked="1"/>
    <w:lsdException w:unhideWhenUsed="0" w:uiPriority="0" w:semiHidden="0" w:name="heading 3" w:locked="1"/>
    <w:lsdException w:unhideWhenUsed="0" w:uiPriority="0" w:semiHidden="0" w:name="heading 4" w:locked="1"/>
    <w:lsdException w:qFormat="1" w:unhideWhenUsed="0" w:uiPriority="0" w:name="heading 5"/>
    <w:lsdException w:unhideWhenUsed="0" w:uiPriority="0" w:semiHidden="0" w:name="heading 6" w:locked="1"/>
    <w:lsdException w:unhideWhenUsed="0" w:uiPriority="0" w:semiHidden="0" w:name="heading 7" w:locked="1"/>
    <w:lsdException w:unhideWhenUsed="0" w:uiPriority="0" w:semiHidden="0" w:name="heading 8" w:locked="1"/>
    <w:lsdException w:unhideWhenUsed="0" w:uiPriority="0" w:semiHidden="0" w:name="heading 9" w:locked="1"/>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ocked="1"/>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ocked="1"/>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ocked="1"/>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unhideWhenUsed="0" w:uiPriority="0" w:semiHidden="0" w:name="Emphasis" w:locked="1"/>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5"/>
    <w:basedOn w:val="1"/>
    <w:next w:val="1"/>
    <w:semiHidden/>
    <w:qFormat/>
    <w:uiPriority w:val="0"/>
    <w:pPr>
      <w:spacing w:beforeAutospacing="1" w:afterAutospacing="1"/>
      <w:jc w:val="left"/>
      <w:outlineLvl w:val="4"/>
    </w:pPr>
    <w:rPr>
      <w:rFonts w:ascii="宋体" w:hAnsi="宋体"/>
      <w:b/>
      <w:kern w:val="0"/>
      <w:sz w:val="20"/>
      <w:szCs w:val="20"/>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Indent"/>
    <w:basedOn w:val="1"/>
    <w:qFormat/>
    <w:uiPriority w:val="0"/>
    <w:pPr>
      <w:spacing w:line="500" w:lineRule="exact"/>
      <w:ind w:firstLine="640" w:firstLineChars="200"/>
    </w:pPr>
    <w:rPr>
      <w:rFonts w:ascii="宋体"/>
      <w:sz w:val="32"/>
    </w:rPr>
  </w:style>
  <w:style w:type="paragraph" w:styleId="4">
    <w:name w:val="Plain Text"/>
    <w:basedOn w:val="1"/>
    <w:qFormat/>
    <w:uiPriority w:val="0"/>
    <w:rPr>
      <w:rFonts w:ascii="宋体" w:hAnsi="Courier New" w:cs="Courier New"/>
      <w:szCs w:val="21"/>
    </w:rPr>
  </w:style>
  <w:style w:type="paragraph" w:styleId="5">
    <w:name w:val="Normal (Web)"/>
    <w:basedOn w:val="1"/>
    <w:qFormat/>
    <w:uiPriority w:val="0"/>
    <w:pPr>
      <w:spacing w:beforeAutospacing="1" w:afterAutospacing="1"/>
      <w:jc w:val="left"/>
    </w:pPr>
    <w:rPr>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rFonts w:cs="Times New Roman"/>
      <w:b/>
    </w:rPr>
  </w:style>
  <w:style w:type="paragraph" w:customStyle="1" w:styleId="10">
    <w:name w:val="正文缩进 + 首行缩进:  2 字符"/>
    <w:basedOn w:val="1"/>
    <w:qFormat/>
    <w:uiPriority w:val="0"/>
    <w:pPr>
      <w:spacing w:line="560" w:lineRule="exact"/>
      <w:ind w:firstLine="640"/>
    </w:pPr>
    <w:rPr>
      <w:rFonts w:ascii="仿宋" w:hAnsi="仿宋" w:cs="宋体"/>
      <w:sz w:val="32"/>
      <w:szCs w:val="32"/>
    </w:rPr>
  </w:style>
  <w:style w:type="paragraph" w:customStyle="1" w:styleId="11">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
    <w:name w:val="pa-1"/>
    <w:basedOn w:val="1"/>
    <w:qFormat/>
    <w:uiPriority w:val="0"/>
    <w:pPr>
      <w:widowControl/>
      <w:spacing w:before="100" w:beforeAutospacing="1" w:after="100" w:afterAutospacing="1"/>
      <w:jc w:val="left"/>
    </w:pPr>
    <w:rPr>
      <w:rFonts w:ascii="宋体" w:hAnsi="宋体" w:cs="宋体"/>
      <w:kern w:val="0"/>
      <w:sz w:val="24"/>
    </w:rPr>
  </w:style>
  <w:style w:type="character" w:customStyle="1" w:styleId="13">
    <w:name w:val="ca-2"/>
    <w:basedOn w:val="8"/>
    <w:qFormat/>
    <w:uiPriority w:val="0"/>
    <w:rPr>
      <w:rFonts w:cs="Times New Roman"/>
    </w:rPr>
  </w:style>
  <w:style w:type="character" w:customStyle="1" w:styleId="14">
    <w:name w:val="apple-converted-space"/>
    <w:basedOn w:val="8"/>
    <w:qFormat/>
    <w:uiPriority w:val="0"/>
    <w:rPr>
      <w:rFonts w:cs="Times New Roman"/>
    </w:rPr>
  </w:style>
  <w:style w:type="character" w:customStyle="1" w:styleId="15">
    <w:name w:val="ca-3"/>
    <w:basedOn w:val="8"/>
    <w:qFormat/>
    <w:uiPriority w:val="0"/>
    <w:rPr>
      <w:rFonts w:cs="Times New Roman"/>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Template>
  <Company>微软中国</Company>
  <Pages>15</Pages>
  <Words>2144</Words>
  <Characters>2275</Characters>
  <Lines>17</Lines>
  <Paragraphs>4</Paragraphs>
  <TotalTime>14</TotalTime>
  <ScaleCrop>false</ScaleCrop>
  <LinksUpToDate>false</LinksUpToDate>
  <CharactersWithSpaces>2304</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2019-09-12T07:09:00Z</dcterms:created>
  <dc:creator>gg</dc:creator>
  <cp:lastModifiedBy>.</cp:lastModifiedBy>
  <dcterms:modified xsi:type="dcterms:W3CDTF">2026-09-09T06:33:31Z</dcterms:modified>
  <dc:title>磁湖街办2017年决算公开</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KSOTemplateDocerSaveRecord">
    <vt:lpwstr>eyJoZGlkIjoiZjIyMGRlNjkwMTc4Y2VkZjQxNGJmY2E1MjgyZDNhYTIiLCJ1c2VySWQiOiIxODk5MDg5MjMifQ==</vt:lpwstr>
  </property>
  <property fmtid="{D5CDD505-2E9C-101B-9397-08002B2CF9AE}" pid="4" name="ICV">
    <vt:lpwstr>1BD0243C98C5469F852262CA9251A849_13</vt:lpwstr>
  </property>
</Properties>
</file>