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水利湖泊局2020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水利湖泊局2020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黄石港区水利和湖泊局贯彻落实党中央关于水利和湖泊、“三农”工作的方针政策和决策部署，落实区委工作要求，在履行职责过程中坚持和加强党对水利和湖泊、“三农”工作的集中统一领导。主要职责是：</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负责《中华人民共和国水法》、《中华人民共和国水土保持法》、《中华人民共和国防洪法》等法律法规的组织实施和监督检查，推进全区水利行业依法行政工作。</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保障水资源的合理开发利用，贯彻执行国家法律法规，起草水利方面的规范性文件并组织实施。指导水资源保护工作，指导开展水资源有偿使用工作，实施水资源的统一监督管理。组织实施最严格水资源管理制度、取水许可、水资源论证和防洪论证制度。</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指导水利设施、水域及其岸线的管理、保护和综合利用。指导区内重要湖泊的治理、开发和保护。依法负责水利行业安全生产工作，指导监督水利工程建设与运行管理，指导监督工程安全运行，参与组织工程验收有关工作。</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负责依法开展水土行政执法工作，负责水土保持工作，拟订水土保持规划并监督实施。</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组织编制水旱灾害防治规划和防护标准并指导实施。承担水情旱情监测预警工作。负责江河和水利工程的防御洪水抗御旱灾运行及应急水量调度。承担防御洪水应急抢险的技术支撑工作。</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负责全区水源调度、水土流失监测、水利工程建设、管理、执法等。</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负责全区农业投资项目、农业综合开发项目。</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发布相关农产品质量安全状况信息，负责本地农产品质量安全，对生产环节农产品质量安全监测监督管理，农业技术的引进、创新、试验、示范与推广应用，农业环境管理执法，农资市场监管。</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组织、监督辖区动物防疫、检疫及动物卫生监督执法等工作，发布动物疫情并组织扑灭。</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发布农业灾情，提出农业生产救灾物质、资金的安排建议，指导紧急救灾和灾后生产恢复。指导农业机械发展和农机安全监理。</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负责区域内的林业生态规划建设、林业产业指导与管理、野生动植物保护、森林病虫害防治和森林资源保护。</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完成上级交办的其他任务。</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黄石港区水利和湖泊局核定行政编制2名，核定领导职数1</w:t>
      </w:r>
    </w:p>
    <w:p>
      <w:pPr>
        <w:widowControl/>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正1副。设局长1名，副局长1名。</w:t>
      </w:r>
    </w:p>
    <w:p>
      <w:pPr>
        <w:widowControl/>
        <w:rPr>
          <w:color w:val="000000"/>
          <w:kern w:val="0"/>
          <w:sz w:val="28"/>
          <w:szCs w:val="28"/>
        </w:rPr>
      </w:pPr>
      <w:r>
        <w:rPr>
          <w:rFonts w:hint="eastAsia" w:ascii="仿宋_GB2312" w:hAnsi="仿宋_GB2312" w:eastAsia="仿宋_GB2312" w:cs="仿宋_GB2312"/>
          <w:sz w:val="32"/>
          <w:szCs w:val="32"/>
        </w:rPr>
        <w:t>黄石港区水利和湖泊局所属事业单位（黄石港区农业农村和林业水利湖泊综合服务中心(挂大众山森林公园管理服务中心牌子)），为区水利和湖泊局所属相当副科级事业单位。核定事业编制数5名，职数1正1副。</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水利湖泊局2020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829105</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829105</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829105</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829105</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213</w:t>
            </w:r>
          </w:p>
        </w:tc>
        <w:tc>
          <w:tcPr>
            <w:tcW w:w="1988" w:type="dxa"/>
            <w:vAlign w:val="center"/>
          </w:tcPr>
          <w:p>
            <w:pPr>
              <w:widowControl/>
              <w:ind w:firstLine="420" w:firstLineChars="200"/>
              <w:jc w:val="left"/>
            </w:pPr>
            <w:r>
              <w:rPr>
                <w:rFonts w:hint="eastAsia"/>
                <w:lang w:eastAsia="zh-CN"/>
              </w:rPr>
              <w:t>农林水</w:t>
            </w:r>
            <w:r>
              <w:rPr>
                <w:rFonts w:hint="eastAsia"/>
              </w:rPr>
              <w:t>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035" w:type="dxa"/>
            <w:vAlign w:val="center"/>
          </w:tcPr>
          <w:p>
            <w:pPr>
              <w:widowControl/>
              <w:jc w:val="center"/>
            </w:pPr>
            <w:r>
              <w:rPr>
                <w:rFonts w:hint="eastAsia" w:ascii="宋体" w:hAnsi="宋体" w:cs="宋体"/>
                <w:kern w:val="0"/>
                <w:sz w:val="24"/>
                <w:lang w:val="en-US" w:eastAsia="zh-CN"/>
              </w:rPr>
              <w:t>829105</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201</w:t>
            </w:r>
            <w:r>
              <w:rPr>
                <w:rFonts w:hint="eastAsia" w:ascii="宋体" w:hAnsi="宋体" w:cs="宋体"/>
                <w:kern w:val="0"/>
                <w:sz w:val="24"/>
                <w:lang w:val="en-US" w:eastAsia="zh-CN"/>
              </w:rPr>
              <w:t>03</w:t>
            </w:r>
          </w:p>
        </w:tc>
        <w:tc>
          <w:tcPr>
            <w:tcW w:w="1988" w:type="dxa"/>
            <w:vAlign w:val="center"/>
          </w:tcPr>
          <w:p>
            <w:pPr>
              <w:widowControl/>
              <w:ind w:firstLine="600" w:firstLineChars="250"/>
              <w:jc w:val="left"/>
              <w:rPr>
                <w:rFonts w:hint="eastAsia" w:eastAsia="宋体"/>
                <w:lang w:eastAsia="zh-CN"/>
              </w:rPr>
            </w:pPr>
            <w:r>
              <w:rPr>
                <w:rFonts w:hint="eastAsia" w:ascii="宋体" w:hAnsi="宋体" w:cs="宋体"/>
                <w:kern w:val="0"/>
                <w:sz w:val="24"/>
                <w:lang w:eastAsia="zh-CN"/>
              </w:rPr>
              <w:t>水利</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035" w:type="dxa"/>
            <w:vAlign w:val="center"/>
          </w:tcPr>
          <w:p>
            <w:pPr>
              <w:widowControl/>
              <w:jc w:val="center"/>
            </w:pPr>
            <w:r>
              <w:rPr>
                <w:rFonts w:hint="eastAsia" w:ascii="宋体" w:hAnsi="宋体" w:cs="宋体"/>
                <w:kern w:val="0"/>
                <w:sz w:val="24"/>
                <w:lang w:val="en-US" w:eastAsia="zh-CN"/>
              </w:rPr>
              <w:t>829105</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30301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829105</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829105</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829105</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213</w:t>
            </w:r>
          </w:p>
        </w:tc>
        <w:tc>
          <w:tcPr>
            <w:tcW w:w="2100" w:type="dxa"/>
            <w:vAlign w:val="center"/>
          </w:tcPr>
          <w:p>
            <w:pPr>
              <w:widowControl/>
              <w:ind w:firstLine="420" w:firstLineChars="200"/>
              <w:jc w:val="left"/>
            </w:pPr>
            <w:r>
              <w:rPr>
                <w:rFonts w:hint="eastAsia"/>
                <w:lang w:eastAsia="zh-CN"/>
              </w:rPr>
              <w:t>农林水</w:t>
            </w:r>
            <w:r>
              <w:rPr>
                <w:rFonts w:hint="eastAsia"/>
              </w:rPr>
              <w:t>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829105</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w:t>
            </w:r>
            <w:r>
              <w:rPr>
                <w:rFonts w:hint="eastAsia" w:ascii="宋体" w:hAnsi="宋体" w:cs="宋体"/>
                <w:kern w:val="0"/>
                <w:sz w:val="24"/>
                <w:lang w:val="en-US" w:eastAsia="zh-CN"/>
              </w:rPr>
              <w:t>03</w:t>
            </w:r>
          </w:p>
        </w:tc>
        <w:tc>
          <w:tcPr>
            <w:tcW w:w="2100" w:type="dxa"/>
            <w:vAlign w:val="center"/>
          </w:tcPr>
          <w:p>
            <w:pPr>
              <w:widowControl/>
              <w:ind w:firstLine="600" w:firstLineChars="250"/>
              <w:jc w:val="left"/>
            </w:pPr>
            <w:r>
              <w:rPr>
                <w:rFonts w:hint="eastAsia" w:ascii="宋体" w:hAnsi="宋体" w:cs="宋体"/>
                <w:kern w:val="0"/>
                <w:sz w:val="24"/>
                <w:lang w:eastAsia="zh-CN"/>
              </w:rPr>
              <w:t>水利</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829105</w:t>
            </w:r>
          </w:p>
        </w:tc>
        <w:tc>
          <w:tcPr>
            <w:tcW w:w="1815" w:type="dxa"/>
            <w:vAlign w:val="center"/>
          </w:tcPr>
          <w:p>
            <w:pPr>
              <w:widowControl/>
              <w:jc w:val="center"/>
            </w:pPr>
            <w:r>
              <w:rPr>
                <w:rFonts w:hint="eastAsia" w:ascii="宋体" w:hAnsi="宋体" w:cs="宋体"/>
                <w:kern w:val="0"/>
                <w:sz w:val="24"/>
                <w:lang w:val="en-US" w:eastAsia="zh-CN"/>
              </w:rPr>
              <w:t>829105</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829105</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829105</w:t>
            </w: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黄石港区水利湖泊局2020年一般公共预算基本支出表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770217</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699070</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71147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699070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699070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287636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287636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176658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176658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6852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6852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172209</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172209</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55715</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55715</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71147</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71147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4900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7140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7140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10420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6964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6964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18566</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11607</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11607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47280</w:t>
            </w:r>
            <w:r>
              <w:rPr>
                <w:rStyle w:val="16"/>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47280</w:t>
            </w:r>
            <w:r>
              <w:rPr>
                <w:rStyle w:val="16"/>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829105</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699070</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71147</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829105</w:t>
      </w:r>
      <w:r>
        <w:rPr>
          <w:rFonts w:hint="eastAsia" w:ascii="宋体" w:hAnsi="宋体" w:cs="宋体"/>
          <w:kern w:val="0"/>
          <w:sz w:val="28"/>
          <w:szCs w:val="28"/>
        </w:rPr>
        <w:t>元，</w:t>
      </w:r>
      <w:r>
        <w:rPr>
          <w:rFonts w:hint="eastAsia" w:ascii="宋体" w:hAnsi="宋体" w:cs="宋体"/>
          <w:kern w:val="0"/>
          <w:sz w:val="28"/>
          <w:szCs w:val="28"/>
          <w:lang w:eastAsia="zh-CN"/>
        </w:rPr>
        <w:t>为新成立单位，</w:t>
      </w:r>
      <w:r>
        <w:rPr>
          <w:rFonts w:hint="eastAsia" w:ascii="宋体" w:hAnsi="宋体" w:cs="宋体"/>
          <w:kern w:val="0"/>
          <w:sz w:val="28"/>
          <w:szCs w:val="28"/>
          <w:lang w:val="en-US" w:eastAsia="zh-CN"/>
        </w:rPr>
        <w:t>2019年无预算。</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水利湖泊局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16918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118428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7140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10420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47280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18480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464294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6964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928300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18566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464294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11607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hint="eastAsia" w:ascii="宋体" w:eastAsia="宋体" w:cs="宋体"/>
          <w:sz w:val="28"/>
          <w:szCs w:val="28"/>
          <w:lang w:eastAsia="zh-CN"/>
        </w:rPr>
      </w:pPr>
      <w:r>
        <w:rPr>
          <w:rFonts w:hint="eastAsia" w:ascii="宋体" w:hAnsi="宋体" w:cs="宋体"/>
          <w:sz w:val="28"/>
          <w:szCs w:val="28"/>
          <w:lang w:eastAsia="zh-CN"/>
        </w:rPr>
        <w:t>2020</w:t>
      </w:r>
      <w:r>
        <w:rPr>
          <w:rFonts w:hint="eastAsia" w:ascii="宋体" w:hAnsi="宋体" w:cs="宋体"/>
          <w:sz w:val="28"/>
          <w:szCs w:val="28"/>
        </w:rPr>
        <w:t>年“三公”经费预算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kern w:val="0"/>
          <w:sz w:val="28"/>
          <w:szCs w:val="28"/>
          <w:lang w:eastAsia="zh-CN"/>
        </w:rPr>
        <w:t>为新成立单位，不另外新增三公经费预算，</w:t>
      </w:r>
      <w:r>
        <w:rPr>
          <w:rFonts w:hint="eastAsia" w:ascii="宋体" w:hAnsi="宋体" w:cs="宋体"/>
          <w:kern w:val="0"/>
          <w:sz w:val="28"/>
          <w:szCs w:val="28"/>
          <w:lang w:val="en-US" w:eastAsia="zh-CN"/>
        </w:rPr>
        <w:t>2019年无预算。</w:t>
      </w:r>
    </w:p>
    <w:p>
      <w:pPr>
        <w:pStyle w:val="5"/>
        <w:widowControl/>
        <w:numPr>
          <w:ilvl w:val="0"/>
          <w:numId w:val="3"/>
        </w:numPr>
        <w:spacing w:before="0" w:beforeAutospacing="0" w:after="0" w:afterAutospacing="0" w:line="360" w:lineRule="auto"/>
        <w:rPr>
          <w:rFonts w:ascii="宋体" w:hAnsi="宋体" w:cs="宋体"/>
          <w:b/>
          <w:sz w:val="28"/>
          <w:szCs w:val="28"/>
        </w:rPr>
      </w:pPr>
      <w:bookmarkStart w:id="0" w:name="_GoBack"/>
      <w:bookmarkEnd w:id="0"/>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3"/>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abstractNum w:abstractNumId="2">
    <w:nsid w:val="521C4207"/>
    <w:multiLevelType w:val="singleLevel"/>
    <w:tmpl w:val="521C4207"/>
    <w:lvl w:ilvl="0" w:tentative="0">
      <w:start w:val="1"/>
      <w:numFmt w:val="decimal"/>
      <w:suff w:val="nothing"/>
      <w:lvlText w:val="（%1）"/>
      <w:lvlJc w:val="left"/>
      <w:pPr>
        <w:ind w:left="32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15E37A96"/>
    <w:rsid w:val="1AFC74FE"/>
    <w:rsid w:val="2F19674A"/>
    <w:rsid w:val="2F27749E"/>
    <w:rsid w:val="38AA0644"/>
    <w:rsid w:val="3BDF56E7"/>
    <w:rsid w:val="4A05300F"/>
    <w:rsid w:val="4D197FEC"/>
    <w:rsid w:val="55403DF7"/>
    <w:rsid w:val="5CE446B3"/>
    <w:rsid w:val="5FAA5B11"/>
    <w:rsid w:val="6D65780E"/>
    <w:rsid w:val="6D807C9F"/>
    <w:rsid w:val="6F4E3673"/>
    <w:rsid w:val="7148621F"/>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991</Words>
  <Characters>5655</Characters>
  <Lines>47</Lines>
  <Paragraphs>13</Paragraphs>
  <TotalTime>0</TotalTime>
  <ScaleCrop>false</ScaleCrop>
  <LinksUpToDate>false</LinksUpToDate>
  <CharactersWithSpaces>6633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gg</cp:lastModifiedBy>
  <cp:lastPrinted>2019-10-24T08:46:00Z</cp:lastPrinted>
  <dcterms:modified xsi:type="dcterms:W3CDTF">2021-05-26T07:00:22Z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61AF223B971C4925A0D81BC72BC82359</vt:lpwstr>
  </property>
</Properties>
</file>