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黄石港区水利和湖泊局2019年</w:t>
      </w:r>
      <w:r>
        <w:rPr>
          <w:rFonts w:hint="eastAsia" w:ascii="微软雅黑" w:hAnsi="微软雅黑" w:eastAsia="微软雅黑" w:cs="微软雅黑"/>
          <w:b/>
          <w:i w:val="0"/>
          <w:caps w:val="0"/>
          <w:color w:val="BC1010"/>
          <w:spacing w:val="0"/>
          <w:sz w:val="40"/>
          <w:szCs w:val="40"/>
          <w:shd w:val="clear" w:fill="FFFFFF"/>
        </w:rPr>
        <w:t>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黄石港区水利和湖泊局2019年</w:t>
      </w:r>
      <w:r>
        <w:rPr>
          <w:rStyle w:val="7"/>
          <w:rFonts w:hint="eastAsia" w:ascii="微软雅黑" w:hAnsi="微软雅黑" w:eastAsia="微软雅黑" w:cs="微软雅黑"/>
          <w:i w:val="0"/>
          <w:caps w:val="0"/>
          <w:color w:val="333333"/>
          <w:spacing w:val="0"/>
          <w:sz w:val="24"/>
          <w:szCs w:val="24"/>
          <w:shd w:val="clear" w:fill="FFFFFF"/>
        </w:rPr>
        <w:t>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第一部分:部门基本情况</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一、部门主要职责</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二、部门决算单位构成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第二部分: 部门</w:t>
      </w:r>
      <w:r>
        <w:rPr>
          <w:rFonts w:hint="eastAsia" w:ascii="微软雅黑" w:hAnsi="微软雅黑" w:eastAsia="微软雅黑" w:cs="微软雅黑"/>
          <w:b w:val="0"/>
          <w:i w:val="0"/>
          <w:caps w:val="0"/>
          <w:color w:val="333333"/>
          <w:spacing w:val="0"/>
          <w:sz w:val="24"/>
          <w:szCs w:val="24"/>
          <w:shd w:val="clear" w:color="090000" w:fill="FFFFFF"/>
          <w:lang w:eastAsia="zh-CN"/>
        </w:rPr>
        <w:t>2019年</w:t>
      </w:r>
      <w:r>
        <w:rPr>
          <w:rFonts w:hint="eastAsia" w:ascii="微软雅黑" w:hAnsi="微软雅黑" w:eastAsia="微软雅黑" w:cs="微软雅黑"/>
          <w:b w:val="0"/>
          <w:i w:val="0"/>
          <w:caps w:val="0"/>
          <w:color w:val="333333"/>
          <w:spacing w:val="0"/>
          <w:sz w:val="24"/>
          <w:szCs w:val="24"/>
          <w:shd w:val="clear" w:color="090000" w:fill="FFFFFF"/>
        </w:rPr>
        <w:t>部门决算表</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一、收入支出决算总表（表1）</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二、收入决算表（表2）</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三、支出决算表（表3）</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四、财政拨款收入支出决算总表（表4）</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五、一般公共预算财政拨款支出决算表（表5）</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六、一般公共预算财政拨款基本支出决算表（表6）</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七、一般公共预算财政拨款“三公”经费支出决算表（表7）</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第三部分：部门</w:t>
      </w:r>
      <w:r>
        <w:rPr>
          <w:rFonts w:hint="eastAsia" w:ascii="微软雅黑" w:hAnsi="微软雅黑" w:eastAsia="微软雅黑" w:cs="微软雅黑"/>
          <w:b w:val="0"/>
          <w:i w:val="0"/>
          <w:caps w:val="0"/>
          <w:color w:val="333333"/>
          <w:spacing w:val="0"/>
          <w:sz w:val="24"/>
          <w:szCs w:val="24"/>
          <w:shd w:val="clear" w:color="090000" w:fill="FFFFFF"/>
          <w:lang w:eastAsia="zh-CN"/>
        </w:rPr>
        <w:t>2019年</w:t>
      </w:r>
      <w:r>
        <w:rPr>
          <w:rFonts w:hint="eastAsia" w:ascii="微软雅黑" w:hAnsi="微软雅黑" w:eastAsia="微软雅黑" w:cs="微软雅黑"/>
          <w:b w:val="0"/>
          <w:i w:val="0"/>
          <w:caps w:val="0"/>
          <w:color w:val="333333"/>
          <w:spacing w:val="0"/>
          <w:sz w:val="24"/>
          <w:szCs w:val="24"/>
          <w:shd w:val="clear" w:color="090000" w:fill="FFFFFF"/>
        </w:rPr>
        <w:t>部门决算情况说明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二、</w:t>
      </w:r>
      <w:r>
        <w:rPr>
          <w:rFonts w:hint="eastAsia" w:ascii="微软雅黑" w:hAnsi="微软雅黑" w:eastAsia="微软雅黑" w:cs="微软雅黑"/>
          <w:b w:val="0"/>
          <w:i w:val="0"/>
          <w:caps w:val="0"/>
          <w:color w:val="333333"/>
          <w:spacing w:val="0"/>
          <w:sz w:val="24"/>
          <w:szCs w:val="24"/>
          <w:shd w:val="clear" w:color="080000" w:fill="FFFFFF"/>
        </w:rPr>
        <w:t>关于“三公”经费支出说明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三、</w:t>
      </w:r>
      <w:r>
        <w:rPr>
          <w:rFonts w:hint="eastAsia" w:ascii="微软雅黑" w:hAnsi="微软雅黑" w:eastAsia="微软雅黑" w:cs="微软雅黑"/>
          <w:b w:val="0"/>
          <w:i w:val="0"/>
          <w:caps w:val="0"/>
          <w:color w:val="333333"/>
          <w:spacing w:val="0"/>
          <w:sz w:val="24"/>
          <w:szCs w:val="24"/>
          <w:shd w:val="clear" w:color="080000" w:fill="FFFFFF"/>
        </w:rPr>
        <w:t>关于机关运行经费支出说明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四</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关于政府采购支出说明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五</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关于国有资产占用情况说明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第四部分：名词解释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7"/>
          <w:rFonts w:hint="eastAsia" w:ascii="微软雅黑" w:hAnsi="微软雅黑" w:eastAsia="微软雅黑" w:cs="微软雅黑"/>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7"/>
          <w:rFonts w:hint="eastAsia" w:ascii="微软雅黑" w:hAnsi="微软雅黑" w:eastAsia="微软雅黑" w:cs="微软雅黑"/>
          <w:i w:val="0"/>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2019年</w:t>
      </w:r>
      <w:r>
        <w:rPr>
          <w:rStyle w:val="7"/>
          <w:rFonts w:hint="eastAsia" w:ascii="微软雅黑" w:hAnsi="微软雅黑" w:eastAsia="微软雅黑" w:cs="微软雅黑"/>
          <w:i w:val="0"/>
          <w:caps w:val="0"/>
          <w:color w:val="333333"/>
          <w:spacing w:val="0"/>
          <w:sz w:val="24"/>
          <w:szCs w:val="24"/>
          <w:shd w:val="clear" w:fill="FFFFFF"/>
        </w:rPr>
        <w:t>部门决算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第一部分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shd w:val="clear" w:fill="FFFFFF"/>
        </w:rPr>
        <w:t>部门概况</w:t>
      </w:r>
    </w:p>
    <w:p>
      <w:pPr>
        <w:spacing w:line="560" w:lineRule="exact"/>
        <w:ind w:firstLine="562" w:firstLineChars="200"/>
        <w:rPr>
          <w:rFonts w:hint="eastAsia" w:asciiTheme="minorEastAsia" w:hAnsiTheme="minorEastAsia" w:eastAsiaTheme="minorEastAsia" w:cstheme="minorEastAsia"/>
          <w:b/>
          <w:bCs/>
          <w:i w:val="0"/>
          <w:caps w:val="0"/>
          <w:color w:val="000000"/>
          <w:spacing w:val="0"/>
          <w:sz w:val="28"/>
          <w:szCs w:val="28"/>
          <w:shd w:val="clear" w:color="auto" w:fill="auto"/>
        </w:rPr>
      </w:pPr>
      <w:r>
        <w:rPr>
          <w:rFonts w:hint="eastAsia" w:asciiTheme="minorEastAsia" w:hAnsiTheme="minorEastAsia" w:eastAsiaTheme="minorEastAsia" w:cstheme="minorEastAsia"/>
          <w:b/>
          <w:bCs/>
          <w:i w:val="0"/>
          <w:caps w:val="0"/>
          <w:color w:val="000000"/>
          <w:spacing w:val="0"/>
          <w:sz w:val="28"/>
          <w:szCs w:val="28"/>
          <w:shd w:val="clear" w:color="auto" w:fill="auto"/>
        </w:rPr>
        <w:t>（一）主要职责</w:t>
      </w:r>
    </w:p>
    <w:p>
      <w:pPr>
        <w:rPr>
          <w:rFonts w:ascii="仿宋_GB2312" w:hAnsi="仿宋_GB2312" w:eastAsia="仿宋_GB2312" w:cs="仿宋_GB2312"/>
          <w:sz w:val="28"/>
          <w:szCs w:val="28"/>
        </w:rPr>
      </w:pPr>
      <w:r>
        <w:rPr>
          <w:rFonts w:hint="eastAsia" w:asciiTheme="minorEastAsia" w:hAnsiTheme="minorEastAsia" w:eastAsiaTheme="minorEastAsia" w:cstheme="minorEastAsia"/>
          <w:b w:val="0"/>
          <w:i w:val="0"/>
          <w:caps w:val="0"/>
          <w:color w:val="000000"/>
          <w:spacing w:val="0"/>
          <w:sz w:val="28"/>
          <w:szCs w:val="28"/>
          <w:shd w:val="clear" w:color="auto" w:fill="auto"/>
        </w:rPr>
        <w:t xml:space="preserve"> </w:t>
      </w:r>
      <w:r>
        <w:rPr>
          <w:rFonts w:hint="eastAsia" w:asciiTheme="minorEastAsia" w:hAnsiTheme="minorEastAsia" w:cstheme="minorEastAsia"/>
          <w:b w:val="0"/>
          <w:i w:val="0"/>
          <w:caps w:val="0"/>
          <w:color w:val="000000"/>
          <w:spacing w:val="0"/>
          <w:sz w:val="28"/>
          <w:szCs w:val="28"/>
          <w:shd w:val="clear" w:color="auto" w:fill="auto"/>
          <w:lang w:val="en-US" w:eastAsia="zh-CN"/>
        </w:rPr>
        <w:t xml:space="preserve">    </w:t>
      </w:r>
      <w:r>
        <w:rPr>
          <w:rFonts w:hint="eastAsia" w:ascii="仿宋_GB2312" w:hAnsi="仿宋_GB2312" w:eastAsia="仿宋_GB2312" w:cs="仿宋_GB2312"/>
          <w:sz w:val="28"/>
          <w:szCs w:val="28"/>
        </w:rPr>
        <w:t>黄石港区水利和湖泊局贯彻落实党中央关于水利和湖泊、“三农”工作的方针政策和决策部署，落实区委工作要求，在履行职责过程中坚持和加强党对水利和湖泊、“三农”工作的集中统一领导。主要职责是：</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负责《中华人民共和国水法》、《中华人民共和国水土保持法》、《中华人民共和国防洪法》等法律法规的组织实施和监督检查，推进全区水利行业依法行政工作。</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负责保障水资源的合理开发利用，贯彻执行国家法律法规，起草水利方面的规范性文件并组织实施。指导水资源保护工作，指导开展水资源有偿使用工作，实施水资源的统一监督管理。组织实施最严格水资源管理制度、取水许可、水资源论证和防洪论证制度。</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指导水利设施、水域及其岸线的管理、保护和综合利用。指导区内重要湖泊的治理、开发和保护。依法负责水利行业安全生产工作，指导监督水利工程建设与运行管理，指导监督工程安全运行，参与组织工程验收有关工作。</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负责依法开展水土行政执法工作，负责水土保持工作，拟订水土保持规划并监督实施。</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贯彻落实中央和省、市、区关于推行河湖长制的精神，负责全面推行河湖长制的组织实施、综合协调、检查督办和日常考核。落实区总河湖长及副总河湖长确定的事项，协调区直有关部门开展河湖长制相关工作。</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组织编制水旱灾害防治规划和防护标准并指导实施。承担水情旱情监测预警工作。负责江河和水利工程的防御洪水抗御旱灾运行及应急水量调度。承担防御洪水应急抢险的技术支撑工作。</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负责全区水源调度、水土流失监测、水利工程建设、管理、执法等。</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贯彻落实上级关于农业和农村工作的方针、政策，拟定农业和农村经济发展政策、中长期发展规划，并指导实施。贯彻执行农业产业政策，引导农业产业结构调整，农业资源的有效配置和产品品质的改善。</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提出深化农村经济体制改革和稳定完善农村基本经营制度的政策建议。指导、扶持农业社会化服务体系，农村合作化经营组织，农民专业合作社和农产品行业协会的建设与发展。</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负责全区农业投资项目、农业综合开发项目。</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发布相关农产品质量安全状况信息，负责本地农产品质量安全，对生产环节农产品质量安全监测监督管理，农业技术的引进、创新、试验、示范与推广应用，农业环境管理执法，农资市场监管。</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组织、监督辖区动物防疫、检疫及动物卫生监督执法等工作，发布动物疫情并组织扑灭。</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发布农业灾情，提出农业生产救灾物质、资金的安排建议，指导紧急救灾和灾后生产恢复。指导农业机械发展和农机安全监理。</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负责区域内的林业生态规划建设、林业产业指导与管理、野生动植物保护、森林病虫害防治和森林资源保护。</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完成上级交办的其他任务。</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职能转变:将原区建设管理局的农林水利管理职责，以及原湖北大众山森林公园管理处的森林保护、水利水土保持、原区发展改革物价局的农业投资项目、区财政局的农业综合开发项目等管理职责整合，划入区水利和湖泊局。</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有关职责分工:</w:t>
      </w:r>
    </w:p>
    <w:p>
      <w:pPr>
        <w:numPr>
          <w:ilvl w:val="0"/>
          <w:numId w:val="2"/>
        </w:numPr>
        <w:ind w:left="3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与市场监督管理局的职责分工。区农业农村局负责食用农产品从种植养殖环节到进入批发、零售市场或者生产加工企业前的质量安全监督管理。食用农产品进入批发、零售市场或者生产加工企业后，由区市场监督管理局监督管理。农业农村局负责动植物疫病防控、畜禽屠宰环节、 生鲜乳收购环节质量安全的监督管理。两部门要建立食品安全产地准出、市场准入和追溯机制，加强协调配合和工作街接，形成监管合力。</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2. 与应急管理局的职责分工。区水利和湖泊局主要承担水利工程的运行和调度，突出强化洪水的预测预报和预警工作，应急管理局主要承担发生水旱灾害后的应急抢险和应急避险，转移受灾群众。两部门要加强协调协作，统一步伐，合力抗洪。</w:t>
      </w:r>
    </w:p>
    <w:p>
      <w:pPr>
        <w:spacing w:line="560" w:lineRule="exact"/>
        <w:ind w:firstLine="562" w:firstLineChars="200"/>
        <w:rPr>
          <w:rFonts w:hint="eastAsia" w:asciiTheme="minorEastAsia" w:hAnsiTheme="minorEastAsia" w:eastAsiaTheme="minorEastAsia" w:cstheme="minorEastAsia"/>
          <w:b/>
          <w:bCs/>
          <w:i w:val="0"/>
          <w:caps w:val="0"/>
          <w:color w:val="000000"/>
          <w:spacing w:val="0"/>
          <w:sz w:val="28"/>
          <w:szCs w:val="28"/>
          <w:shd w:val="clear" w:color="auto" w:fill="auto"/>
          <w:lang w:eastAsia="zh-CN"/>
        </w:rPr>
      </w:pPr>
      <w:r>
        <w:rPr>
          <w:rFonts w:hint="eastAsia" w:asciiTheme="minorEastAsia" w:hAnsiTheme="minorEastAsia" w:eastAsiaTheme="minorEastAsia" w:cstheme="minorEastAsia"/>
          <w:b/>
          <w:bCs/>
          <w:i w:val="0"/>
          <w:caps w:val="0"/>
          <w:color w:val="000000"/>
          <w:spacing w:val="0"/>
          <w:sz w:val="28"/>
          <w:szCs w:val="28"/>
          <w:shd w:val="clear" w:color="auto" w:fill="auto"/>
        </w:rPr>
        <w:t>（</w:t>
      </w:r>
      <w:r>
        <w:rPr>
          <w:rFonts w:hint="eastAsia" w:asciiTheme="minorEastAsia" w:hAnsiTheme="minorEastAsia" w:cstheme="minorEastAsia"/>
          <w:b/>
          <w:bCs/>
          <w:i w:val="0"/>
          <w:caps w:val="0"/>
          <w:color w:val="000000"/>
          <w:spacing w:val="0"/>
          <w:sz w:val="28"/>
          <w:szCs w:val="28"/>
          <w:shd w:val="clear" w:color="auto" w:fill="auto"/>
          <w:lang w:eastAsia="zh-CN"/>
        </w:rPr>
        <w:t>二</w:t>
      </w:r>
      <w:r>
        <w:rPr>
          <w:rFonts w:hint="eastAsia" w:asciiTheme="minorEastAsia" w:hAnsiTheme="minorEastAsia" w:eastAsiaTheme="minorEastAsia" w:cstheme="minorEastAsia"/>
          <w:b/>
          <w:bCs/>
          <w:i w:val="0"/>
          <w:caps w:val="0"/>
          <w:color w:val="000000"/>
          <w:spacing w:val="0"/>
          <w:sz w:val="28"/>
          <w:szCs w:val="28"/>
          <w:shd w:val="clear" w:color="auto" w:fill="auto"/>
        </w:rPr>
        <w:t>）</w:t>
      </w:r>
      <w:r>
        <w:rPr>
          <w:rFonts w:hint="eastAsia" w:asciiTheme="minorEastAsia" w:hAnsiTheme="minorEastAsia" w:cstheme="minorEastAsia"/>
          <w:b/>
          <w:bCs/>
          <w:i w:val="0"/>
          <w:caps w:val="0"/>
          <w:color w:val="000000"/>
          <w:spacing w:val="0"/>
          <w:sz w:val="28"/>
          <w:szCs w:val="28"/>
          <w:shd w:val="clear" w:color="auto" w:fill="auto"/>
          <w:lang w:eastAsia="zh-CN"/>
        </w:rPr>
        <w:t>机构情况</w:t>
      </w:r>
    </w:p>
    <w:p>
      <w:pPr>
        <w:widowControl/>
        <w:ind w:firstLine="556" w:firstLineChars="196"/>
        <w:rPr>
          <w:rFonts w:hint="eastAsia" w:ascii="宋体" w:hAnsi="宋体"/>
          <w:color w:val="000000"/>
          <w:spacing w:val="2"/>
          <w:sz w:val="28"/>
          <w:szCs w:val="28"/>
          <w:lang w:eastAsia="zh-CN"/>
        </w:rPr>
      </w:pPr>
      <w:r>
        <w:rPr>
          <w:rFonts w:hint="eastAsia" w:ascii="宋体" w:hAnsi="宋体"/>
          <w:color w:val="000000"/>
          <w:spacing w:val="2"/>
          <w:sz w:val="28"/>
          <w:szCs w:val="28"/>
          <w:lang w:eastAsia="zh-CN"/>
        </w:rPr>
        <w:t>黄石港区水利和湖泊局组作为区政府工作部门，为正科级。区委农村工作领导小组办公室设在区水利和湖泊局，接受区委农村工作领导小组的直接指导，承担区委农村工作领导小组具体工作，组织推动和检查督办、协调督促有关方面落实区委农村工作领导小组决定事项、工作部署和工作要求。</w:t>
      </w:r>
    </w:p>
    <w:p>
      <w:pPr>
        <w:widowControl/>
        <w:ind w:firstLine="556" w:firstLineChars="196"/>
        <w:rPr>
          <w:rFonts w:hint="eastAsia" w:ascii="宋体" w:hAnsi="宋体"/>
          <w:color w:val="000000"/>
          <w:spacing w:val="2"/>
          <w:sz w:val="28"/>
          <w:szCs w:val="28"/>
          <w:lang w:eastAsia="zh-CN"/>
        </w:rPr>
      </w:pPr>
      <w:r>
        <w:rPr>
          <w:rFonts w:hint="eastAsia" w:ascii="宋体" w:hAnsi="宋体"/>
          <w:color w:val="000000"/>
          <w:spacing w:val="2"/>
          <w:sz w:val="28"/>
          <w:szCs w:val="28"/>
          <w:lang w:eastAsia="zh-CN"/>
        </w:rPr>
        <w:t>（三）人员情况</w:t>
      </w:r>
    </w:p>
    <w:p>
      <w:pPr>
        <w:widowControl/>
        <w:ind w:firstLine="556" w:firstLineChars="196"/>
        <w:rPr>
          <w:rFonts w:hint="eastAsia" w:ascii="宋体" w:hAnsi="宋体"/>
          <w:color w:val="000000"/>
          <w:spacing w:val="2"/>
          <w:sz w:val="28"/>
          <w:szCs w:val="28"/>
          <w:lang w:eastAsia="zh-CN"/>
        </w:rPr>
      </w:pPr>
      <w:r>
        <w:rPr>
          <w:rFonts w:hint="eastAsia" w:ascii="宋体" w:hAnsi="宋体"/>
          <w:color w:val="000000"/>
          <w:spacing w:val="2"/>
          <w:sz w:val="28"/>
          <w:szCs w:val="28"/>
          <w:lang w:eastAsia="zh-CN"/>
        </w:rPr>
        <w:t>黄石港区水利和湖泊局核定行政编制 2名，核定领导职数1正1副。设局长1名，副局长1名。</w:t>
      </w:r>
    </w:p>
    <w:p>
      <w:pPr>
        <w:widowControl/>
        <w:ind w:firstLine="556" w:firstLineChars="196"/>
        <w:rPr>
          <w:rFonts w:hint="eastAsia" w:ascii="宋体" w:hAnsi="宋体"/>
          <w:color w:val="000000"/>
          <w:spacing w:val="2"/>
          <w:sz w:val="28"/>
          <w:szCs w:val="28"/>
          <w:lang w:eastAsia="zh-CN"/>
        </w:rPr>
      </w:pPr>
      <w:r>
        <w:rPr>
          <w:rFonts w:hint="eastAsia" w:ascii="宋体" w:hAnsi="宋体"/>
          <w:color w:val="000000"/>
          <w:spacing w:val="2"/>
          <w:sz w:val="28"/>
          <w:szCs w:val="28"/>
          <w:lang w:eastAsia="zh-CN"/>
        </w:rPr>
        <w:t>黄石港区水利和湖泊局所属事业单位（黄石港区农业农村和林业水利湖泊综合服务中心(挂大众山森林公园管理服务中心牌子)），为区水利和湖泊局所属相当副科级事业单位。核</w:t>
      </w:r>
    </w:p>
    <w:p>
      <w:pPr>
        <w:widowControl/>
        <w:ind w:firstLine="556" w:firstLineChars="196"/>
        <w:rPr>
          <w:rFonts w:hint="eastAsia" w:ascii="宋体" w:hAnsi="宋体"/>
          <w:color w:val="000000"/>
          <w:spacing w:val="2"/>
          <w:sz w:val="28"/>
          <w:szCs w:val="28"/>
          <w:lang w:eastAsia="zh-CN"/>
        </w:rPr>
      </w:pPr>
      <w:r>
        <w:rPr>
          <w:rFonts w:hint="eastAsia" w:ascii="宋体" w:hAnsi="宋体"/>
          <w:color w:val="000000"/>
          <w:spacing w:val="2"/>
          <w:sz w:val="28"/>
          <w:szCs w:val="28"/>
          <w:lang w:eastAsia="zh-CN"/>
        </w:rPr>
        <w:t>定事业编制数5名，职数1正1副。</w:t>
      </w:r>
    </w:p>
    <w:p>
      <w:pPr>
        <w:widowControl/>
        <w:ind w:firstLine="720" w:firstLineChars="300"/>
        <w:rPr>
          <w:rStyle w:val="7"/>
          <w:rFonts w:hint="eastAsia" w:ascii="微软雅黑" w:hAnsi="微软雅黑" w:eastAsia="微软雅黑" w:cs="微软雅黑"/>
          <w:i w:val="0"/>
          <w:caps w:val="0"/>
          <w:color w:val="333333"/>
          <w:spacing w:val="0"/>
          <w:kern w:val="0"/>
          <w:sz w:val="24"/>
          <w:szCs w:val="24"/>
          <w:shd w:val="clear" w:fill="FFFFFF"/>
          <w:lang w:val="en-US" w:eastAsia="zh-CN" w:bidi="ar"/>
        </w:rPr>
      </w:pPr>
      <w:r>
        <w:rPr>
          <w:rStyle w:val="7"/>
          <w:rFonts w:hint="eastAsia" w:ascii="微软雅黑" w:hAnsi="微软雅黑" w:eastAsia="微软雅黑" w:cs="微软雅黑"/>
          <w:i w:val="0"/>
          <w:caps w:val="0"/>
          <w:color w:val="333333"/>
          <w:spacing w:val="0"/>
          <w:kern w:val="0"/>
          <w:sz w:val="24"/>
          <w:szCs w:val="24"/>
          <w:shd w:val="clear" w:fill="FFFFFF"/>
          <w:lang w:val="en-US" w:eastAsia="zh-CN" w:bidi="ar"/>
        </w:rPr>
        <w:t>第二部分：部门2019年部门决算表</w:t>
      </w:r>
    </w:p>
    <w:tbl>
      <w:tblPr>
        <w:tblStyle w:val="5"/>
        <w:tblW w:w="14044" w:type="dxa"/>
        <w:tblInd w:w="0" w:type="dxa"/>
        <w:shd w:val="clear" w:color="auto" w:fill="auto"/>
        <w:tblLayout w:type="fixed"/>
        <w:tblCellMar>
          <w:top w:w="0" w:type="dxa"/>
          <w:left w:w="0" w:type="dxa"/>
          <w:bottom w:w="0" w:type="dxa"/>
          <w:right w:w="0" w:type="dxa"/>
        </w:tblCellMar>
      </w:tblPr>
      <w:tblGrid>
        <w:gridCol w:w="4976"/>
        <w:gridCol w:w="603"/>
        <w:gridCol w:w="1724"/>
        <w:gridCol w:w="4247"/>
        <w:gridCol w:w="603"/>
        <w:gridCol w:w="1891"/>
      </w:tblGrid>
      <w:tr>
        <w:tblPrEx>
          <w:shd w:val="clear" w:color="auto" w:fill="auto"/>
          <w:tblCellMar>
            <w:top w:w="0" w:type="dxa"/>
            <w:left w:w="0" w:type="dxa"/>
            <w:bottom w:w="0" w:type="dxa"/>
            <w:right w:w="0" w:type="dxa"/>
          </w:tblCellMar>
        </w:tblPrEx>
        <w:trPr>
          <w:trHeight w:val="375" w:hRule="atLeast"/>
        </w:trPr>
        <w:tc>
          <w:tcPr>
            <w:tcW w:w="14044" w:type="dxa"/>
            <w:gridSpan w:val="6"/>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300" w:hRule="atLeast"/>
        </w:trPr>
        <w:tc>
          <w:tcPr>
            <w:tcW w:w="14044" w:type="dxa"/>
            <w:gridSpan w:val="6"/>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CellMar>
            <w:top w:w="0" w:type="dxa"/>
            <w:left w:w="0" w:type="dxa"/>
            <w:bottom w:w="0" w:type="dxa"/>
            <w:right w:w="0" w:type="dxa"/>
          </w:tblCellMar>
        </w:tblPrEx>
        <w:trPr>
          <w:trHeight w:val="300" w:hRule="atLeast"/>
        </w:trPr>
        <w:tc>
          <w:tcPr>
            <w:tcW w:w="497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24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9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shd w:val="clear" w:color="auto" w:fill="auto"/>
          <w:tblCellMar>
            <w:top w:w="0" w:type="dxa"/>
            <w:left w:w="0" w:type="dxa"/>
            <w:bottom w:w="0" w:type="dxa"/>
            <w:right w:w="0" w:type="dxa"/>
          </w:tblCellMar>
        </w:tblPrEx>
        <w:trPr>
          <w:trHeight w:val="300" w:hRule="atLeast"/>
        </w:trPr>
        <w:tc>
          <w:tcPr>
            <w:tcW w:w="4976"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部门：黄石市黄石港区水利和湖泊局</w:t>
            </w:r>
          </w:p>
        </w:tc>
        <w:tc>
          <w:tcPr>
            <w:tcW w:w="603"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24"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424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3"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91"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trPr>
        <w:tc>
          <w:tcPr>
            <w:tcW w:w="7303"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6741"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72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89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2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9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2,595,631.78</w:t>
            </w: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三、上级补助收入</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五、经营收入</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六、附属单位上缴收入</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七、其他收入</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105,500.00</w:t>
            </w: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421,600.00</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2,279,531.78</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2,701,131.78</w:t>
            </w: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2,701,131.78</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4976"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2,701,131.78</w:t>
            </w:r>
          </w:p>
        </w:tc>
        <w:tc>
          <w:tcPr>
            <w:tcW w:w="42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8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2,701,131.78</w:t>
            </w:r>
          </w:p>
        </w:tc>
      </w:tr>
      <w:tr>
        <w:tblPrEx>
          <w:tblCellMar>
            <w:top w:w="0" w:type="dxa"/>
            <w:left w:w="0" w:type="dxa"/>
            <w:bottom w:w="0" w:type="dxa"/>
            <w:right w:w="0" w:type="dxa"/>
          </w:tblCellMar>
        </w:tblPrEx>
        <w:trPr>
          <w:trHeight w:val="300" w:hRule="atLeast"/>
        </w:trPr>
        <w:tc>
          <w:tcPr>
            <w:tcW w:w="14044"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w:t>
            </w:r>
          </w:p>
        </w:tc>
      </w:tr>
    </w:tbl>
    <w:p>
      <w:pPr>
        <w:widowControl/>
        <w:ind w:firstLine="720" w:firstLineChars="300"/>
        <w:rPr>
          <w:rStyle w:val="7"/>
          <w:rFonts w:hint="eastAsia" w:ascii="微软雅黑" w:hAnsi="微软雅黑" w:eastAsia="微软雅黑" w:cs="微软雅黑"/>
          <w:i w:val="0"/>
          <w:caps w:val="0"/>
          <w:color w:val="333333"/>
          <w:spacing w:val="0"/>
          <w:kern w:val="0"/>
          <w:sz w:val="24"/>
          <w:szCs w:val="24"/>
          <w:shd w:val="clear" w:fill="FFFFFF"/>
          <w:lang w:val="en-US" w:eastAsia="zh-CN" w:bidi="ar"/>
        </w:rPr>
      </w:pPr>
    </w:p>
    <w:p>
      <w:pPr>
        <w:widowControl/>
        <w:ind w:firstLine="720" w:firstLineChars="300"/>
        <w:rPr>
          <w:rStyle w:val="7"/>
          <w:rFonts w:hint="eastAsia" w:ascii="微软雅黑" w:hAnsi="微软雅黑" w:eastAsia="微软雅黑" w:cs="微软雅黑"/>
          <w:i w:val="0"/>
          <w:caps w:val="0"/>
          <w:color w:val="333333"/>
          <w:spacing w:val="0"/>
          <w:kern w:val="0"/>
          <w:sz w:val="24"/>
          <w:szCs w:val="24"/>
          <w:shd w:val="clear" w:fill="FFFFFF"/>
          <w:lang w:val="en-US" w:eastAsia="zh-CN" w:bidi="ar"/>
        </w:rPr>
      </w:pPr>
    </w:p>
    <w:p>
      <w:pPr>
        <w:widowControl/>
        <w:ind w:firstLine="720" w:firstLineChars="300"/>
        <w:rPr>
          <w:rStyle w:val="7"/>
          <w:rFonts w:hint="eastAsia" w:ascii="微软雅黑" w:hAnsi="微软雅黑" w:eastAsia="微软雅黑" w:cs="微软雅黑"/>
          <w:i w:val="0"/>
          <w:caps w:val="0"/>
          <w:color w:val="333333"/>
          <w:spacing w:val="0"/>
          <w:kern w:val="0"/>
          <w:sz w:val="24"/>
          <w:szCs w:val="24"/>
          <w:shd w:val="clear" w:fill="FFFFFF"/>
          <w:lang w:val="en-US" w:eastAsia="zh-CN" w:bidi="ar"/>
        </w:rPr>
      </w:pPr>
    </w:p>
    <w:p>
      <w:pPr>
        <w:widowControl/>
        <w:ind w:firstLine="720" w:firstLineChars="300"/>
        <w:rPr>
          <w:rStyle w:val="7"/>
          <w:rFonts w:hint="eastAsia" w:ascii="微软雅黑" w:hAnsi="微软雅黑" w:eastAsia="微软雅黑" w:cs="微软雅黑"/>
          <w:i w:val="0"/>
          <w:caps w:val="0"/>
          <w:color w:val="333333"/>
          <w:spacing w:val="0"/>
          <w:kern w:val="0"/>
          <w:sz w:val="24"/>
          <w:szCs w:val="24"/>
          <w:shd w:val="clear" w:fill="FFFFFF"/>
          <w:lang w:val="en-US" w:eastAsia="zh-CN" w:bidi="ar"/>
        </w:rPr>
      </w:pPr>
    </w:p>
    <w:p>
      <w:pPr>
        <w:widowControl/>
        <w:ind w:firstLine="720" w:firstLineChars="300"/>
        <w:rPr>
          <w:rStyle w:val="7"/>
          <w:rFonts w:hint="eastAsia" w:ascii="微软雅黑" w:hAnsi="微软雅黑" w:eastAsia="微软雅黑" w:cs="微软雅黑"/>
          <w:i w:val="0"/>
          <w:caps w:val="0"/>
          <w:color w:val="333333"/>
          <w:spacing w:val="0"/>
          <w:kern w:val="0"/>
          <w:sz w:val="24"/>
          <w:szCs w:val="24"/>
          <w:shd w:val="clear" w:fill="FFFFFF"/>
          <w:lang w:val="en-US" w:eastAsia="zh-CN" w:bidi="ar"/>
        </w:rPr>
      </w:pPr>
    </w:p>
    <w:p>
      <w:pPr>
        <w:widowControl/>
        <w:ind w:firstLine="720" w:firstLineChars="300"/>
        <w:rPr>
          <w:rStyle w:val="7"/>
          <w:rFonts w:hint="eastAsia" w:ascii="微软雅黑" w:hAnsi="微软雅黑" w:eastAsia="微软雅黑" w:cs="微软雅黑"/>
          <w:i w:val="0"/>
          <w:caps w:val="0"/>
          <w:color w:val="333333"/>
          <w:spacing w:val="0"/>
          <w:kern w:val="0"/>
          <w:sz w:val="24"/>
          <w:szCs w:val="24"/>
          <w:shd w:val="clear" w:fill="FFFFFF"/>
          <w:lang w:val="en-US" w:eastAsia="zh-CN" w:bidi="ar"/>
        </w:rPr>
      </w:pPr>
    </w:p>
    <w:tbl>
      <w:tblPr>
        <w:tblStyle w:val="5"/>
        <w:tblW w:w="13962" w:type="dxa"/>
        <w:tblInd w:w="0" w:type="dxa"/>
        <w:shd w:val="clear" w:color="auto" w:fill="auto"/>
        <w:tblLayout w:type="fixed"/>
        <w:tblCellMar>
          <w:top w:w="0" w:type="dxa"/>
          <w:left w:w="0" w:type="dxa"/>
          <w:bottom w:w="0" w:type="dxa"/>
          <w:right w:w="0" w:type="dxa"/>
        </w:tblCellMar>
      </w:tblPr>
      <w:tblGrid>
        <w:gridCol w:w="3550"/>
        <w:gridCol w:w="36"/>
        <w:gridCol w:w="36"/>
        <w:gridCol w:w="1830"/>
        <w:gridCol w:w="1685"/>
        <w:gridCol w:w="1845"/>
        <w:gridCol w:w="780"/>
        <w:gridCol w:w="735"/>
        <w:gridCol w:w="765"/>
        <w:gridCol w:w="1395"/>
        <w:gridCol w:w="1305"/>
      </w:tblGrid>
      <w:tr>
        <w:tblPrEx>
          <w:shd w:val="clear" w:color="auto" w:fill="auto"/>
          <w:tblCellMar>
            <w:top w:w="0" w:type="dxa"/>
            <w:left w:w="0" w:type="dxa"/>
            <w:bottom w:w="0" w:type="dxa"/>
            <w:right w:w="0" w:type="dxa"/>
          </w:tblCellMar>
        </w:tblPrEx>
        <w:trPr>
          <w:trHeight w:val="375" w:hRule="atLeast"/>
        </w:trPr>
        <w:tc>
          <w:tcPr>
            <w:tcW w:w="13962" w:type="dxa"/>
            <w:gridSpan w:val="11"/>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312" w:hRule="atLeast"/>
        </w:trPr>
        <w:tc>
          <w:tcPr>
            <w:tcW w:w="13962" w:type="dxa"/>
            <w:gridSpan w:val="11"/>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CellMar>
            <w:top w:w="0" w:type="dxa"/>
            <w:left w:w="0" w:type="dxa"/>
            <w:bottom w:w="0" w:type="dxa"/>
            <w:right w:w="0" w:type="dxa"/>
          </w:tblCellMar>
        </w:tblPrEx>
        <w:trPr>
          <w:trHeight w:val="222" w:hRule="atLeast"/>
        </w:trPr>
        <w:tc>
          <w:tcPr>
            <w:tcW w:w="13962" w:type="dxa"/>
            <w:gridSpan w:val="11"/>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tblCellMar>
            <w:top w:w="0" w:type="dxa"/>
            <w:left w:w="0" w:type="dxa"/>
            <w:bottom w:w="0" w:type="dxa"/>
            <w:right w:w="0" w:type="dxa"/>
          </w:tblCellMar>
        </w:tblPrEx>
        <w:trPr>
          <w:trHeight w:val="300" w:hRule="atLeast"/>
        </w:trPr>
        <w:tc>
          <w:tcPr>
            <w:tcW w:w="355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部门：黄石市黄石港区水利和湖泊局</w:t>
            </w: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3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4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78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trPr>
        <w:tc>
          <w:tcPr>
            <w:tcW w:w="5452"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68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84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78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73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76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39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30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CellMar>
            <w:top w:w="0" w:type="dxa"/>
            <w:left w:w="0" w:type="dxa"/>
            <w:bottom w:w="0" w:type="dxa"/>
            <w:right w:w="0" w:type="dxa"/>
          </w:tblCellMar>
        </w:tblPrEx>
        <w:trPr>
          <w:trHeight w:val="300" w:hRule="atLeast"/>
        </w:trPr>
        <w:tc>
          <w:tcPr>
            <w:tcW w:w="3622"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1830"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68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4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362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0"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4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2" w:hRule="atLeast"/>
        </w:trPr>
        <w:tc>
          <w:tcPr>
            <w:tcW w:w="362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0"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4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5452"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68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84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8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3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6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9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0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CellMar>
            <w:top w:w="0" w:type="dxa"/>
            <w:left w:w="0" w:type="dxa"/>
            <w:bottom w:w="0" w:type="dxa"/>
            <w:right w:w="0" w:type="dxa"/>
          </w:tblCellMar>
        </w:tblPrEx>
        <w:trPr>
          <w:trHeight w:val="387" w:hRule="atLeast"/>
        </w:trPr>
        <w:tc>
          <w:tcPr>
            <w:tcW w:w="5452"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6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2,701,131.78</w:t>
            </w:r>
          </w:p>
        </w:tc>
        <w:tc>
          <w:tcPr>
            <w:tcW w:w="184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2,595,631.78</w:t>
            </w:r>
          </w:p>
        </w:tc>
        <w:tc>
          <w:tcPr>
            <w:tcW w:w="7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105,500.00</w:t>
            </w:r>
          </w:p>
        </w:tc>
      </w:tr>
      <w:tr>
        <w:tblPrEx>
          <w:tblCellMar>
            <w:top w:w="0" w:type="dxa"/>
            <w:left w:w="0" w:type="dxa"/>
            <w:bottom w:w="0" w:type="dxa"/>
            <w:right w:w="0" w:type="dxa"/>
          </w:tblCellMar>
        </w:tblPrEx>
        <w:trPr>
          <w:trHeight w:val="432" w:hRule="atLeast"/>
        </w:trPr>
        <w:tc>
          <w:tcPr>
            <w:tcW w:w="36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211</w:t>
            </w:r>
          </w:p>
        </w:tc>
        <w:tc>
          <w:tcPr>
            <w:tcW w:w="1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节能环保支出</w:t>
            </w:r>
          </w:p>
        </w:tc>
        <w:tc>
          <w:tcPr>
            <w:tcW w:w="16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421,600.00</w:t>
            </w:r>
          </w:p>
        </w:tc>
        <w:tc>
          <w:tcPr>
            <w:tcW w:w="18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421,600.00</w:t>
            </w:r>
          </w:p>
        </w:tc>
        <w:tc>
          <w:tcPr>
            <w:tcW w:w="7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21103</w:t>
            </w:r>
          </w:p>
        </w:tc>
        <w:tc>
          <w:tcPr>
            <w:tcW w:w="1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污染防治</w:t>
            </w:r>
          </w:p>
        </w:tc>
        <w:tc>
          <w:tcPr>
            <w:tcW w:w="16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12,000.00</w:t>
            </w:r>
          </w:p>
        </w:tc>
        <w:tc>
          <w:tcPr>
            <w:tcW w:w="18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12,000.00</w:t>
            </w:r>
          </w:p>
        </w:tc>
        <w:tc>
          <w:tcPr>
            <w:tcW w:w="7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2110302</w:t>
            </w:r>
          </w:p>
        </w:tc>
        <w:tc>
          <w:tcPr>
            <w:tcW w:w="183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水体</w:t>
            </w:r>
          </w:p>
        </w:tc>
        <w:tc>
          <w:tcPr>
            <w:tcW w:w="16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12,000.00</w:t>
            </w:r>
          </w:p>
        </w:tc>
        <w:tc>
          <w:tcPr>
            <w:tcW w:w="184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12,000.00</w:t>
            </w:r>
          </w:p>
        </w:tc>
        <w:tc>
          <w:tcPr>
            <w:tcW w:w="7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57" w:hRule="atLeast"/>
        </w:trPr>
        <w:tc>
          <w:tcPr>
            <w:tcW w:w="36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21104</w:t>
            </w:r>
          </w:p>
        </w:tc>
        <w:tc>
          <w:tcPr>
            <w:tcW w:w="1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自然生态保护</w:t>
            </w:r>
          </w:p>
        </w:tc>
        <w:tc>
          <w:tcPr>
            <w:tcW w:w="16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409,600.00</w:t>
            </w:r>
          </w:p>
        </w:tc>
        <w:tc>
          <w:tcPr>
            <w:tcW w:w="18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409,600.00</w:t>
            </w:r>
          </w:p>
        </w:tc>
        <w:tc>
          <w:tcPr>
            <w:tcW w:w="7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2110401</w:t>
            </w:r>
          </w:p>
        </w:tc>
        <w:tc>
          <w:tcPr>
            <w:tcW w:w="183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生态保护</w:t>
            </w:r>
          </w:p>
        </w:tc>
        <w:tc>
          <w:tcPr>
            <w:tcW w:w="16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409,600.00</w:t>
            </w:r>
          </w:p>
        </w:tc>
        <w:tc>
          <w:tcPr>
            <w:tcW w:w="184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409,600.00</w:t>
            </w:r>
          </w:p>
        </w:tc>
        <w:tc>
          <w:tcPr>
            <w:tcW w:w="7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w:t>
            </w:r>
          </w:p>
        </w:tc>
        <w:tc>
          <w:tcPr>
            <w:tcW w:w="1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农林水支出</w:t>
            </w:r>
          </w:p>
        </w:tc>
        <w:tc>
          <w:tcPr>
            <w:tcW w:w="16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2,279,531.78</w:t>
            </w:r>
          </w:p>
        </w:tc>
        <w:tc>
          <w:tcPr>
            <w:tcW w:w="18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2,174,031.78</w:t>
            </w:r>
          </w:p>
        </w:tc>
        <w:tc>
          <w:tcPr>
            <w:tcW w:w="7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105,500.00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21302</w:t>
            </w:r>
          </w:p>
        </w:tc>
        <w:tc>
          <w:tcPr>
            <w:tcW w:w="1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林业和草原</w:t>
            </w:r>
          </w:p>
        </w:tc>
        <w:tc>
          <w:tcPr>
            <w:tcW w:w="16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26,000.00</w:t>
            </w:r>
          </w:p>
        </w:tc>
        <w:tc>
          <w:tcPr>
            <w:tcW w:w="18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26,000.00</w:t>
            </w:r>
          </w:p>
        </w:tc>
        <w:tc>
          <w:tcPr>
            <w:tcW w:w="7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2130209</w:t>
            </w:r>
          </w:p>
        </w:tc>
        <w:tc>
          <w:tcPr>
            <w:tcW w:w="183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森林生态效益补偿</w:t>
            </w:r>
          </w:p>
        </w:tc>
        <w:tc>
          <w:tcPr>
            <w:tcW w:w="16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26,000.00</w:t>
            </w:r>
          </w:p>
        </w:tc>
        <w:tc>
          <w:tcPr>
            <w:tcW w:w="184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26,000.00</w:t>
            </w:r>
          </w:p>
        </w:tc>
        <w:tc>
          <w:tcPr>
            <w:tcW w:w="7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21303</w:t>
            </w:r>
          </w:p>
        </w:tc>
        <w:tc>
          <w:tcPr>
            <w:tcW w:w="1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水利</w:t>
            </w:r>
          </w:p>
        </w:tc>
        <w:tc>
          <w:tcPr>
            <w:tcW w:w="16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2,253,531.78</w:t>
            </w:r>
          </w:p>
        </w:tc>
        <w:tc>
          <w:tcPr>
            <w:tcW w:w="18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2,148,031.78</w:t>
            </w:r>
          </w:p>
        </w:tc>
        <w:tc>
          <w:tcPr>
            <w:tcW w:w="7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105,500.00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2130301</w:t>
            </w:r>
          </w:p>
        </w:tc>
        <w:tc>
          <w:tcPr>
            <w:tcW w:w="183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6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2,253,531.78</w:t>
            </w:r>
          </w:p>
        </w:tc>
        <w:tc>
          <w:tcPr>
            <w:tcW w:w="184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2,148,031.78</w:t>
            </w:r>
          </w:p>
        </w:tc>
        <w:tc>
          <w:tcPr>
            <w:tcW w:w="7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105,500.00</w:t>
            </w:r>
          </w:p>
        </w:tc>
      </w:tr>
      <w:tr>
        <w:tblPrEx>
          <w:tblCellMar>
            <w:top w:w="0" w:type="dxa"/>
            <w:left w:w="0" w:type="dxa"/>
            <w:bottom w:w="0" w:type="dxa"/>
            <w:right w:w="0" w:type="dxa"/>
          </w:tblCellMar>
        </w:tblPrEx>
        <w:trPr>
          <w:trHeight w:val="300" w:hRule="atLeast"/>
        </w:trPr>
        <w:tc>
          <w:tcPr>
            <w:tcW w:w="13962" w:type="dxa"/>
            <w:gridSpan w:val="11"/>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default"/>
          <w:lang w:val="en-US" w:eastAsia="zh-CN"/>
        </w:rPr>
      </w:pPr>
    </w:p>
    <w:tbl>
      <w:tblPr>
        <w:tblStyle w:val="5"/>
        <w:tblW w:w="13992" w:type="dxa"/>
        <w:tblInd w:w="0" w:type="dxa"/>
        <w:shd w:val="clear" w:color="auto" w:fill="auto"/>
        <w:tblLayout w:type="fixed"/>
        <w:tblCellMar>
          <w:top w:w="0" w:type="dxa"/>
          <w:left w:w="0" w:type="dxa"/>
          <w:bottom w:w="0" w:type="dxa"/>
          <w:right w:w="0" w:type="dxa"/>
        </w:tblCellMar>
      </w:tblPr>
      <w:tblGrid>
        <w:gridCol w:w="3550"/>
        <w:gridCol w:w="36"/>
        <w:gridCol w:w="36"/>
        <w:gridCol w:w="2180"/>
        <w:gridCol w:w="2175"/>
        <w:gridCol w:w="1575"/>
        <w:gridCol w:w="1095"/>
        <w:gridCol w:w="705"/>
        <w:gridCol w:w="915"/>
        <w:gridCol w:w="1725"/>
      </w:tblGrid>
      <w:tr>
        <w:tblPrEx>
          <w:shd w:val="clear" w:color="auto" w:fill="auto"/>
          <w:tblCellMar>
            <w:top w:w="0" w:type="dxa"/>
            <w:left w:w="0" w:type="dxa"/>
            <w:bottom w:w="0" w:type="dxa"/>
            <w:right w:w="0" w:type="dxa"/>
          </w:tblCellMar>
        </w:tblPrEx>
        <w:trPr>
          <w:trHeight w:val="375" w:hRule="atLeast"/>
        </w:trPr>
        <w:tc>
          <w:tcPr>
            <w:tcW w:w="13992" w:type="dxa"/>
            <w:gridSpan w:val="10"/>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300" w:hRule="atLeast"/>
        </w:trPr>
        <w:tc>
          <w:tcPr>
            <w:tcW w:w="13992" w:type="dxa"/>
            <w:gridSpan w:val="10"/>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CellMar>
            <w:top w:w="0" w:type="dxa"/>
            <w:left w:w="0" w:type="dxa"/>
            <w:bottom w:w="0" w:type="dxa"/>
            <w:right w:w="0" w:type="dxa"/>
          </w:tblCellMar>
        </w:tblPrEx>
        <w:trPr>
          <w:trHeight w:val="300" w:hRule="atLeast"/>
        </w:trPr>
        <w:tc>
          <w:tcPr>
            <w:tcW w:w="35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8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7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7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5"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CellMar>
            <w:top w:w="0" w:type="dxa"/>
            <w:left w:w="0" w:type="dxa"/>
            <w:bottom w:w="0" w:type="dxa"/>
            <w:right w:w="0" w:type="dxa"/>
          </w:tblCellMar>
        </w:tblPrEx>
        <w:trPr>
          <w:trHeight w:val="300" w:hRule="atLeast"/>
        </w:trPr>
        <w:tc>
          <w:tcPr>
            <w:tcW w:w="355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部门：黄石市黄石港区水利和湖泊局</w:t>
            </w: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8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57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9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2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trPr>
        <w:tc>
          <w:tcPr>
            <w:tcW w:w="5802"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17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57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09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70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91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72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CellMar>
            <w:top w:w="0" w:type="dxa"/>
            <w:left w:w="0" w:type="dxa"/>
            <w:bottom w:w="0" w:type="dxa"/>
            <w:right w:w="0" w:type="dxa"/>
          </w:tblCellMar>
        </w:tblPrEx>
        <w:trPr>
          <w:trHeight w:val="300" w:hRule="atLeast"/>
        </w:trPr>
        <w:tc>
          <w:tcPr>
            <w:tcW w:w="3622"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180"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1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362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80"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362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80"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5802"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1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9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0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432" w:hRule="atLeast"/>
        </w:trPr>
        <w:tc>
          <w:tcPr>
            <w:tcW w:w="5802"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2,701,131.78</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2,701,131.78</w:t>
            </w:r>
          </w:p>
        </w:tc>
        <w:tc>
          <w:tcPr>
            <w:tcW w:w="10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7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211</w:t>
            </w:r>
          </w:p>
        </w:tc>
        <w:tc>
          <w:tcPr>
            <w:tcW w:w="21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节能环保支出</w:t>
            </w:r>
          </w:p>
        </w:tc>
        <w:tc>
          <w:tcPr>
            <w:tcW w:w="21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421,600.00</w:t>
            </w:r>
          </w:p>
        </w:tc>
        <w:tc>
          <w:tcPr>
            <w:tcW w:w="1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421,600.00</w:t>
            </w:r>
          </w:p>
        </w:tc>
        <w:tc>
          <w:tcPr>
            <w:tcW w:w="10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7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21103</w:t>
            </w:r>
          </w:p>
        </w:tc>
        <w:tc>
          <w:tcPr>
            <w:tcW w:w="21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污染防治</w:t>
            </w:r>
          </w:p>
        </w:tc>
        <w:tc>
          <w:tcPr>
            <w:tcW w:w="21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12,000.00</w:t>
            </w:r>
          </w:p>
        </w:tc>
        <w:tc>
          <w:tcPr>
            <w:tcW w:w="1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12,000.00</w:t>
            </w:r>
          </w:p>
        </w:tc>
        <w:tc>
          <w:tcPr>
            <w:tcW w:w="10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7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2110302</w:t>
            </w:r>
          </w:p>
        </w:tc>
        <w:tc>
          <w:tcPr>
            <w:tcW w:w="218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水体</w:t>
            </w:r>
          </w:p>
        </w:tc>
        <w:tc>
          <w:tcPr>
            <w:tcW w:w="2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12,000.00</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12,000.00</w:t>
            </w:r>
          </w:p>
        </w:tc>
        <w:tc>
          <w:tcPr>
            <w:tcW w:w="10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21104</w:t>
            </w:r>
          </w:p>
        </w:tc>
        <w:tc>
          <w:tcPr>
            <w:tcW w:w="21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自然生态保护</w:t>
            </w:r>
          </w:p>
        </w:tc>
        <w:tc>
          <w:tcPr>
            <w:tcW w:w="21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409,600.00</w:t>
            </w:r>
          </w:p>
        </w:tc>
        <w:tc>
          <w:tcPr>
            <w:tcW w:w="1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409,600.00</w:t>
            </w:r>
          </w:p>
        </w:tc>
        <w:tc>
          <w:tcPr>
            <w:tcW w:w="10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7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2110401</w:t>
            </w:r>
          </w:p>
        </w:tc>
        <w:tc>
          <w:tcPr>
            <w:tcW w:w="218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生态保护</w:t>
            </w:r>
          </w:p>
        </w:tc>
        <w:tc>
          <w:tcPr>
            <w:tcW w:w="2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409,600.00</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409,600.00</w:t>
            </w:r>
          </w:p>
        </w:tc>
        <w:tc>
          <w:tcPr>
            <w:tcW w:w="10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w:t>
            </w:r>
          </w:p>
        </w:tc>
        <w:tc>
          <w:tcPr>
            <w:tcW w:w="21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农林水支出</w:t>
            </w:r>
          </w:p>
        </w:tc>
        <w:tc>
          <w:tcPr>
            <w:tcW w:w="21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2,279,531.78</w:t>
            </w:r>
          </w:p>
        </w:tc>
        <w:tc>
          <w:tcPr>
            <w:tcW w:w="1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2,279,531.78</w:t>
            </w:r>
          </w:p>
        </w:tc>
        <w:tc>
          <w:tcPr>
            <w:tcW w:w="10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7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21302</w:t>
            </w:r>
          </w:p>
        </w:tc>
        <w:tc>
          <w:tcPr>
            <w:tcW w:w="21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林业和草原</w:t>
            </w:r>
          </w:p>
        </w:tc>
        <w:tc>
          <w:tcPr>
            <w:tcW w:w="21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26,000.00</w:t>
            </w:r>
          </w:p>
        </w:tc>
        <w:tc>
          <w:tcPr>
            <w:tcW w:w="1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26,000.00</w:t>
            </w:r>
          </w:p>
        </w:tc>
        <w:tc>
          <w:tcPr>
            <w:tcW w:w="10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7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2130209</w:t>
            </w:r>
          </w:p>
        </w:tc>
        <w:tc>
          <w:tcPr>
            <w:tcW w:w="218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森林生态效益补偿</w:t>
            </w:r>
          </w:p>
        </w:tc>
        <w:tc>
          <w:tcPr>
            <w:tcW w:w="2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26,000.00</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26,000.00</w:t>
            </w:r>
          </w:p>
        </w:tc>
        <w:tc>
          <w:tcPr>
            <w:tcW w:w="10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21303</w:t>
            </w:r>
          </w:p>
        </w:tc>
        <w:tc>
          <w:tcPr>
            <w:tcW w:w="21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水利</w:t>
            </w:r>
          </w:p>
        </w:tc>
        <w:tc>
          <w:tcPr>
            <w:tcW w:w="21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2,253,531.78</w:t>
            </w:r>
          </w:p>
        </w:tc>
        <w:tc>
          <w:tcPr>
            <w:tcW w:w="1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2,253,531.78</w:t>
            </w:r>
          </w:p>
        </w:tc>
        <w:tc>
          <w:tcPr>
            <w:tcW w:w="10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7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2130301</w:t>
            </w:r>
          </w:p>
        </w:tc>
        <w:tc>
          <w:tcPr>
            <w:tcW w:w="218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2,253,531.78</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2,253,531.78</w:t>
            </w:r>
          </w:p>
        </w:tc>
        <w:tc>
          <w:tcPr>
            <w:tcW w:w="10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3992" w:type="dxa"/>
            <w:gridSpan w:val="10"/>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lang w:val="en-US" w:eastAsia="zh-CN"/>
        </w:rPr>
      </w:pPr>
    </w:p>
    <w:tbl>
      <w:tblPr>
        <w:tblStyle w:val="5"/>
        <w:tblW w:w="14007" w:type="dxa"/>
        <w:tblInd w:w="0" w:type="dxa"/>
        <w:shd w:val="clear" w:color="auto" w:fill="auto"/>
        <w:tblLayout w:type="fixed"/>
        <w:tblCellMar>
          <w:top w:w="0" w:type="dxa"/>
          <w:left w:w="0" w:type="dxa"/>
          <w:bottom w:w="0" w:type="dxa"/>
          <w:right w:w="0" w:type="dxa"/>
        </w:tblCellMar>
      </w:tblPr>
      <w:tblGrid>
        <w:gridCol w:w="3567"/>
        <w:gridCol w:w="690"/>
        <w:gridCol w:w="1455"/>
        <w:gridCol w:w="3735"/>
        <w:gridCol w:w="801"/>
        <w:gridCol w:w="1179"/>
        <w:gridCol w:w="1275"/>
        <w:gridCol w:w="1305"/>
      </w:tblGrid>
      <w:tr>
        <w:tblPrEx>
          <w:shd w:val="clear" w:color="auto" w:fill="auto"/>
          <w:tblCellMar>
            <w:top w:w="0" w:type="dxa"/>
            <w:left w:w="0" w:type="dxa"/>
            <w:bottom w:w="0" w:type="dxa"/>
            <w:right w:w="0" w:type="dxa"/>
          </w:tblCellMar>
        </w:tblPrEx>
        <w:trPr>
          <w:trHeight w:val="375" w:hRule="atLeast"/>
        </w:trPr>
        <w:tc>
          <w:tcPr>
            <w:tcW w:w="14007" w:type="dxa"/>
            <w:gridSpan w:val="8"/>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300" w:hRule="atLeast"/>
        </w:trPr>
        <w:tc>
          <w:tcPr>
            <w:tcW w:w="14007" w:type="dxa"/>
            <w:gridSpan w:val="8"/>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CellMar>
            <w:top w:w="0" w:type="dxa"/>
            <w:left w:w="0" w:type="dxa"/>
            <w:bottom w:w="0" w:type="dxa"/>
            <w:right w:w="0" w:type="dxa"/>
          </w:tblCellMar>
        </w:tblPrEx>
        <w:trPr>
          <w:trHeight w:val="300" w:hRule="atLeast"/>
        </w:trPr>
        <w:tc>
          <w:tcPr>
            <w:tcW w:w="356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9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5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3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0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05"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tblCellMar>
            <w:top w:w="0" w:type="dxa"/>
            <w:left w:w="0" w:type="dxa"/>
            <w:bottom w:w="0" w:type="dxa"/>
            <w:right w:w="0" w:type="dxa"/>
          </w:tblCellMar>
        </w:tblPrEx>
        <w:trPr>
          <w:trHeight w:val="300" w:hRule="atLeast"/>
        </w:trPr>
        <w:tc>
          <w:tcPr>
            <w:tcW w:w="3567"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部门：黄石市黄石港区水利和湖泊局</w:t>
            </w:r>
          </w:p>
        </w:tc>
        <w:tc>
          <w:tcPr>
            <w:tcW w:w="69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5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3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801"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7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trPr>
        <w:tc>
          <w:tcPr>
            <w:tcW w:w="571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8295"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CellMar>
            <w:top w:w="0" w:type="dxa"/>
            <w:left w:w="0" w:type="dxa"/>
            <w:bottom w:w="0" w:type="dxa"/>
            <w:right w:w="0" w:type="dxa"/>
          </w:tblCellMar>
        </w:tblPrEx>
        <w:trPr>
          <w:trHeight w:val="285" w:hRule="atLeast"/>
        </w:trPr>
        <w:tc>
          <w:tcPr>
            <w:tcW w:w="3567"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9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45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73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80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179"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27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30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CellMar>
            <w:top w:w="0" w:type="dxa"/>
            <w:left w:w="0" w:type="dxa"/>
            <w:bottom w:w="0" w:type="dxa"/>
            <w:right w:w="0" w:type="dxa"/>
          </w:tblCellMar>
        </w:tblPrEx>
        <w:trPr>
          <w:trHeight w:val="600" w:hRule="atLeast"/>
        </w:trPr>
        <w:tc>
          <w:tcPr>
            <w:tcW w:w="3567"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69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jc w:val="both"/>
              <w:rPr>
                <w:rFonts w:hint="eastAsia" w:ascii="宋体" w:hAnsi="宋体" w:eastAsia="宋体" w:cs="宋体"/>
                <w:i w:val="0"/>
                <w:color w:val="000000"/>
                <w:sz w:val="20"/>
                <w:szCs w:val="20"/>
                <w:u w:val="none"/>
              </w:rPr>
            </w:pPr>
          </w:p>
        </w:tc>
        <w:tc>
          <w:tcPr>
            <w:tcW w:w="80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9"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2,595,631.78</w:t>
            </w: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421,600.00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421,600.00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2,174,031.78</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2,174,031.78</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2,595,631.78</w:t>
            </w: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2,595,631.78</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2,595,631.78</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356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4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2,595,631.78</w:t>
            </w:r>
          </w:p>
        </w:tc>
        <w:tc>
          <w:tcPr>
            <w:tcW w:w="3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80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1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2,595,631.78</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2,595,631.78</w:t>
            </w:r>
          </w:p>
        </w:tc>
        <w:tc>
          <w:tcPr>
            <w:tcW w:w="13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4007" w:type="dxa"/>
            <w:gridSpan w:val="8"/>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lang w:val="en-US" w:eastAsia="zh-CN"/>
        </w:rPr>
      </w:pPr>
    </w:p>
    <w:tbl>
      <w:tblPr>
        <w:tblStyle w:val="5"/>
        <w:tblW w:w="13992" w:type="dxa"/>
        <w:tblInd w:w="0" w:type="dxa"/>
        <w:shd w:val="clear" w:color="auto" w:fill="auto"/>
        <w:tblLayout w:type="fixed"/>
        <w:tblCellMar>
          <w:top w:w="0" w:type="dxa"/>
          <w:left w:w="0" w:type="dxa"/>
          <w:bottom w:w="0" w:type="dxa"/>
          <w:right w:w="0" w:type="dxa"/>
        </w:tblCellMar>
      </w:tblPr>
      <w:tblGrid>
        <w:gridCol w:w="3550"/>
        <w:gridCol w:w="36"/>
        <w:gridCol w:w="36"/>
        <w:gridCol w:w="3200"/>
        <w:gridCol w:w="2640"/>
        <w:gridCol w:w="2250"/>
        <w:gridCol w:w="2280"/>
      </w:tblGrid>
      <w:tr>
        <w:tblPrEx>
          <w:shd w:val="clear" w:color="auto" w:fill="auto"/>
          <w:tblCellMar>
            <w:top w:w="0" w:type="dxa"/>
            <w:left w:w="0" w:type="dxa"/>
            <w:bottom w:w="0" w:type="dxa"/>
            <w:right w:w="0" w:type="dxa"/>
          </w:tblCellMar>
        </w:tblPrEx>
        <w:trPr>
          <w:trHeight w:val="375" w:hRule="atLeast"/>
        </w:trPr>
        <w:tc>
          <w:tcPr>
            <w:tcW w:w="13992" w:type="dxa"/>
            <w:gridSpan w:val="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300" w:hRule="atLeast"/>
        </w:trPr>
        <w:tc>
          <w:tcPr>
            <w:tcW w:w="35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0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64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80"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tblCellMar>
            <w:top w:w="0" w:type="dxa"/>
            <w:left w:w="0" w:type="dxa"/>
            <w:bottom w:w="0" w:type="dxa"/>
            <w:right w:w="0" w:type="dxa"/>
          </w:tblCellMar>
        </w:tblPrEx>
        <w:trPr>
          <w:trHeight w:val="300" w:hRule="atLeast"/>
        </w:trPr>
        <w:tc>
          <w:tcPr>
            <w:tcW w:w="355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部门：黄石市黄石港区水利和湖泊局</w:t>
            </w: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0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264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5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8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trPr>
        <w:tc>
          <w:tcPr>
            <w:tcW w:w="6822"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7170"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CellMar>
            <w:top w:w="0" w:type="dxa"/>
            <w:left w:w="0" w:type="dxa"/>
            <w:bottom w:w="0" w:type="dxa"/>
            <w:right w:w="0" w:type="dxa"/>
          </w:tblCellMar>
        </w:tblPrEx>
        <w:trPr>
          <w:trHeight w:val="300" w:hRule="atLeast"/>
        </w:trPr>
        <w:tc>
          <w:tcPr>
            <w:tcW w:w="3622"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3200"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64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28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270" w:hRule="atLeast"/>
        </w:trPr>
        <w:tc>
          <w:tcPr>
            <w:tcW w:w="362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00"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4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362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00"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4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6822"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6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2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300" w:hRule="atLeast"/>
        </w:trPr>
        <w:tc>
          <w:tcPr>
            <w:tcW w:w="6822"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6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2,595,631.78</w:t>
            </w:r>
          </w:p>
        </w:tc>
        <w:tc>
          <w:tcPr>
            <w:tcW w:w="22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2,595,631.78</w:t>
            </w:r>
          </w:p>
        </w:tc>
        <w:tc>
          <w:tcPr>
            <w:tcW w:w="2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211</w:t>
            </w:r>
          </w:p>
        </w:tc>
        <w:tc>
          <w:tcPr>
            <w:tcW w:w="32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节能环保支出</w:t>
            </w:r>
          </w:p>
        </w:tc>
        <w:tc>
          <w:tcPr>
            <w:tcW w:w="26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421,600.00</w:t>
            </w:r>
          </w:p>
        </w:tc>
        <w:tc>
          <w:tcPr>
            <w:tcW w:w="2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421,600.00</w:t>
            </w:r>
          </w:p>
        </w:tc>
        <w:tc>
          <w:tcPr>
            <w:tcW w:w="22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21103</w:t>
            </w:r>
          </w:p>
        </w:tc>
        <w:tc>
          <w:tcPr>
            <w:tcW w:w="32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污染防治</w:t>
            </w:r>
          </w:p>
        </w:tc>
        <w:tc>
          <w:tcPr>
            <w:tcW w:w="26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12,000.00</w:t>
            </w:r>
          </w:p>
        </w:tc>
        <w:tc>
          <w:tcPr>
            <w:tcW w:w="2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12,000.00</w:t>
            </w:r>
          </w:p>
        </w:tc>
        <w:tc>
          <w:tcPr>
            <w:tcW w:w="22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2110302</w:t>
            </w:r>
          </w:p>
        </w:tc>
        <w:tc>
          <w:tcPr>
            <w:tcW w:w="320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水体</w:t>
            </w:r>
          </w:p>
        </w:tc>
        <w:tc>
          <w:tcPr>
            <w:tcW w:w="26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12,000.00</w:t>
            </w:r>
          </w:p>
        </w:tc>
        <w:tc>
          <w:tcPr>
            <w:tcW w:w="22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12,000.00</w:t>
            </w:r>
          </w:p>
        </w:tc>
        <w:tc>
          <w:tcPr>
            <w:tcW w:w="2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21104</w:t>
            </w:r>
          </w:p>
        </w:tc>
        <w:tc>
          <w:tcPr>
            <w:tcW w:w="32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自然生态保护</w:t>
            </w:r>
          </w:p>
        </w:tc>
        <w:tc>
          <w:tcPr>
            <w:tcW w:w="26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409,600.00</w:t>
            </w:r>
          </w:p>
        </w:tc>
        <w:tc>
          <w:tcPr>
            <w:tcW w:w="2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409,600.00</w:t>
            </w:r>
          </w:p>
        </w:tc>
        <w:tc>
          <w:tcPr>
            <w:tcW w:w="22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2110401</w:t>
            </w:r>
          </w:p>
        </w:tc>
        <w:tc>
          <w:tcPr>
            <w:tcW w:w="320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生态保护</w:t>
            </w:r>
          </w:p>
        </w:tc>
        <w:tc>
          <w:tcPr>
            <w:tcW w:w="26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409,600.00</w:t>
            </w:r>
          </w:p>
        </w:tc>
        <w:tc>
          <w:tcPr>
            <w:tcW w:w="22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409,600.00</w:t>
            </w:r>
          </w:p>
        </w:tc>
        <w:tc>
          <w:tcPr>
            <w:tcW w:w="2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w:t>
            </w:r>
          </w:p>
        </w:tc>
        <w:tc>
          <w:tcPr>
            <w:tcW w:w="32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农林水支出</w:t>
            </w:r>
          </w:p>
        </w:tc>
        <w:tc>
          <w:tcPr>
            <w:tcW w:w="26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2,174,031.78</w:t>
            </w:r>
          </w:p>
        </w:tc>
        <w:tc>
          <w:tcPr>
            <w:tcW w:w="2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2,174,031.78</w:t>
            </w:r>
          </w:p>
        </w:tc>
        <w:tc>
          <w:tcPr>
            <w:tcW w:w="22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21302</w:t>
            </w:r>
          </w:p>
        </w:tc>
        <w:tc>
          <w:tcPr>
            <w:tcW w:w="32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林业和草原</w:t>
            </w:r>
          </w:p>
        </w:tc>
        <w:tc>
          <w:tcPr>
            <w:tcW w:w="26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26,000.00</w:t>
            </w:r>
          </w:p>
        </w:tc>
        <w:tc>
          <w:tcPr>
            <w:tcW w:w="2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26,000.00</w:t>
            </w:r>
          </w:p>
        </w:tc>
        <w:tc>
          <w:tcPr>
            <w:tcW w:w="22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2130209</w:t>
            </w:r>
          </w:p>
        </w:tc>
        <w:tc>
          <w:tcPr>
            <w:tcW w:w="320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森林生态效益补偿</w:t>
            </w:r>
          </w:p>
        </w:tc>
        <w:tc>
          <w:tcPr>
            <w:tcW w:w="26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26,000.00</w:t>
            </w:r>
          </w:p>
        </w:tc>
        <w:tc>
          <w:tcPr>
            <w:tcW w:w="22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26,000.00</w:t>
            </w:r>
          </w:p>
        </w:tc>
        <w:tc>
          <w:tcPr>
            <w:tcW w:w="2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21303</w:t>
            </w:r>
          </w:p>
        </w:tc>
        <w:tc>
          <w:tcPr>
            <w:tcW w:w="32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水利</w:t>
            </w:r>
          </w:p>
        </w:tc>
        <w:tc>
          <w:tcPr>
            <w:tcW w:w="26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2,148,031.78</w:t>
            </w:r>
          </w:p>
        </w:tc>
        <w:tc>
          <w:tcPr>
            <w:tcW w:w="2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2,148,031.78</w:t>
            </w:r>
          </w:p>
        </w:tc>
        <w:tc>
          <w:tcPr>
            <w:tcW w:w="22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2130301</w:t>
            </w:r>
          </w:p>
        </w:tc>
        <w:tc>
          <w:tcPr>
            <w:tcW w:w="320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6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2,148,031.78</w:t>
            </w:r>
          </w:p>
        </w:tc>
        <w:tc>
          <w:tcPr>
            <w:tcW w:w="22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2,148,031.78</w:t>
            </w:r>
          </w:p>
        </w:tc>
        <w:tc>
          <w:tcPr>
            <w:tcW w:w="2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3992" w:type="dxa"/>
            <w:gridSpan w:val="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5"/>
        <w:tblW w:w="13988" w:type="dxa"/>
        <w:tblInd w:w="0" w:type="dxa"/>
        <w:shd w:val="clear" w:color="auto" w:fill="auto"/>
        <w:tblLayout w:type="fixed"/>
        <w:tblCellMar>
          <w:top w:w="0" w:type="dxa"/>
          <w:left w:w="0" w:type="dxa"/>
          <w:bottom w:w="0" w:type="dxa"/>
          <w:right w:w="0" w:type="dxa"/>
        </w:tblCellMar>
      </w:tblPr>
      <w:tblGrid>
        <w:gridCol w:w="927"/>
        <w:gridCol w:w="3060"/>
        <w:gridCol w:w="1380"/>
        <w:gridCol w:w="900"/>
        <w:gridCol w:w="1545"/>
        <w:gridCol w:w="1459"/>
        <w:gridCol w:w="896"/>
        <w:gridCol w:w="2704"/>
        <w:gridCol w:w="1117"/>
      </w:tblGrid>
      <w:tr>
        <w:tblPrEx>
          <w:shd w:val="clear" w:color="auto" w:fill="auto"/>
          <w:tblCellMar>
            <w:top w:w="0" w:type="dxa"/>
            <w:left w:w="0" w:type="dxa"/>
            <w:bottom w:w="0" w:type="dxa"/>
            <w:right w:w="0" w:type="dxa"/>
          </w:tblCellMar>
        </w:tblPrEx>
        <w:trPr>
          <w:trHeight w:val="375" w:hRule="atLeast"/>
        </w:trPr>
        <w:tc>
          <w:tcPr>
            <w:tcW w:w="13988" w:type="dxa"/>
            <w:gridSpan w:val="9"/>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300" w:hRule="atLeast"/>
        </w:trPr>
        <w:tc>
          <w:tcPr>
            <w:tcW w:w="13988" w:type="dxa"/>
            <w:gridSpan w:val="9"/>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CellMar>
            <w:top w:w="0" w:type="dxa"/>
            <w:left w:w="0" w:type="dxa"/>
            <w:bottom w:w="0" w:type="dxa"/>
            <w:right w:w="0" w:type="dxa"/>
          </w:tblCellMar>
        </w:tblPrEx>
        <w:trPr>
          <w:trHeight w:val="300" w:hRule="atLeast"/>
        </w:trPr>
        <w:tc>
          <w:tcPr>
            <w:tcW w:w="92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6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8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0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4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5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9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70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7"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公开06表</w:t>
            </w:r>
          </w:p>
        </w:tc>
      </w:tr>
      <w:tr>
        <w:tblPrEx>
          <w:tblCellMar>
            <w:top w:w="0" w:type="dxa"/>
            <w:left w:w="0" w:type="dxa"/>
            <w:bottom w:w="0" w:type="dxa"/>
            <w:right w:w="0" w:type="dxa"/>
          </w:tblCellMar>
        </w:tblPrEx>
        <w:trPr>
          <w:trHeight w:val="300" w:hRule="atLeast"/>
        </w:trPr>
        <w:tc>
          <w:tcPr>
            <w:tcW w:w="3987"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部门：黄石市黄石港区水利和湖泊局</w:t>
            </w:r>
          </w:p>
        </w:tc>
        <w:tc>
          <w:tcPr>
            <w:tcW w:w="138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4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45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0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7"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trPr>
        <w:tc>
          <w:tcPr>
            <w:tcW w:w="5367"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8621"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r>
      <w:tr>
        <w:tblPrEx>
          <w:tblCellMar>
            <w:top w:w="0" w:type="dxa"/>
            <w:left w:w="0" w:type="dxa"/>
            <w:bottom w:w="0" w:type="dxa"/>
            <w:right w:w="0" w:type="dxa"/>
          </w:tblCellMar>
        </w:tblPrEx>
        <w:trPr>
          <w:trHeight w:val="300" w:hRule="atLeast"/>
        </w:trPr>
        <w:tc>
          <w:tcPr>
            <w:tcW w:w="927"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06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8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90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54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5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89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70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11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300" w:hRule="atLeast"/>
        </w:trPr>
        <w:tc>
          <w:tcPr>
            <w:tcW w:w="927"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6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4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472,796.03</w:t>
            </w: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2,106,397.75</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166,197.98</w:t>
            </w: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30,165.40</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101,777.00</w:t>
            </w: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2,050.00</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16,438.00</w:t>
            </w: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546.00</w:t>
            </w: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55.30</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69,916.00</w:t>
            </w: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632.70</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16,438.00</w:t>
            </w: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4,496.54</w:t>
            </w: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6,611.86</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4,404.56</w:t>
            </w: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9,644.78</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60,983.25</w:t>
            </w: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2,519.70</w:t>
            </w: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11,007.00</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61,955.00</w:t>
            </w: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42,820.32</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600.00</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12,700.00</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1,985,432.39</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92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0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15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4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4,678.00</w:t>
            </w:r>
          </w:p>
        </w:tc>
        <w:tc>
          <w:tcPr>
            <w:tcW w:w="8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3987"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472,796.03</w:t>
            </w:r>
          </w:p>
        </w:tc>
        <w:tc>
          <w:tcPr>
            <w:tcW w:w="7504"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1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2,122,835.75</w:t>
            </w:r>
          </w:p>
        </w:tc>
      </w:tr>
      <w:tr>
        <w:tblPrEx>
          <w:tblCellMar>
            <w:top w:w="0" w:type="dxa"/>
            <w:left w:w="0" w:type="dxa"/>
            <w:bottom w:w="0" w:type="dxa"/>
            <w:right w:w="0" w:type="dxa"/>
          </w:tblCellMar>
        </w:tblPrEx>
        <w:trPr>
          <w:trHeight w:val="300" w:hRule="atLeast"/>
        </w:trPr>
        <w:tc>
          <w:tcPr>
            <w:tcW w:w="13988"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5"/>
        <w:tblW w:w="14112" w:type="dxa"/>
        <w:tblInd w:w="0" w:type="dxa"/>
        <w:shd w:val="clear" w:color="auto" w:fill="auto"/>
        <w:tblLayout w:type="fixed"/>
        <w:tblCellMar>
          <w:top w:w="0" w:type="dxa"/>
          <w:left w:w="0" w:type="dxa"/>
          <w:bottom w:w="0" w:type="dxa"/>
          <w:right w:w="0" w:type="dxa"/>
        </w:tblCellMar>
      </w:tblPr>
      <w:tblGrid>
        <w:gridCol w:w="3550"/>
        <w:gridCol w:w="1006"/>
        <w:gridCol w:w="519"/>
        <w:gridCol w:w="742"/>
        <w:gridCol w:w="705"/>
        <w:gridCol w:w="652"/>
        <w:gridCol w:w="698"/>
        <w:gridCol w:w="1020"/>
        <w:gridCol w:w="510"/>
        <w:gridCol w:w="1065"/>
        <w:gridCol w:w="990"/>
        <w:gridCol w:w="2655"/>
      </w:tblGrid>
      <w:tr>
        <w:tblPrEx>
          <w:shd w:val="clear" w:color="auto" w:fill="auto"/>
          <w:tblCellMar>
            <w:top w:w="0" w:type="dxa"/>
            <w:left w:w="0" w:type="dxa"/>
            <w:bottom w:w="0" w:type="dxa"/>
            <w:right w:w="0" w:type="dxa"/>
          </w:tblCellMar>
        </w:tblPrEx>
        <w:trPr>
          <w:trHeight w:val="375" w:hRule="atLeast"/>
        </w:trPr>
        <w:tc>
          <w:tcPr>
            <w:tcW w:w="14112" w:type="dxa"/>
            <w:gridSpan w:val="12"/>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财政拨款“三公”经费支出决算表</w:t>
            </w:r>
          </w:p>
        </w:tc>
      </w:tr>
      <w:tr>
        <w:tblPrEx>
          <w:tblCellMar>
            <w:top w:w="0" w:type="dxa"/>
            <w:left w:w="0" w:type="dxa"/>
            <w:bottom w:w="0" w:type="dxa"/>
            <w:right w:w="0" w:type="dxa"/>
          </w:tblCellMar>
        </w:tblPrEx>
        <w:trPr>
          <w:trHeight w:val="300" w:hRule="atLeast"/>
        </w:trPr>
        <w:tc>
          <w:tcPr>
            <w:tcW w:w="14112" w:type="dxa"/>
            <w:gridSpan w:val="12"/>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CellMar>
            <w:top w:w="0" w:type="dxa"/>
            <w:left w:w="0" w:type="dxa"/>
            <w:bottom w:w="0" w:type="dxa"/>
            <w:right w:w="0" w:type="dxa"/>
          </w:tblCellMar>
        </w:tblPrEx>
        <w:trPr>
          <w:trHeight w:val="300" w:hRule="atLeast"/>
        </w:trPr>
        <w:tc>
          <w:tcPr>
            <w:tcW w:w="35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0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9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2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6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9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655"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tblCellMar>
            <w:top w:w="0" w:type="dxa"/>
            <w:left w:w="0" w:type="dxa"/>
            <w:bottom w:w="0" w:type="dxa"/>
            <w:right w:w="0" w:type="dxa"/>
          </w:tblCellMar>
        </w:tblPrEx>
        <w:trPr>
          <w:trHeight w:val="300" w:hRule="atLeast"/>
        </w:trPr>
        <w:tc>
          <w:tcPr>
            <w:tcW w:w="355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部门：黄石市黄石港区水利和湖泊局</w:t>
            </w:r>
          </w:p>
        </w:tc>
        <w:tc>
          <w:tcPr>
            <w:tcW w:w="100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57"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69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9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5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trPr>
        <w:tc>
          <w:tcPr>
            <w:tcW w:w="7174" w:type="dxa"/>
            <w:gridSpan w:val="6"/>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938"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300" w:hRule="atLeast"/>
        </w:trPr>
        <w:tc>
          <w:tcPr>
            <w:tcW w:w="3550"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0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1966"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65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69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2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2565"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265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CellMar>
            <w:top w:w="0" w:type="dxa"/>
            <w:left w:w="0" w:type="dxa"/>
            <w:bottom w:w="0" w:type="dxa"/>
            <w:right w:w="0" w:type="dxa"/>
          </w:tblCellMar>
        </w:tblPrEx>
        <w:trPr>
          <w:trHeight w:val="600" w:hRule="atLeast"/>
        </w:trPr>
        <w:tc>
          <w:tcPr>
            <w:tcW w:w="3550"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74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70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65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6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9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265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0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4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0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5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9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6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65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780" w:hRule="atLeast"/>
        </w:trPr>
        <w:tc>
          <w:tcPr>
            <w:tcW w:w="14112" w:type="dxa"/>
            <w:gridSpan w:val="1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5"/>
        <w:tblpPr w:leftFromText="180" w:rightFromText="180" w:vertAnchor="text" w:horzAnchor="page" w:tblpXSpec="center" w:tblpY="-21"/>
        <w:tblOverlap w:val="never"/>
        <w:tblW w:w="13700" w:type="dxa"/>
        <w:jc w:val="center"/>
        <w:shd w:val="clear" w:color="auto" w:fill="auto"/>
        <w:tblLayout w:type="fixed"/>
        <w:tblCellMar>
          <w:top w:w="0" w:type="dxa"/>
          <w:left w:w="0" w:type="dxa"/>
          <w:bottom w:w="0" w:type="dxa"/>
          <w:right w:w="0" w:type="dxa"/>
        </w:tblCellMar>
      </w:tblPr>
      <w:tblGrid>
        <w:gridCol w:w="2628"/>
        <w:gridCol w:w="2443"/>
        <w:gridCol w:w="1925"/>
        <w:gridCol w:w="1145"/>
        <w:gridCol w:w="1191"/>
        <w:gridCol w:w="1224"/>
        <w:gridCol w:w="1281"/>
        <w:gridCol w:w="1863"/>
      </w:tblGrid>
      <w:tr>
        <w:tblPrEx>
          <w:shd w:val="clear" w:color="auto" w:fill="auto"/>
          <w:tblCellMar>
            <w:top w:w="0" w:type="dxa"/>
            <w:left w:w="0" w:type="dxa"/>
            <w:bottom w:w="0" w:type="dxa"/>
            <w:right w:w="0" w:type="dxa"/>
          </w:tblCellMar>
        </w:tblPrEx>
        <w:trPr>
          <w:trHeight w:val="535"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74"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74" w:hRule="atLeast"/>
          <w:jc w:val="center"/>
        </w:trPr>
        <w:tc>
          <w:tcPr>
            <w:tcW w:w="5071"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color w:val="000000"/>
                <w:kern w:val="0"/>
                <w:sz w:val="22"/>
                <w:szCs w:val="22"/>
              </w:rPr>
              <w:t>部门：</w:t>
            </w:r>
            <w:r>
              <w:rPr>
                <w:rFonts w:hint="eastAsia" w:ascii="宋体" w:hAnsi="宋体" w:eastAsia="宋体" w:cs="宋体"/>
                <w:i w:val="0"/>
                <w:color w:val="000000"/>
                <w:kern w:val="0"/>
                <w:sz w:val="22"/>
                <w:szCs w:val="22"/>
                <w:u w:val="none"/>
                <w:lang w:val="en-US" w:eastAsia="zh-CN" w:bidi="ar"/>
              </w:rPr>
              <w:t>黄石市黄石港区水利和湖泊局</w:t>
            </w:r>
          </w:p>
        </w:tc>
        <w:tc>
          <w:tcPr>
            <w:tcW w:w="3070"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eastAsiaTheme="minorEastAsia"/>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2019年度</w:t>
            </w: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282" w:hRule="atLeast"/>
          <w:jc w:val="center"/>
        </w:trPr>
        <w:tc>
          <w:tcPr>
            <w:tcW w:w="5071"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69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6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12" w:hRule="atLeast"/>
          <w:jc w:val="center"/>
        </w:trPr>
        <w:tc>
          <w:tcPr>
            <w:tcW w:w="2628"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443"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2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8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1"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292"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92" w:hRule="atLeast"/>
          <w:jc w:val="center"/>
        </w:trPr>
        <w:tc>
          <w:tcPr>
            <w:tcW w:w="26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2"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rStyle w:val="7"/>
          <w:rFonts w:hint="eastAsia" w:ascii="微软雅黑" w:hAnsi="微软雅黑" w:eastAsia="微软雅黑" w:cs="微软雅黑"/>
          <w:i w:val="0"/>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第三部分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shd w:val="clear" w:fill="FFFFFF"/>
          <w:lang w:eastAsia="zh-CN"/>
        </w:rPr>
        <w:t>2019年</w:t>
      </w:r>
      <w:r>
        <w:rPr>
          <w:rStyle w:val="7"/>
          <w:rFonts w:hint="eastAsia" w:ascii="微软雅黑" w:hAnsi="微软雅黑" w:eastAsia="微软雅黑" w:cs="微软雅黑"/>
          <w:i w:val="0"/>
          <w:caps w:val="0"/>
          <w:color w:val="333333"/>
          <w:spacing w:val="0"/>
          <w:sz w:val="24"/>
          <w:szCs w:val="24"/>
          <w:shd w:val="clear" w:fill="FFFFFF"/>
        </w:rPr>
        <w:t>部门决算情况说明</w:t>
      </w:r>
    </w:p>
    <w:p>
      <w:pPr>
        <w:widowControl/>
        <w:shd w:val="clear" w:color="auto" w:fill="FFFFFF"/>
        <w:ind w:firstLine="480"/>
        <w:jc w:val="left"/>
        <w:rPr>
          <w:rFonts w:hint="eastAsia" w:ascii="宋体" w:hAnsi="宋体" w:cs="宋体"/>
          <w:b/>
          <w:bCs/>
          <w:sz w:val="28"/>
          <w:szCs w:val="28"/>
        </w:rPr>
      </w:pPr>
      <w:r>
        <w:rPr>
          <w:rFonts w:hint="eastAsia" w:ascii="宋体" w:hAnsi="宋体" w:cs="宋体"/>
          <w:b/>
          <w:bCs/>
          <w:sz w:val="28"/>
          <w:szCs w:val="28"/>
        </w:rPr>
        <w:t>（一）预算执行情况分析</w:t>
      </w:r>
    </w:p>
    <w:p>
      <w:pPr>
        <w:widowControl/>
        <w:ind w:firstLine="635" w:firstLineChars="196"/>
        <w:rPr>
          <w:rFonts w:hint="eastAsia" w:ascii="仿宋_GB2312" w:hAnsi="宋体" w:eastAsia="仿宋_GB2312"/>
          <w:color w:val="000000"/>
          <w:spacing w:val="2"/>
          <w:sz w:val="32"/>
          <w:szCs w:val="32"/>
          <w:highlight w:val="none"/>
          <w:lang w:eastAsia="zh-CN"/>
        </w:rPr>
      </w:pPr>
      <w:r>
        <w:rPr>
          <w:rFonts w:hint="eastAsia" w:ascii="仿宋_GB2312" w:hAnsi="宋体" w:eastAsia="仿宋_GB2312"/>
          <w:color w:val="000000"/>
          <w:spacing w:val="2"/>
          <w:sz w:val="32"/>
          <w:szCs w:val="32"/>
        </w:rPr>
        <w:t>2019年财政收入预算数</w:t>
      </w:r>
      <w:r>
        <w:rPr>
          <w:rFonts w:hint="eastAsia" w:ascii="仿宋_GB2312" w:hAnsi="宋体" w:eastAsia="仿宋_GB2312"/>
          <w:color w:val="000000"/>
          <w:spacing w:val="2"/>
          <w:sz w:val="32"/>
          <w:szCs w:val="32"/>
          <w:highlight w:val="none"/>
        </w:rPr>
        <w:t>2595631.78元</w:t>
      </w:r>
      <w:r>
        <w:rPr>
          <w:rFonts w:hint="eastAsia" w:ascii="仿宋_GB2312" w:hAnsi="宋体" w:eastAsia="仿宋_GB2312"/>
          <w:color w:val="000000"/>
          <w:spacing w:val="2"/>
          <w:sz w:val="32"/>
          <w:szCs w:val="32"/>
        </w:rPr>
        <w:t>，</w:t>
      </w:r>
      <w:r>
        <w:rPr>
          <w:rFonts w:hint="eastAsia" w:ascii="仿宋_GB2312" w:hAnsi="宋体" w:eastAsia="仿宋_GB2312"/>
          <w:color w:val="000000"/>
          <w:spacing w:val="2"/>
          <w:sz w:val="32"/>
          <w:szCs w:val="32"/>
          <w:highlight w:val="none"/>
        </w:rPr>
        <w:t>其中人员经费472796.03元，公用经费2122835.75元, 2019年财政支出预算数2595631.78元，其中</w:t>
      </w:r>
      <w:r>
        <w:rPr>
          <w:rFonts w:hint="eastAsia" w:ascii="仿宋_GB2312" w:hAnsi="宋体" w:eastAsia="仿宋_GB2312"/>
          <w:color w:val="000000"/>
          <w:spacing w:val="2"/>
          <w:sz w:val="32"/>
          <w:szCs w:val="32"/>
        </w:rPr>
        <w:t>人员经费</w:t>
      </w:r>
      <w:r>
        <w:rPr>
          <w:rFonts w:hint="eastAsia" w:ascii="仿宋_GB2312" w:hAnsi="宋体" w:eastAsia="仿宋_GB2312"/>
          <w:color w:val="000000"/>
          <w:spacing w:val="2"/>
          <w:sz w:val="32"/>
          <w:szCs w:val="32"/>
          <w:highlight w:val="none"/>
        </w:rPr>
        <w:t>472796.03元，公用经费2122835.75元；2019年新增单位</w:t>
      </w:r>
      <w:r>
        <w:rPr>
          <w:rFonts w:hint="eastAsia" w:ascii="仿宋_GB2312" w:hAnsi="宋体" w:eastAsia="仿宋_GB2312"/>
          <w:color w:val="000000"/>
          <w:spacing w:val="2"/>
          <w:sz w:val="32"/>
          <w:szCs w:val="32"/>
          <w:highlight w:val="none"/>
          <w:lang w:eastAsia="zh-CN"/>
        </w:rPr>
        <w:t>。</w:t>
      </w:r>
    </w:p>
    <w:p>
      <w:pPr>
        <w:widowControl/>
        <w:ind w:firstLine="651" w:firstLineChars="200"/>
        <w:rPr>
          <w:rFonts w:hint="eastAsia" w:ascii="仿宋_GB2312" w:hAnsi="宋体" w:eastAsia="仿宋_GB2312"/>
          <w:b/>
          <w:color w:val="000000"/>
          <w:spacing w:val="2"/>
          <w:sz w:val="32"/>
          <w:szCs w:val="32"/>
        </w:rPr>
      </w:pPr>
      <w:r>
        <w:rPr>
          <w:rFonts w:hint="eastAsia" w:ascii="仿宋_GB2312" w:hAnsi="宋体" w:eastAsia="仿宋_GB2312"/>
          <w:b/>
          <w:color w:val="000000"/>
          <w:spacing w:val="2"/>
          <w:sz w:val="32"/>
          <w:szCs w:val="32"/>
          <w:lang w:val="en-US" w:eastAsia="zh-CN"/>
        </w:rPr>
        <w:t>1</w:t>
      </w:r>
      <w:r>
        <w:rPr>
          <w:rFonts w:hint="eastAsia" w:ascii="仿宋_GB2312" w:hAnsi="宋体" w:eastAsia="仿宋_GB2312"/>
          <w:b/>
          <w:color w:val="000000"/>
          <w:spacing w:val="2"/>
          <w:sz w:val="32"/>
          <w:szCs w:val="32"/>
        </w:rPr>
        <w:t>、收入支出预算执行情况</w:t>
      </w:r>
    </w:p>
    <w:p>
      <w:pPr>
        <w:widowControl/>
        <w:ind w:firstLine="486" w:firstLineChars="150"/>
        <w:rPr>
          <w:rFonts w:hint="eastAsia" w:ascii="仿宋_GB2312" w:hAnsi="宋体" w:eastAsia="仿宋_GB2312"/>
          <w:color w:val="000000"/>
          <w:spacing w:val="2"/>
          <w:sz w:val="32"/>
          <w:szCs w:val="32"/>
          <w:lang w:eastAsia="zh-CN"/>
        </w:rPr>
      </w:pPr>
      <w:r>
        <w:rPr>
          <w:rFonts w:hint="eastAsia" w:ascii="仿宋_GB2312" w:hAnsi="宋体" w:eastAsia="仿宋_GB2312"/>
          <w:color w:val="000000"/>
          <w:spacing w:val="2"/>
          <w:sz w:val="32"/>
          <w:szCs w:val="32"/>
        </w:rPr>
        <w:t>2019年财政收入预算执行数2595631.78元，其中人员经费472796.03元，公用经费2122835.75元, 2019年财政支出预算执行数2595631.78元，其中人员经费472796.03元，公用经费2122835.75元, 2019年新增单位</w:t>
      </w:r>
      <w:r>
        <w:rPr>
          <w:rFonts w:hint="eastAsia" w:ascii="仿宋_GB2312" w:hAnsi="宋体" w:eastAsia="仿宋_GB2312"/>
          <w:color w:val="000000"/>
          <w:spacing w:val="2"/>
          <w:sz w:val="32"/>
          <w:szCs w:val="32"/>
          <w:lang w:eastAsia="zh-CN"/>
        </w:rPr>
        <w:t>。</w:t>
      </w:r>
    </w:p>
    <w:p>
      <w:pPr>
        <w:widowControl/>
        <w:ind w:firstLine="651" w:firstLineChars="200"/>
        <w:rPr>
          <w:rFonts w:hint="eastAsia" w:ascii="仿宋_GB2312" w:hAnsi="宋体" w:eastAsia="仿宋_GB2312"/>
          <w:b/>
          <w:color w:val="000000"/>
          <w:spacing w:val="2"/>
          <w:sz w:val="32"/>
          <w:szCs w:val="32"/>
        </w:rPr>
      </w:pPr>
      <w:r>
        <w:rPr>
          <w:rFonts w:hint="eastAsia" w:ascii="仿宋_GB2312" w:hAnsi="宋体" w:eastAsia="仿宋_GB2312"/>
          <w:b/>
          <w:color w:val="000000"/>
          <w:spacing w:val="2"/>
          <w:sz w:val="32"/>
          <w:szCs w:val="32"/>
          <w:lang w:val="en-US" w:eastAsia="zh-CN"/>
        </w:rPr>
        <w:t>2</w:t>
      </w:r>
      <w:r>
        <w:rPr>
          <w:rFonts w:hint="eastAsia" w:ascii="仿宋_GB2312" w:hAnsi="宋体" w:eastAsia="仿宋_GB2312"/>
          <w:b/>
          <w:color w:val="000000"/>
          <w:spacing w:val="2"/>
          <w:sz w:val="32"/>
          <w:szCs w:val="32"/>
        </w:rPr>
        <w:t>、收入支出与预算对比分析</w:t>
      </w:r>
    </w:p>
    <w:p>
      <w:pPr>
        <w:spacing w:line="440" w:lineRule="exact"/>
        <w:ind w:firstLine="648" w:firstLineChars="200"/>
        <w:rPr>
          <w:rFonts w:hint="eastAsia" w:ascii="仿宋_GB2312" w:hAnsi="宋体" w:eastAsia="仿宋_GB2312"/>
          <w:color w:val="000000"/>
          <w:spacing w:val="2"/>
          <w:sz w:val="32"/>
          <w:szCs w:val="32"/>
          <w:highlight w:val="none"/>
          <w:lang w:eastAsia="zh-CN"/>
        </w:rPr>
      </w:pPr>
      <w:r>
        <w:rPr>
          <w:rFonts w:hint="eastAsia" w:ascii="仿宋_GB2312" w:hAnsi="宋体" w:eastAsia="仿宋_GB2312"/>
          <w:color w:val="000000"/>
          <w:spacing w:val="2"/>
          <w:sz w:val="32"/>
          <w:szCs w:val="32"/>
        </w:rPr>
        <w:t>2019年全年总收入2701131.78元,其中财拨款决算收入2595631.78元,其它收入105500元, 2019年全年决算总支出2701131.78元,其中财拨款决算支出2595631.78元,其它资金支出105500元,2019年财政预算数2595631.78元，财拨款决算比预算多105500元,幅度为40.65%,原因为业务</w:t>
      </w:r>
      <w:r>
        <w:rPr>
          <w:rFonts w:hint="eastAsia" w:ascii="仿宋_GB2312" w:hAnsi="宋体" w:eastAsia="仿宋_GB2312"/>
          <w:color w:val="000000"/>
          <w:spacing w:val="2"/>
          <w:sz w:val="32"/>
          <w:szCs w:val="32"/>
          <w:lang w:eastAsia="zh-CN"/>
        </w:rPr>
        <w:t>增加。</w:t>
      </w:r>
    </w:p>
    <w:p>
      <w:pPr>
        <w:spacing w:line="440" w:lineRule="exact"/>
        <w:ind w:firstLine="651" w:firstLineChars="200"/>
        <w:rPr>
          <w:rFonts w:hint="eastAsia" w:ascii="仿宋_GB2312" w:hAnsi="宋体" w:eastAsia="仿宋_GB2312"/>
          <w:b/>
          <w:color w:val="000000"/>
          <w:spacing w:val="2"/>
          <w:sz w:val="32"/>
          <w:szCs w:val="32"/>
        </w:rPr>
      </w:pPr>
      <w:r>
        <w:rPr>
          <w:rFonts w:hint="eastAsia" w:ascii="仿宋_GB2312" w:hAnsi="宋体" w:eastAsia="仿宋_GB2312"/>
          <w:b/>
          <w:color w:val="000000"/>
          <w:spacing w:val="2"/>
          <w:sz w:val="32"/>
          <w:szCs w:val="32"/>
          <w:lang w:val="en-US" w:eastAsia="zh-CN"/>
        </w:rPr>
        <w:t>3</w:t>
      </w:r>
      <w:r>
        <w:rPr>
          <w:rFonts w:hint="eastAsia" w:ascii="仿宋_GB2312" w:hAnsi="宋体" w:eastAsia="仿宋_GB2312"/>
          <w:b/>
          <w:color w:val="000000"/>
          <w:spacing w:val="2"/>
          <w:sz w:val="32"/>
          <w:szCs w:val="32"/>
        </w:rPr>
        <w:t>、收入支出结构分析</w:t>
      </w:r>
    </w:p>
    <w:p>
      <w:pPr>
        <w:spacing w:line="440" w:lineRule="exact"/>
        <w:ind w:firstLine="568" w:firstLineChars="200"/>
        <w:rPr>
          <w:rFonts w:hint="eastAsia" w:ascii="仿宋_GB2312" w:hAnsi="宋体" w:eastAsia="仿宋_GB2312"/>
          <w:color w:val="000000"/>
          <w:spacing w:val="2"/>
          <w:sz w:val="32"/>
          <w:szCs w:val="32"/>
        </w:rPr>
      </w:pPr>
      <w:r>
        <w:rPr>
          <w:rFonts w:hint="eastAsia" w:ascii="宋体" w:hAnsi="宋体"/>
          <w:color w:val="000000"/>
          <w:spacing w:val="2"/>
          <w:sz w:val="28"/>
          <w:szCs w:val="28"/>
          <w:lang w:eastAsia="zh-CN"/>
        </w:rPr>
        <w:t>（</w:t>
      </w:r>
      <w:r>
        <w:rPr>
          <w:rFonts w:hint="eastAsia" w:ascii="宋体" w:hAnsi="宋体"/>
          <w:color w:val="000000"/>
          <w:spacing w:val="2"/>
          <w:sz w:val="28"/>
          <w:szCs w:val="28"/>
        </w:rPr>
        <w:t>1</w:t>
      </w:r>
      <w:r>
        <w:rPr>
          <w:rFonts w:hint="eastAsia" w:ascii="宋体" w:hAnsi="宋体"/>
          <w:color w:val="000000"/>
          <w:spacing w:val="2"/>
          <w:sz w:val="28"/>
          <w:szCs w:val="28"/>
          <w:lang w:eastAsia="zh-CN"/>
        </w:rPr>
        <w:t>）</w:t>
      </w:r>
      <w:r>
        <w:rPr>
          <w:rFonts w:hint="eastAsia" w:ascii="仿宋_GB2312" w:hAnsi="宋体" w:eastAsia="仿宋_GB2312"/>
          <w:color w:val="000000"/>
          <w:spacing w:val="2"/>
          <w:sz w:val="32"/>
          <w:szCs w:val="32"/>
        </w:rPr>
        <w:t>、2019年全年总收入2701131.78元,其中财拨款决算收入</w:t>
      </w:r>
      <w:r>
        <w:rPr>
          <w:rFonts w:hint="eastAsia" w:ascii="仿宋_GB2312" w:hAnsi="宋体" w:eastAsia="仿宋_GB2312"/>
          <w:spacing w:val="2"/>
          <w:sz w:val="32"/>
          <w:szCs w:val="32"/>
        </w:rPr>
        <w:t>2595631.78元,</w:t>
      </w:r>
      <w:r>
        <w:rPr>
          <w:rFonts w:hint="eastAsia" w:ascii="仿宋_GB2312" w:hAnsi="宋体" w:eastAsia="仿宋_GB2312"/>
          <w:color w:val="000000"/>
          <w:spacing w:val="2"/>
          <w:sz w:val="32"/>
          <w:szCs w:val="32"/>
        </w:rPr>
        <w:t xml:space="preserve">其它收入105500元, </w:t>
      </w:r>
    </w:p>
    <w:p>
      <w:pPr>
        <w:spacing w:line="440" w:lineRule="exact"/>
        <w:ind w:firstLine="568" w:firstLineChars="200"/>
        <w:rPr>
          <w:rFonts w:hint="eastAsia" w:ascii="仿宋_GB2312" w:hAnsi="宋体" w:eastAsia="仿宋_GB2312"/>
          <w:color w:val="FF0000"/>
          <w:spacing w:val="2"/>
          <w:sz w:val="32"/>
          <w:szCs w:val="32"/>
        </w:rPr>
      </w:pPr>
      <w:r>
        <w:rPr>
          <w:rFonts w:hint="eastAsia" w:ascii="宋体" w:hAnsi="宋体"/>
          <w:color w:val="000000"/>
          <w:spacing w:val="2"/>
          <w:sz w:val="28"/>
          <w:szCs w:val="28"/>
          <w:lang w:eastAsia="zh-CN"/>
        </w:rPr>
        <w:t>（</w:t>
      </w:r>
      <w:r>
        <w:rPr>
          <w:rFonts w:hint="eastAsia" w:ascii="宋体" w:hAnsi="宋体"/>
          <w:color w:val="000000"/>
          <w:spacing w:val="2"/>
          <w:sz w:val="28"/>
          <w:szCs w:val="28"/>
          <w:lang w:val="en-US" w:eastAsia="zh-CN"/>
        </w:rPr>
        <w:t>2</w:t>
      </w:r>
      <w:r>
        <w:rPr>
          <w:rFonts w:hint="eastAsia" w:ascii="宋体" w:hAnsi="宋体"/>
          <w:color w:val="000000"/>
          <w:spacing w:val="2"/>
          <w:sz w:val="28"/>
          <w:szCs w:val="28"/>
          <w:lang w:eastAsia="zh-CN"/>
        </w:rPr>
        <w:t>）</w:t>
      </w:r>
      <w:r>
        <w:rPr>
          <w:rFonts w:hint="eastAsia" w:ascii="仿宋_GB2312" w:hAnsi="宋体" w:eastAsia="仿宋_GB2312"/>
          <w:color w:val="000000"/>
          <w:spacing w:val="2"/>
          <w:sz w:val="32"/>
          <w:szCs w:val="32"/>
        </w:rPr>
        <w:t>、2019年全年决算总支出2701131.78元,其中财拨款决算支出</w:t>
      </w:r>
      <w:r>
        <w:rPr>
          <w:rFonts w:hint="eastAsia" w:ascii="仿宋_GB2312" w:hAnsi="宋体" w:eastAsia="仿宋_GB2312"/>
          <w:spacing w:val="2"/>
          <w:sz w:val="32"/>
          <w:szCs w:val="32"/>
        </w:rPr>
        <w:t>2595631.78</w:t>
      </w:r>
      <w:r>
        <w:rPr>
          <w:rFonts w:hint="eastAsia" w:ascii="仿宋_GB2312" w:hAnsi="宋体" w:eastAsia="仿宋_GB2312"/>
          <w:color w:val="000000"/>
          <w:spacing w:val="2"/>
          <w:sz w:val="32"/>
          <w:szCs w:val="32"/>
        </w:rPr>
        <w:t>元,其它资金支出105500元，支出按以下分类说明：</w:t>
      </w:r>
    </w:p>
    <w:p>
      <w:pPr>
        <w:spacing w:line="440" w:lineRule="exact"/>
        <w:ind w:firstLine="852" w:firstLineChars="300"/>
        <w:rPr>
          <w:rFonts w:hint="eastAsia" w:ascii="仿宋_GB2312" w:hAnsi="宋体" w:eastAsia="仿宋_GB2312"/>
          <w:color w:val="000000"/>
          <w:spacing w:val="2"/>
          <w:sz w:val="32"/>
          <w:szCs w:val="32"/>
        </w:rPr>
      </w:pPr>
      <w:r>
        <w:rPr>
          <w:rFonts w:hint="default" w:ascii="宋体" w:hAnsi="宋体"/>
          <w:color w:val="000000"/>
          <w:spacing w:val="2"/>
          <w:sz w:val="28"/>
          <w:szCs w:val="28"/>
        </w:rPr>
        <w:t>①</w:t>
      </w:r>
      <w:r>
        <w:rPr>
          <w:rFonts w:hint="eastAsia" w:ascii="仿宋_GB2312" w:hAnsi="宋体" w:eastAsia="仿宋_GB2312"/>
          <w:color w:val="000000"/>
          <w:spacing w:val="2"/>
          <w:sz w:val="32"/>
          <w:szCs w:val="32"/>
        </w:rPr>
        <w:t>支出功能分类：决算总支2701131.78出元;其中节能环保支出421600元，其中农林水支出2279531.78元.</w:t>
      </w:r>
    </w:p>
    <w:p>
      <w:pPr>
        <w:spacing w:line="440" w:lineRule="exact"/>
        <w:ind w:firstLine="852" w:firstLineChars="300"/>
        <w:rPr>
          <w:rFonts w:hint="eastAsia" w:ascii="仿宋_GB2312" w:hAnsi="宋体" w:eastAsia="仿宋_GB2312"/>
          <w:color w:val="000000"/>
          <w:spacing w:val="2"/>
          <w:sz w:val="32"/>
          <w:szCs w:val="32"/>
        </w:rPr>
      </w:pPr>
      <w:r>
        <w:rPr>
          <w:rFonts w:hint="default" w:ascii="宋体" w:hAnsi="宋体"/>
          <w:color w:val="000000"/>
          <w:spacing w:val="2"/>
          <w:sz w:val="28"/>
          <w:szCs w:val="28"/>
        </w:rPr>
        <w:t>②</w:t>
      </w:r>
      <w:r>
        <w:rPr>
          <w:rFonts w:hint="eastAsia" w:ascii="仿宋_GB2312" w:hAnsi="宋体" w:eastAsia="仿宋_GB2312"/>
          <w:color w:val="000000"/>
          <w:spacing w:val="2"/>
          <w:sz w:val="32"/>
          <w:szCs w:val="32"/>
        </w:rPr>
        <w:t>支出性质分类：决算总支出2701131.78元，其中人员经费472796.03元，公用经费2228335.75元;</w:t>
      </w:r>
      <w:r>
        <w:rPr>
          <w:rFonts w:hint="eastAsia" w:ascii="仿宋_GB2312" w:hAnsi="宋体" w:eastAsia="仿宋_GB2312"/>
          <w:color w:val="FF0000"/>
          <w:spacing w:val="2"/>
          <w:sz w:val="32"/>
          <w:szCs w:val="32"/>
        </w:rPr>
        <w:t xml:space="preserve"> </w:t>
      </w:r>
    </w:p>
    <w:p>
      <w:pPr>
        <w:spacing w:line="440" w:lineRule="exact"/>
        <w:ind w:firstLine="852" w:firstLineChars="300"/>
        <w:rPr>
          <w:rFonts w:hint="eastAsia" w:ascii="仿宋_GB2312" w:hAnsi="宋体" w:eastAsia="仿宋_GB2312"/>
          <w:color w:val="000000"/>
          <w:spacing w:val="2"/>
          <w:sz w:val="32"/>
          <w:szCs w:val="32"/>
        </w:rPr>
      </w:pPr>
      <w:r>
        <w:rPr>
          <w:rFonts w:hint="default" w:ascii="宋体" w:hAnsi="宋体"/>
          <w:color w:val="000000"/>
          <w:spacing w:val="2"/>
          <w:sz w:val="28"/>
          <w:szCs w:val="28"/>
        </w:rPr>
        <w:t>③</w:t>
      </w:r>
      <w:r>
        <w:rPr>
          <w:rFonts w:hint="eastAsia" w:ascii="仿宋_GB2312" w:hAnsi="宋体" w:eastAsia="仿宋_GB2312"/>
          <w:color w:val="000000"/>
          <w:spacing w:val="2"/>
          <w:sz w:val="32"/>
          <w:szCs w:val="32"/>
        </w:rPr>
        <w:t>支出经济分类：决算总支出2701131.78元，其中工资福利支出472796.03元，商品服务支出2211897.75元，对个人和家庭的补助支出0元，资本性支出16438元。</w:t>
      </w:r>
    </w:p>
    <w:p>
      <w:pPr>
        <w:spacing w:line="440" w:lineRule="exact"/>
        <w:ind w:firstLine="568" w:firstLineChars="200"/>
        <w:rPr>
          <w:rFonts w:hint="eastAsia" w:ascii="仿宋_GB2312" w:hAnsi="宋体" w:eastAsia="仿宋_GB2312"/>
          <w:color w:val="000000"/>
          <w:spacing w:val="2"/>
          <w:sz w:val="32"/>
          <w:szCs w:val="32"/>
        </w:rPr>
      </w:pPr>
      <w:r>
        <w:rPr>
          <w:rFonts w:hint="eastAsia" w:ascii="宋体" w:hAnsi="宋体"/>
          <w:color w:val="000000"/>
          <w:spacing w:val="2"/>
          <w:sz w:val="28"/>
          <w:szCs w:val="28"/>
          <w:lang w:eastAsia="zh-CN"/>
        </w:rPr>
        <w:t>（</w:t>
      </w:r>
      <w:r>
        <w:rPr>
          <w:rFonts w:hint="eastAsia" w:ascii="宋体" w:hAnsi="宋体"/>
          <w:color w:val="000000"/>
          <w:spacing w:val="2"/>
          <w:sz w:val="28"/>
          <w:szCs w:val="28"/>
          <w:lang w:val="en-US" w:eastAsia="zh-CN"/>
        </w:rPr>
        <w:t>3</w:t>
      </w:r>
      <w:r>
        <w:rPr>
          <w:rFonts w:hint="eastAsia" w:ascii="宋体" w:hAnsi="宋体"/>
          <w:color w:val="000000"/>
          <w:spacing w:val="2"/>
          <w:sz w:val="28"/>
          <w:szCs w:val="28"/>
          <w:lang w:eastAsia="zh-CN"/>
        </w:rPr>
        <w:t>）</w:t>
      </w:r>
      <w:r>
        <w:rPr>
          <w:rFonts w:hint="eastAsia" w:ascii="仿宋_GB2312" w:hAnsi="宋体" w:eastAsia="仿宋_GB2312"/>
          <w:color w:val="000000"/>
          <w:spacing w:val="2"/>
          <w:sz w:val="32"/>
          <w:szCs w:val="32"/>
        </w:rPr>
        <w:t>、支出按经济分类科目分析</w:t>
      </w:r>
    </w:p>
    <w:p>
      <w:pPr>
        <w:widowControl/>
        <w:ind w:firstLine="635" w:firstLineChars="196"/>
        <w:rPr>
          <w:rFonts w:hint="eastAsia" w:ascii="宋体" w:hAnsi="宋体"/>
          <w:color w:val="000000"/>
          <w:spacing w:val="2"/>
          <w:sz w:val="28"/>
          <w:szCs w:val="28"/>
        </w:rPr>
      </w:pPr>
      <w:r>
        <w:rPr>
          <w:rFonts w:hint="eastAsia" w:ascii="仿宋_GB2312" w:hAnsi="宋体" w:eastAsia="仿宋_GB2312"/>
          <w:color w:val="000000"/>
          <w:spacing w:val="2"/>
          <w:sz w:val="32"/>
          <w:szCs w:val="32"/>
        </w:rPr>
        <w:t>（1）2019年全年总支出2701131.78元，其中工资福利支出472796.03元，商品服务支出2211897.75元，对个人和家庭的补助支出0元，资本性支出16438元。</w:t>
      </w:r>
    </w:p>
    <w:p>
      <w:pPr>
        <w:widowControl/>
        <w:numPr>
          <w:ilvl w:val="0"/>
          <w:numId w:val="3"/>
        </w:numPr>
        <w:shd w:val="clear" w:color="auto" w:fill="FFFFFF"/>
        <w:ind w:firstLine="480"/>
        <w:jc w:val="left"/>
        <w:rPr>
          <w:rFonts w:hint="eastAsia" w:ascii="宋体" w:hAnsi="宋体" w:cs="宋体"/>
          <w:b/>
          <w:bCs/>
          <w:sz w:val="28"/>
          <w:szCs w:val="28"/>
        </w:rPr>
      </w:pPr>
      <w:r>
        <w:rPr>
          <w:rFonts w:hint="eastAsia" w:ascii="宋体" w:hAnsi="宋体" w:cs="宋体"/>
          <w:b/>
          <w:bCs/>
          <w:sz w:val="28"/>
          <w:szCs w:val="28"/>
        </w:rPr>
        <w:t>关于“三公”经费支出说明</w:t>
      </w:r>
    </w:p>
    <w:p>
      <w:pPr>
        <w:spacing w:line="440" w:lineRule="exact"/>
        <w:ind w:firstLine="562" w:firstLineChars="200"/>
        <w:rPr>
          <w:rFonts w:hint="eastAsia" w:ascii="仿宋_GB2312" w:hAnsi="宋体" w:eastAsia="仿宋_GB2312"/>
          <w:sz w:val="32"/>
          <w:szCs w:val="32"/>
        </w:rPr>
      </w:pPr>
      <w:r>
        <w:rPr>
          <w:rFonts w:hint="eastAsia" w:ascii="宋体" w:hAnsi="宋体" w:cs="宋体"/>
          <w:b/>
          <w:bCs/>
          <w:sz w:val="28"/>
          <w:szCs w:val="28"/>
          <w:lang w:val="en-US" w:eastAsia="zh-CN"/>
        </w:rPr>
        <w:t xml:space="preserve"> </w:t>
      </w:r>
      <w:r>
        <w:rPr>
          <w:rFonts w:hint="eastAsia" w:ascii="仿宋_GB2312" w:hAnsi="宋体" w:eastAsia="仿宋_GB2312"/>
          <w:sz w:val="32"/>
          <w:szCs w:val="32"/>
          <w:lang w:eastAsia="zh-CN"/>
        </w:rPr>
        <w:t>本年度</w:t>
      </w:r>
      <w:r>
        <w:rPr>
          <w:rFonts w:hint="eastAsia" w:ascii="仿宋_GB2312" w:hAnsi="宋体" w:eastAsia="仿宋_GB2312"/>
          <w:sz w:val="32"/>
          <w:szCs w:val="32"/>
        </w:rPr>
        <w:t>三公经费</w:t>
      </w:r>
      <w:r>
        <w:rPr>
          <w:rFonts w:hint="eastAsia" w:ascii="仿宋_GB2312" w:hAnsi="宋体" w:eastAsia="仿宋_GB2312"/>
          <w:sz w:val="32"/>
          <w:szCs w:val="32"/>
          <w:lang w:eastAsia="zh-CN"/>
        </w:rPr>
        <w:t>中，</w:t>
      </w:r>
      <w:r>
        <w:rPr>
          <w:rFonts w:hint="eastAsia" w:ascii="仿宋_GB2312" w:hAnsi="宋体" w:eastAsia="仿宋_GB2312"/>
          <w:sz w:val="32"/>
          <w:szCs w:val="32"/>
        </w:rPr>
        <w:t>决算总支出0元，其中：</w:t>
      </w:r>
      <w:r>
        <w:rPr>
          <w:rFonts w:hint="eastAsia" w:ascii="仿宋_GB2312" w:hAnsi="宋体" w:eastAsia="仿宋_GB2312"/>
          <w:color w:val="FF6600"/>
          <w:sz w:val="32"/>
          <w:szCs w:val="32"/>
        </w:rPr>
        <w:t xml:space="preserve"> </w:t>
      </w:r>
    </w:p>
    <w:p>
      <w:pPr>
        <w:spacing w:line="4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公务车运行维护费0元，年初预算数0元，决算数比预算数减少0元，减少幅度为0；</w:t>
      </w:r>
    </w:p>
    <w:p>
      <w:pPr>
        <w:spacing w:line="4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公务接待费0元，年初预算数0元，决算数比预算数增加0元，增长幅度为0；</w:t>
      </w:r>
    </w:p>
    <w:p>
      <w:pPr>
        <w:spacing w:line="4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因公出国（境）费0元，预算数0元，决算数比预算数增加0元，增长幅度为0%；</w:t>
      </w:r>
    </w:p>
    <w:p>
      <w:pPr>
        <w:widowControl/>
        <w:numPr>
          <w:ilvl w:val="0"/>
          <w:numId w:val="0"/>
        </w:numPr>
        <w:shd w:val="clear" w:color="auto" w:fill="FFFFFF"/>
        <w:jc w:val="left"/>
        <w:rPr>
          <w:rFonts w:hint="default" w:ascii="宋体" w:hAnsi="宋体" w:cs="宋体" w:eastAsiaTheme="minorEastAsia"/>
          <w:b/>
          <w:bCs/>
          <w:sz w:val="28"/>
          <w:szCs w:val="28"/>
          <w:lang w:val="en-US" w:eastAsia="zh-CN"/>
        </w:rPr>
      </w:pPr>
    </w:p>
    <w:p>
      <w:pPr>
        <w:widowControl/>
        <w:shd w:val="clear" w:color="auto" w:fill="FFFFFF"/>
        <w:jc w:val="left"/>
        <w:rPr>
          <w:rFonts w:hint="eastAsia" w:ascii="宋体" w:hAnsi="宋体" w:cs="宋体"/>
          <w:b/>
          <w:bCs/>
          <w:sz w:val="28"/>
          <w:szCs w:val="28"/>
        </w:rPr>
      </w:pPr>
      <w:r>
        <w:rPr>
          <w:rFonts w:hint="eastAsia" w:ascii="宋体" w:hAnsi="宋体" w:cs="宋体"/>
          <w:sz w:val="28"/>
          <w:szCs w:val="28"/>
        </w:rPr>
        <w:t>　　</w:t>
      </w:r>
      <w:r>
        <w:rPr>
          <w:rFonts w:hint="eastAsia" w:ascii="宋体" w:hAnsi="宋体" w:cs="宋体"/>
          <w:b/>
          <w:bCs/>
          <w:sz w:val="28"/>
          <w:szCs w:val="28"/>
        </w:rPr>
        <w:t>（三）关于机关运行经费支出说明</w:t>
      </w:r>
    </w:p>
    <w:p>
      <w:pPr>
        <w:widowControl/>
        <w:ind w:firstLine="640" w:firstLineChars="200"/>
        <w:rPr>
          <w:rFonts w:hint="eastAsia" w:ascii="仿宋_GB2312" w:hAnsi="宋体" w:eastAsia="仿宋_GB2312"/>
          <w:spacing w:val="2"/>
          <w:sz w:val="32"/>
          <w:szCs w:val="32"/>
          <w:lang w:eastAsia="zh-CN"/>
        </w:rPr>
      </w:pPr>
      <w:r>
        <w:rPr>
          <w:rFonts w:hint="eastAsia" w:ascii="仿宋_GB2312" w:hAnsi="宋体" w:eastAsia="仿宋_GB2312" w:cs="宋体"/>
          <w:kern w:val="2"/>
          <w:sz w:val="32"/>
          <w:szCs w:val="32"/>
          <w:lang w:val="en-US" w:eastAsia="zh-CN" w:bidi="ar-SA"/>
        </w:rPr>
        <w:t>2019年机关运行经费支出2122835.75元,相较于2018年度增长100%，主要是因为机构改革，水利和湖泊局为黄石港区新成立单位，发生单位正常开支及人员相关管理费用。</w:t>
      </w:r>
      <w:bookmarkStart w:id="0" w:name="_GoBack"/>
      <w:bookmarkEnd w:id="0"/>
    </w:p>
    <w:p>
      <w:pPr>
        <w:widowControl/>
        <w:shd w:val="clear" w:color="auto" w:fill="FFFFFF"/>
        <w:jc w:val="left"/>
        <w:rPr>
          <w:rFonts w:hint="eastAsia" w:ascii="宋体" w:hAnsi="宋体" w:cs="宋体"/>
          <w:b/>
          <w:bCs/>
          <w:sz w:val="28"/>
          <w:szCs w:val="28"/>
        </w:rPr>
      </w:pPr>
      <w:r>
        <w:rPr>
          <w:rFonts w:hint="eastAsia" w:ascii="宋体" w:hAnsi="宋体" w:cs="宋体"/>
          <w:sz w:val="28"/>
          <w:szCs w:val="28"/>
        </w:rPr>
        <w:t>　</w:t>
      </w:r>
      <w:r>
        <w:rPr>
          <w:rFonts w:hint="eastAsia" w:ascii="宋体" w:hAnsi="宋体" w:cs="宋体"/>
          <w:b/>
          <w:bCs/>
          <w:sz w:val="28"/>
          <w:szCs w:val="28"/>
        </w:rPr>
        <w:t>　（四）关于政府采购支出说明</w:t>
      </w:r>
    </w:p>
    <w:p>
      <w:pPr>
        <w:pStyle w:val="8"/>
        <w:ind w:left="0" w:leftChars="0" w:firstLine="640" w:firstLineChars="200"/>
        <w:rPr>
          <w:rFonts w:hint="eastAsia" w:ascii="仿宋_GB2312" w:hAnsi="宋体" w:eastAsia="仿宋_GB2312"/>
        </w:rPr>
      </w:pPr>
      <w:r>
        <w:rPr>
          <w:rFonts w:hint="eastAsia" w:ascii="仿宋_GB2312" w:hAnsi="宋体" w:eastAsia="仿宋_GB2312"/>
        </w:rPr>
        <w:t>2019年政府采购总支出317080元，其中政府采购货物支出17080元，政府采购工程支出0元，政府采购服务支出300000元。</w:t>
      </w:r>
    </w:p>
    <w:p>
      <w:pPr>
        <w:widowControl/>
        <w:shd w:val="clear" w:color="auto" w:fill="FFFFFF"/>
        <w:jc w:val="left"/>
        <w:rPr>
          <w:rFonts w:hint="eastAsia" w:ascii="宋体" w:hAnsi="宋体" w:cs="宋体"/>
          <w:b/>
          <w:bCs/>
          <w:sz w:val="28"/>
          <w:szCs w:val="28"/>
        </w:rPr>
      </w:pPr>
      <w:r>
        <w:rPr>
          <w:rFonts w:hint="eastAsia" w:ascii="宋体" w:hAnsi="宋体" w:cs="宋体"/>
          <w:sz w:val="28"/>
          <w:szCs w:val="28"/>
        </w:rPr>
        <w:t>　　</w:t>
      </w:r>
      <w:r>
        <w:rPr>
          <w:rFonts w:hint="eastAsia" w:ascii="宋体" w:hAnsi="宋体" w:cs="宋体"/>
          <w:b/>
          <w:bCs/>
          <w:sz w:val="28"/>
          <w:szCs w:val="28"/>
        </w:rPr>
        <w:t>（五）关于国有资产占用情况说明</w:t>
      </w:r>
    </w:p>
    <w:p>
      <w:pPr>
        <w:pStyle w:val="8"/>
        <w:ind w:firstLine="960" w:firstLineChars="300"/>
        <w:rPr>
          <w:rFonts w:hint="eastAsia" w:ascii="仿宋_GB2312" w:hAnsi="宋体" w:eastAsia="仿宋_GB2312" w:cs="Times New Roman"/>
        </w:rPr>
      </w:pPr>
      <w:r>
        <w:rPr>
          <w:rFonts w:hint="eastAsia" w:ascii="仿宋_GB2312" w:hAnsi="宋体" w:eastAsia="仿宋_GB2312" w:cs="Times New Roman"/>
        </w:rPr>
        <w:t>截至2019年12月31日，本单位共有车辆0辆，其中领导干部用车0辆，一般公务用车0辆，一般执法执勤用车0辆，特种专业技术用车0辆，其它用车0辆。</w:t>
      </w:r>
    </w:p>
    <w:p>
      <w:pPr>
        <w:widowControl/>
        <w:shd w:val="clear" w:color="auto" w:fill="FFFFFF"/>
        <w:ind w:firstLine="562" w:firstLineChars="200"/>
        <w:jc w:val="left"/>
        <w:rPr>
          <w:rFonts w:hint="eastAsia" w:ascii="宋体" w:hAnsi="宋体" w:cs="宋体"/>
          <w:b/>
          <w:bCs/>
          <w:sz w:val="28"/>
          <w:szCs w:val="28"/>
          <w:lang w:val="en-US" w:eastAsia="zh-CN"/>
        </w:rPr>
      </w:pPr>
      <w:r>
        <w:rPr>
          <w:rFonts w:hint="eastAsia" w:ascii="宋体" w:hAnsi="宋体" w:cs="宋体"/>
          <w:b/>
          <w:bCs/>
          <w:sz w:val="28"/>
          <w:szCs w:val="28"/>
          <w:lang w:val="en-US" w:eastAsia="zh-CN"/>
        </w:rPr>
        <w:t>（六）重点绩效评价结果等预算绩效情况说明</w:t>
      </w:r>
    </w:p>
    <w:p>
      <w:pPr>
        <w:pStyle w:val="8"/>
        <w:spacing w:line="540" w:lineRule="exact"/>
        <w:ind w:firstLine="960" w:firstLineChars="300"/>
        <w:rPr>
          <w:rFonts w:hint="eastAsia" w:asciiTheme="minorEastAsia" w:hAnsiTheme="minorEastAsia" w:eastAsiaTheme="minorEastAsia" w:cstheme="minorEastAsia"/>
          <w:sz w:val="28"/>
          <w:szCs w:val="28"/>
          <w:highlight w:val="none"/>
          <w:lang w:eastAsia="zh-CN"/>
        </w:rPr>
      </w:pPr>
      <w:r>
        <w:rPr>
          <w:rFonts w:hint="eastAsia" w:ascii="仿宋_GB2312" w:hAnsi="宋体" w:eastAsia="仿宋_GB2312" w:cs="Times New Roman"/>
          <w:lang w:val="en-US" w:eastAsia="zh-CN"/>
        </w:rPr>
        <w:t>2019年，根据预算绩效管理要求，我单位组织2019年度一般公共预算项目支出全面开展绩效自评，共涉及项目0个，资金0万元。 2019年项目资金投入0万元，已使用0元0。使用从评价结果看，项目立项程序完整、规范，预算执行及时、有效，绩效目标得到较好实现，绩效管理水平不断提高，绩效指标体系建设逐渐丰富和完善。</w:t>
      </w:r>
    </w:p>
    <w:p>
      <w:pPr>
        <w:pStyle w:val="8"/>
        <w:ind w:firstLine="960" w:firstLineChars="300"/>
        <w:rPr>
          <w:rFonts w:hint="eastAsia" w:ascii="仿宋_GB2312" w:hAnsi="宋体" w:eastAsia="仿宋_GB2312" w:cs="Times New Roman"/>
        </w:rPr>
      </w:pPr>
    </w:p>
    <w:p>
      <w:pPr>
        <w:pStyle w:val="8"/>
        <w:ind w:firstLine="960" w:firstLineChars="300"/>
        <w:rPr>
          <w:rFonts w:hint="eastAsia" w:ascii="仿宋_GB2312" w:hAnsi="宋体" w:eastAsia="仿宋_GB2312" w:cs="Times New Roman"/>
        </w:rPr>
      </w:pPr>
    </w:p>
    <w:p>
      <w:pPr>
        <w:pStyle w:val="8"/>
        <w:ind w:firstLine="960" w:firstLineChars="300"/>
        <w:rPr>
          <w:rFonts w:hint="eastAsia" w:ascii="仿宋_GB2312" w:hAnsi="宋体" w:eastAsia="仿宋_GB2312" w:cs="Times New Roman"/>
        </w:rPr>
      </w:pPr>
    </w:p>
    <w:p>
      <w:pPr>
        <w:pStyle w:val="8"/>
        <w:ind w:firstLine="960" w:firstLineChars="300"/>
        <w:rPr>
          <w:rFonts w:hint="eastAsia" w:ascii="仿宋_GB2312" w:hAnsi="宋体" w:eastAsia="仿宋_GB2312" w:cs="Times New Roma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b/>
          <w:bCs w:val="0"/>
          <w:color w:val="333333"/>
          <w:sz w:val="24"/>
          <w:szCs w:val="24"/>
        </w:rPr>
      </w:pPr>
      <w:r>
        <w:rPr>
          <w:rStyle w:val="7"/>
          <w:rFonts w:hint="eastAsia" w:ascii="微软雅黑" w:hAnsi="微软雅黑" w:eastAsia="微软雅黑" w:cs="微软雅黑"/>
          <w:b/>
          <w:bCs w:val="0"/>
          <w:i w:val="0"/>
          <w:caps w:val="0"/>
          <w:color w:val="333333"/>
          <w:spacing w:val="0"/>
          <w:sz w:val="24"/>
          <w:szCs w:val="24"/>
          <w:shd w:val="clear" w:fill="FFFFFF"/>
        </w:rPr>
        <w:t>第四部分</w:t>
      </w:r>
      <w:r>
        <w:rPr>
          <w:rStyle w:val="7"/>
          <w:rFonts w:hint="eastAsia" w:ascii="微软雅黑" w:hAnsi="微软雅黑" w:eastAsia="微软雅黑" w:cs="微软雅黑"/>
          <w:b/>
          <w:bCs w:val="0"/>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b/>
          <w:bCs w:val="0"/>
          <w:i w:val="0"/>
          <w:caps w:val="0"/>
          <w:color w:val="333333"/>
          <w:spacing w:val="0"/>
          <w:sz w:val="24"/>
          <w:szCs w:val="24"/>
          <w:shd w:val="clear" w:fill="FFFFFF"/>
        </w:rPr>
        <w:t>名词解释</w:t>
      </w:r>
    </w:p>
    <w:p>
      <w:pPr>
        <w:ind w:firstLine="710" w:firstLineChars="250"/>
        <w:rPr>
          <w:rFonts w:ascii="宋体" w:hAnsi="宋体"/>
          <w:color w:val="000000"/>
          <w:spacing w:val="2"/>
          <w:sz w:val="28"/>
          <w:szCs w:val="28"/>
        </w:rPr>
      </w:pPr>
      <w:r>
        <w:rPr>
          <w:rFonts w:hint="eastAsia" w:ascii="宋体" w:hAnsi="宋体"/>
          <w:color w:val="000000"/>
          <w:spacing w:val="2"/>
          <w:sz w:val="28"/>
          <w:szCs w:val="28"/>
        </w:rPr>
        <w:t>（一）财政拨款（补助）：指省级财政当年拨付的资金。</w:t>
      </w:r>
    </w:p>
    <w:p>
      <w:pPr>
        <w:ind w:firstLine="710" w:firstLineChars="250"/>
        <w:rPr>
          <w:rFonts w:ascii="宋体" w:hAnsi="宋体"/>
          <w:color w:val="000000"/>
          <w:spacing w:val="2"/>
          <w:sz w:val="28"/>
          <w:szCs w:val="28"/>
        </w:rPr>
      </w:pPr>
      <w:r>
        <w:rPr>
          <w:rFonts w:hint="eastAsia" w:ascii="宋体" w:hAnsi="宋体"/>
          <w:color w:val="000000"/>
          <w:spacing w:val="2"/>
          <w:sz w:val="28"/>
          <w:szCs w:val="28"/>
        </w:rPr>
        <w:t>（二）事业收入：指事业单位开展专业业务活动及其辅助活动取得的收入。</w:t>
      </w:r>
      <w:r>
        <w:rPr>
          <w:rFonts w:ascii="宋体" w:hAnsi="宋体"/>
          <w:color w:val="000000"/>
          <w:spacing w:val="2"/>
          <w:sz w:val="28"/>
          <w:szCs w:val="28"/>
        </w:rPr>
        <w:t xml:space="preserve"> </w:t>
      </w:r>
      <w:r>
        <w:rPr>
          <w:rFonts w:ascii="宋体" w:hAnsi="宋体"/>
          <w:color w:val="000000"/>
          <w:spacing w:val="2"/>
          <w:sz w:val="28"/>
          <w:szCs w:val="28"/>
        </w:rPr>
        <w:br w:type="textWrapping"/>
      </w:r>
      <w:r>
        <w:rPr>
          <w:rFonts w:hint="eastAsia" w:ascii="宋体" w:hAnsi="宋体"/>
          <w:color w:val="000000"/>
          <w:spacing w:val="2"/>
          <w:sz w:val="28"/>
          <w:szCs w:val="28"/>
        </w:rPr>
        <w:t>　　</w:t>
      </w:r>
      <w:r>
        <w:rPr>
          <w:rFonts w:ascii="宋体" w:hAnsi="宋体"/>
          <w:color w:val="000000"/>
          <w:spacing w:val="2"/>
          <w:sz w:val="28"/>
          <w:szCs w:val="28"/>
        </w:rPr>
        <w:t xml:space="preserve"> </w:t>
      </w:r>
      <w:r>
        <w:rPr>
          <w:rFonts w:hint="eastAsia" w:ascii="宋体" w:hAnsi="宋体"/>
          <w:color w:val="000000"/>
          <w:spacing w:val="2"/>
          <w:sz w:val="28"/>
          <w:szCs w:val="28"/>
        </w:rPr>
        <w:t>（三）其他收入：指预算单位在“财政拨款补助收入”、“事业收入”、“经营收入”以外取得的收入。</w:t>
      </w:r>
      <w:r>
        <w:rPr>
          <w:rFonts w:ascii="宋体" w:hAnsi="宋体"/>
          <w:color w:val="000000"/>
          <w:spacing w:val="2"/>
          <w:sz w:val="28"/>
          <w:szCs w:val="28"/>
        </w:rPr>
        <w:t xml:space="preserve"> </w:t>
      </w:r>
      <w:r>
        <w:rPr>
          <w:rFonts w:ascii="宋体" w:hAnsi="宋体"/>
          <w:color w:val="000000"/>
          <w:spacing w:val="2"/>
          <w:sz w:val="28"/>
          <w:szCs w:val="28"/>
        </w:rPr>
        <w:br w:type="textWrapping"/>
      </w:r>
      <w:r>
        <w:rPr>
          <w:rFonts w:hint="eastAsia" w:ascii="宋体" w:hAnsi="宋体"/>
          <w:color w:val="000000"/>
          <w:spacing w:val="2"/>
          <w:sz w:val="28"/>
          <w:szCs w:val="28"/>
        </w:rPr>
        <w:t>　　</w:t>
      </w:r>
      <w:r>
        <w:rPr>
          <w:rFonts w:ascii="宋体" w:hAnsi="宋体"/>
          <w:color w:val="000000"/>
          <w:spacing w:val="2"/>
          <w:sz w:val="28"/>
          <w:szCs w:val="28"/>
        </w:rPr>
        <w:t xml:space="preserve"> </w:t>
      </w:r>
      <w:r>
        <w:rPr>
          <w:rFonts w:hint="eastAsia" w:ascii="宋体" w:hAnsi="宋体"/>
          <w:color w:val="000000"/>
          <w:spacing w:val="2"/>
          <w:sz w:val="28"/>
          <w:szCs w:val="28"/>
        </w:rPr>
        <w:t>（四）上年结转：指以前年度尚未完成、结转到本年仍按原规定用途继续使用的资金。</w:t>
      </w:r>
      <w:r>
        <w:rPr>
          <w:rFonts w:ascii="宋体" w:hAnsi="宋体"/>
          <w:color w:val="000000"/>
          <w:spacing w:val="2"/>
          <w:sz w:val="28"/>
          <w:szCs w:val="28"/>
        </w:rPr>
        <w:t xml:space="preserve"> </w:t>
      </w:r>
      <w:r>
        <w:rPr>
          <w:rFonts w:ascii="宋体" w:hAnsi="宋体"/>
          <w:color w:val="000000"/>
          <w:spacing w:val="2"/>
          <w:sz w:val="28"/>
          <w:szCs w:val="28"/>
        </w:rPr>
        <w:br w:type="textWrapping"/>
      </w:r>
      <w:r>
        <w:rPr>
          <w:rFonts w:hint="eastAsia" w:ascii="宋体" w:hAnsi="宋体"/>
          <w:color w:val="000000"/>
          <w:spacing w:val="2"/>
          <w:sz w:val="28"/>
          <w:szCs w:val="28"/>
        </w:rPr>
        <w:t>　　</w:t>
      </w:r>
      <w:r>
        <w:rPr>
          <w:rFonts w:ascii="宋体" w:hAnsi="宋体"/>
          <w:color w:val="000000"/>
          <w:spacing w:val="2"/>
          <w:sz w:val="28"/>
          <w:szCs w:val="28"/>
        </w:rPr>
        <w:t xml:space="preserve"> </w:t>
      </w:r>
      <w:r>
        <w:rPr>
          <w:rFonts w:hint="eastAsia" w:ascii="宋体" w:hAnsi="宋体"/>
          <w:color w:val="000000"/>
          <w:spacing w:val="2"/>
          <w:sz w:val="28"/>
          <w:szCs w:val="28"/>
        </w:rPr>
        <w:t>（五）基本支出：指为保障机构正常运转、完成日常工作任务而发生的人员支出和公用支出。</w:t>
      </w:r>
      <w:r>
        <w:rPr>
          <w:rFonts w:ascii="宋体" w:hAnsi="宋体"/>
          <w:color w:val="000000"/>
          <w:spacing w:val="2"/>
          <w:sz w:val="28"/>
          <w:szCs w:val="28"/>
        </w:rPr>
        <w:t xml:space="preserve"> </w:t>
      </w:r>
      <w:r>
        <w:rPr>
          <w:rFonts w:ascii="宋体" w:hAnsi="宋体"/>
          <w:color w:val="000000"/>
          <w:spacing w:val="2"/>
          <w:sz w:val="28"/>
          <w:szCs w:val="28"/>
        </w:rPr>
        <w:br w:type="textWrapping"/>
      </w:r>
      <w:r>
        <w:rPr>
          <w:rFonts w:hint="eastAsia" w:ascii="宋体" w:hAnsi="宋体"/>
          <w:color w:val="000000"/>
          <w:spacing w:val="2"/>
          <w:sz w:val="28"/>
          <w:szCs w:val="28"/>
        </w:rPr>
        <w:t>　</w:t>
      </w:r>
      <w:r>
        <w:rPr>
          <w:rFonts w:ascii="宋体" w:hAnsi="宋体"/>
          <w:color w:val="000000"/>
          <w:spacing w:val="2"/>
          <w:sz w:val="28"/>
          <w:szCs w:val="28"/>
        </w:rPr>
        <w:t xml:space="preserve"> </w:t>
      </w:r>
      <w:r>
        <w:rPr>
          <w:rFonts w:hint="eastAsia" w:ascii="宋体" w:hAnsi="宋体"/>
          <w:color w:val="000000"/>
          <w:spacing w:val="2"/>
          <w:sz w:val="28"/>
          <w:szCs w:val="28"/>
        </w:rPr>
        <w:t>　（六）项目支出：指为完成特定的行政工作任务或事业发展目标，在基本支出之外发生的各项支出。</w:t>
      </w:r>
    </w:p>
    <w:p>
      <w:pPr>
        <w:ind w:firstLine="710" w:firstLineChars="250"/>
        <w:rPr>
          <w:rFonts w:ascii="宋体" w:hAnsi="宋体"/>
          <w:color w:val="000000"/>
          <w:spacing w:val="2"/>
          <w:sz w:val="28"/>
          <w:szCs w:val="28"/>
        </w:rPr>
      </w:pPr>
      <w:r>
        <w:rPr>
          <w:rFonts w:hint="eastAsia" w:ascii="宋体" w:hAnsi="宋体"/>
          <w:color w:val="000000"/>
          <w:spacing w:val="2"/>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ind w:firstLine="852" w:firstLineChars="300"/>
        <w:rPr>
          <w:rFonts w:ascii="宋体" w:hAnsi="宋体"/>
          <w:color w:val="000000"/>
          <w:spacing w:val="2"/>
          <w:sz w:val="28"/>
          <w:szCs w:val="28"/>
        </w:rPr>
      </w:pPr>
      <w:r>
        <w:rPr>
          <w:rFonts w:hint="eastAsia" w:ascii="宋体" w:hAnsi="宋体"/>
          <w:color w:val="000000"/>
          <w:spacing w:val="2"/>
          <w:sz w:val="28"/>
          <w:szCs w:val="28"/>
        </w:rPr>
        <w:t>（八）行政运行（项）：指机关和实行公务员法管理事业单位用于保障机构正常运转的基本支出。</w:t>
      </w:r>
    </w:p>
    <w:p>
      <w:pPr>
        <w:rPr>
          <w:sz w:val="28"/>
          <w:szCs w:val="28"/>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C784C6"/>
    <w:multiLevelType w:val="singleLevel"/>
    <w:tmpl w:val="C1C784C6"/>
    <w:lvl w:ilvl="0" w:tentative="0">
      <w:start w:val="2"/>
      <w:numFmt w:val="chineseCounting"/>
      <w:suff w:val="nothing"/>
      <w:lvlText w:val="（%1）"/>
      <w:lvlJc w:val="left"/>
      <w:rPr>
        <w:rFonts w:hint="eastAsia"/>
      </w:rPr>
    </w:lvl>
  </w:abstractNum>
  <w:abstractNum w:abstractNumId="1">
    <w:nsid w:val="DEF4EA9A"/>
    <w:multiLevelType w:val="singleLevel"/>
    <w:tmpl w:val="DEF4EA9A"/>
    <w:lvl w:ilvl="0" w:tentative="0">
      <w:start w:val="1"/>
      <w:numFmt w:val="decimal"/>
      <w:lvlText w:val="%1."/>
      <w:lvlJc w:val="left"/>
      <w:pPr>
        <w:tabs>
          <w:tab w:val="left" w:pos="312"/>
        </w:tabs>
      </w:pPr>
    </w:lvl>
  </w:abstractNum>
  <w:abstractNum w:abstractNumId="2">
    <w:nsid w:val="521C4207"/>
    <w:multiLevelType w:val="singleLevel"/>
    <w:tmpl w:val="521C4207"/>
    <w:lvl w:ilvl="0" w:tentative="0">
      <w:start w:val="1"/>
      <w:numFmt w:val="decimal"/>
      <w:suff w:val="nothing"/>
      <w:lvlText w:val="（%1）"/>
      <w:lvlJc w:val="left"/>
      <w:pPr>
        <w:ind w:left="32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41F49"/>
    <w:rsid w:val="04CA693D"/>
    <w:rsid w:val="0664587B"/>
    <w:rsid w:val="08C015D3"/>
    <w:rsid w:val="0E272BA7"/>
    <w:rsid w:val="0E836A5F"/>
    <w:rsid w:val="11ED78A0"/>
    <w:rsid w:val="1AA80795"/>
    <w:rsid w:val="1B176949"/>
    <w:rsid w:val="1E1F01D1"/>
    <w:rsid w:val="22540D09"/>
    <w:rsid w:val="228A65CA"/>
    <w:rsid w:val="23995408"/>
    <w:rsid w:val="23F710D4"/>
    <w:rsid w:val="255E033E"/>
    <w:rsid w:val="27C715F7"/>
    <w:rsid w:val="289C3E82"/>
    <w:rsid w:val="28EE6E7B"/>
    <w:rsid w:val="29CF7E80"/>
    <w:rsid w:val="2B823146"/>
    <w:rsid w:val="2C203A0A"/>
    <w:rsid w:val="2C2716FD"/>
    <w:rsid w:val="2D5063EA"/>
    <w:rsid w:val="32BD01BE"/>
    <w:rsid w:val="38203263"/>
    <w:rsid w:val="3C2D5DD2"/>
    <w:rsid w:val="3CF427BE"/>
    <w:rsid w:val="448B6C94"/>
    <w:rsid w:val="489106AE"/>
    <w:rsid w:val="49042D67"/>
    <w:rsid w:val="4BBC5AAB"/>
    <w:rsid w:val="4E426DD3"/>
    <w:rsid w:val="4E495EEA"/>
    <w:rsid w:val="514D2F0D"/>
    <w:rsid w:val="563E0CA4"/>
    <w:rsid w:val="564E42F9"/>
    <w:rsid w:val="60390F38"/>
    <w:rsid w:val="63E6431B"/>
    <w:rsid w:val="67D30D44"/>
    <w:rsid w:val="692B2102"/>
    <w:rsid w:val="70A32328"/>
    <w:rsid w:val="746766E2"/>
    <w:rsid w:val="768D6BB8"/>
    <w:rsid w:val="78186405"/>
    <w:rsid w:val="7ED07D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9">
    <w:name w:val="ca-2"/>
    <w:basedOn w:val="6"/>
    <w:qFormat/>
    <w:uiPriority w:val="0"/>
  </w:style>
  <w:style w:type="paragraph" w:customStyle="1" w:styleId="10">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盼</cp:lastModifiedBy>
  <dcterms:modified xsi:type="dcterms:W3CDTF">2021-05-26T09:30:42Z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