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bdr w:val="none" w:color="auto" w:sz="0" w:space="0"/>
          <w:shd w:val="clear" w:fill="FFFFFF"/>
          <w:lang w:eastAsia="zh-CN"/>
        </w:rPr>
        <w:t>胜阳港街办</w:t>
      </w:r>
      <w:r>
        <w:rPr>
          <w:rFonts w:hint="eastAsia" w:ascii="微软雅黑" w:hAnsi="微软雅黑" w:eastAsia="微软雅黑" w:cs="微软雅黑"/>
          <w:b/>
          <w:i w:val="0"/>
          <w:caps w:val="0"/>
          <w:color w:val="BC1010"/>
          <w:spacing w:val="0"/>
          <w:sz w:val="40"/>
          <w:szCs w:val="40"/>
          <w:bdr w:val="none" w:color="auto" w:sz="0" w:space="0"/>
          <w:shd w:val="clear" w:fill="FFFFFF"/>
        </w:rPr>
        <w:t>2017年决算公开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黄石港区胜阳港街办</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目  录</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第一部分:部门基本情况</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一、部门主要职责</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二、部门决算单位构成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第二部分: 部门2017年部门决算表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一、收入支出决算总表（表1）</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二、收入决算表（表2）</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三、支出决算表（表3）</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四、财政拨款收入支出决算总表（表4）</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五、一般公共预算财政拨款支出决算表（表5）</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六、一般公共预算财政拨款基本支出决算表（表6）</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七、一般公共预算财政拨款“三公”经费支出决算表（表7）</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八、政府性基金预算财政拨款收入支出决算表（8）</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第三部分：部门2017年部门决算情况说明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一、</w:t>
      </w:r>
      <w:r>
        <w:rPr>
          <w:rFonts w:hint="eastAsia" w:ascii="微软雅黑" w:hAnsi="微软雅黑" w:eastAsia="微软雅黑" w:cs="微软雅黑"/>
          <w:b w:val="0"/>
          <w:i w:val="0"/>
          <w:caps w:val="0"/>
          <w:color w:val="333333"/>
          <w:spacing w:val="0"/>
          <w:sz w:val="24"/>
          <w:szCs w:val="24"/>
          <w:shd w:val="clear" w:fill="FFFFFF"/>
        </w:rPr>
        <w:t>预算执行情况分析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二、</w:t>
      </w:r>
      <w:r>
        <w:rPr>
          <w:rFonts w:hint="eastAsia" w:ascii="微软雅黑" w:hAnsi="微软雅黑" w:eastAsia="微软雅黑" w:cs="微软雅黑"/>
          <w:b w:val="0"/>
          <w:i w:val="0"/>
          <w:caps w:val="0"/>
          <w:color w:val="333333"/>
          <w:spacing w:val="0"/>
          <w:sz w:val="24"/>
          <w:szCs w:val="24"/>
          <w:shd w:val="clear" w:fill="FFFFFF"/>
        </w:rPr>
        <w:t>关于“三公”经费支出说明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三、</w:t>
      </w:r>
      <w:r>
        <w:rPr>
          <w:rFonts w:hint="eastAsia" w:ascii="微软雅黑" w:hAnsi="微软雅黑" w:eastAsia="微软雅黑" w:cs="微软雅黑"/>
          <w:b w:val="0"/>
          <w:i w:val="0"/>
          <w:caps w:val="0"/>
          <w:color w:val="333333"/>
          <w:spacing w:val="0"/>
          <w:sz w:val="24"/>
          <w:szCs w:val="24"/>
          <w:shd w:val="clear" w:fill="FFFFFF"/>
        </w:rPr>
        <w:t>关于机关运行经费支出说明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四</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关于政府采购支出说明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五</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关于国有资产占用情况说明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第四部分：名词解释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第一部分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部门概况</w:t>
      </w:r>
    </w:p>
    <w:p>
      <w:pPr>
        <w:spacing w:line="540" w:lineRule="exact"/>
        <w:ind w:firstLine="568" w:firstLineChars="200"/>
        <w:rPr>
          <w:rFonts w:hint="eastAsia" w:ascii="仿宋" w:hAnsi="仿宋" w:eastAsia="仿宋"/>
          <w:color w:val="000000"/>
          <w:spacing w:val="2"/>
          <w:sz w:val="28"/>
          <w:szCs w:val="32"/>
        </w:rPr>
      </w:pPr>
      <w:r>
        <w:rPr>
          <w:rFonts w:hint="eastAsia" w:ascii="仿宋" w:hAnsi="仿宋" w:eastAsia="仿宋"/>
          <w:color w:val="000000"/>
          <w:spacing w:val="2"/>
          <w:sz w:val="28"/>
          <w:szCs w:val="32"/>
        </w:rPr>
        <w:t>1.</w:t>
      </w:r>
      <w:r>
        <w:rPr>
          <w:rFonts w:hint="eastAsia" w:ascii="仿宋" w:hAnsi="仿宋" w:eastAsia="仿宋"/>
          <w:b/>
          <w:color w:val="000000"/>
          <w:spacing w:val="2"/>
          <w:sz w:val="28"/>
          <w:szCs w:val="32"/>
        </w:rPr>
        <w:t>主要职能</w:t>
      </w:r>
      <w:r>
        <w:rPr>
          <w:rFonts w:hint="eastAsia" w:ascii="仿宋" w:hAnsi="仿宋" w:eastAsia="仿宋"/>
          <w:color w:val="000000"/>
          <w:spacing w:val="2"/>
          <w:sz w:val="28"/>
          <w:szCs w:val="32"/>
        </w:rPr>
        <w:t>:</w:t>
      </w:r>
      <w:r>
        <w:rPr>
          <w:rFonts w:ascii="仿宋" w:hAnsi="仿宋" w:eastAsia="仿宋"/>
          <w:sz w:val="28"/>
          <w:szCs w:val="28"/>
        </w:rPr>
        <w:t>宣传、执行党的路线、方针、政策和国家法律、法规、保证市、区政府决议、决定的落实，对居民进行思想政治教育和社会主义法制教育。组织领导街道区域经济工作，制定街道经济发展规划，检查、督促各经济组织开展工作，负责街道财政预算和收支管理，进行财务审计和有关项目统计。制定社会治安综合治理规划并组织实施，加强外来人口管理，开展民事调解，保护老人、儿童、妇女、残疾人和青少年的合法权益，保障辖区内政治稳定和社会安定。开展群众文化、科普、体育、校外教育及卫生保健工作，建设社会主义精神文明。开展爱国卫生、计划生育、市容卫生、环境保护、绿化美化工作。开展社会救济、社区服务、离退休人员管理、拥军优属、征集兵员以及殡葬管理工作，兴办社会福利事业，发展社会福利生产。指导居民委员会工作，促进居民委员会建设，提高居民委员会自治能力，发挥居民委员会作用。参与城市建设、危房改造及住宅小区的管理工作。协助有关部门搞好劳动力资源开发、配置、管理、监督及劳动保险的政策贯彻和社会化管理工作。配合有关部门做好防空、防汛、防水、防震、交通管理、抢险救灾工作。向区人民政府反映居民群众的意见和要求，办理人民群众来信来访事项，做好为居民群众服务工作。</w:t>
      </w:r>
    </w:p>
    <w:p>
      <w:pPr>
        <w:widowControl/>
        <w:shd w:val="clear" w:color="auto" w:fill="FFFFFF"/>
        <w:jc w:val="left"/>
        <w:rPr>
          <w:rFonts w:cs="宋体" w:asciiTheme="minorEastAsia" w:hAnsiTheme="minorEastAsia" w:eastAsiaTheme="minorEastAsia"/>
          <w:color w:val="333333"/>
          <w:kern w:val="0"/>
          <w:sz w:val="28"/>
          <w:szCs w:val="28"/>
        </w:rPr>
      </w:pPr>
      <w:r>
        <w:rPr>
          <w:rFonts w:hint="eastAsia" w:ascii="仿宋" w:hAnsi="仿宋" w:eastAsia="仿宋"/>
          <w:b/>
          <w:sz w:val="28"/>
          <w:szCs w:val="28"/>
        </w:rPr>
        <w:t>2</w:t>
      </w:r>
      <w:r>
        <w:rPr>
          <w:rFonts w:hint="eastAsia" w:ascii="仿宋" w:hAnsi="仿宋" w:eastAsia="仿宋"/>
          <w:sz w:val="28"/>
          <w:szCs w:val="28"/>
        </w:rPr>
        <w:t>.</w:t>
      </w:r>
      <w:r>
        <w:rPr>
          <w:rFonts w:hint="eastAsia" w:ascii="仿宋" w:hAnsi="仿宋" w:eastAsia="仿宋"/>
          <w:b/>
          <w:sz w:val="28"/>
          <w:szCs w:val="28"/>
        </w:rPr>
        <w:t>机构情况</w:t>
      </w:r>
      <w:r>
        <w:rPr>
          <w:rFonts w:hint="eastAsia" w:ascii="仿宋" w:hAnsi="仿宋" w:eastAsia="仿宋"/>
          <w:sz w:val="28"/>
          <w:szCs w:val="28"/>
        </w:rPr>
        <w:t xml:space="preserve">: </w:t>
      </w:r>
      <w:r>
        <w:rPr>
          <w:rFonts w:hint="eastAsia" w:asciiTheme="minorEastAsia" w:hAnsiTheme="minorEastAsia" w:eastAsiaTheme="minorEastAsia"/>
          <w:sz w:val="28"/>
          <w:szCs w:val="28"/>
        </w:rPr>
        <w:t>内设机构：公共服务中心、经济服务中心、城管建设管理中心、综合办、党群办、法治办。</w:t>
      </w:r>
    </w:p>
    <w:p>
      <w:pPr>
        <w:ind w:firstLine="560"/>
        <w:rPr>
          <w:rFonts w:hint="eastAsia" w:ascii="仿宋" w:hAnsi="仿宋" w:eastAsia="仿宋"/>
          <w:sz w:val="28"/>
          <w:szCs w:val="28"/>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i w:val="0"/>
          <w:caps w:val="0"/>
          <w:color w:val="333333"/>
          <w:spacing w:val="0"/>
          <w:sz w:val="24"/>
          <w:szCs w:val="24"/>
          <w:bdr w:val="none" w:color="auto" w:sz="0" w:space="0"/>
          <w:shd w:val="clear" w:fill="FFFFFF"/>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第二部分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i w:val="0"/>
          <w:caps w:val="0"/>
          <w:color w:val="333333"/>
          <w:spacing w:val="0"/>
          <w:sz w:val="24"/>
          <w:szCs w:val="24"/>
          <w:bdr w:val="none" w:color="auto" w:sz="0" w:space="0"/>
          <w:shd w:val="clear" w:fill="FFFFFF"/>
        </w:rPr>
      </w:pPr>
      <w:r>
        <w:drawing>
          <wp:inline distT="0" distB="0" distL="114300" distR="114300">
            <wp:extent cx="5928360" cy="5272405"/>
            <wp:effectExtent l="0" t="0" r="15240" b="4445"/>
            <wp:docPr id="84" name="图片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图片 84"/>
                    <pic:cNvPicPr>
                      <a:picLocks noChangeAspect="1"/>
                    </pic:cNvPicPr>
                  </pic:nvPicPr>
                  <pic:blipFill>
                    <a:blip r:embed="rId4"/>
                    <a:stretch>
                      <a:fillRect/>
                    </a:stretch>
                  </pic:blipFill>
                  <pic:spPr>
                    <a:xfrm>
                      <a:off x="0" y="0"/>
                      <a:ext cx="5928360" cy="5272405"/>
                    </a:xfrm>
                    <a:prstGeom prst="rect">
                      <a:avLst/>
                    </a:prstGeom>
                    <a:noFill/>
                    <a:ln w="9525">
                      <a:noFill/>
                    </a:ln>
                  </pic:spPr>
                </pic:pic>
              </a:graphicData>
            </a:graphic>
          </wp:inline>
        </w:drawing>
      </w:r>
      <w:r>
        <w:drawing>
          <wp:inline distT="0" distB="0" distL="114300" distR="114300">
            <wp:extent cx="8856345" cy="3972560"/>
            <wp:effectExtent l="0" t="0" r="1905" b="8890"/>
            <wp:docPr id="86" name="图片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图片 86"/>
                    <pic:cNvPicPr>
                      <a:picLocks noChangeAspect="1"/>
                    </pic:cNvPicPr>
                  </pic:nvPicPr>
                  <pic:blipFill>
                    <a:blip r:embed="rId5"/>
                    <a:stretch>
                      <a:fillRect/>
                    </a:stretch>
                  </pic:blipFill>
                  <pic:spPr>
                    <a:xfrm>
                      <a:off x="0" y="0"/>
                      <a:ext cx="8856345" cy="3972560"/>
                    </a:xfrm>
                    <a:prstGeom prst="rect">
                      <a:avLst/>
                    </a:prstGeom>
                    <a:noFill/>
                    <a:ln w="9525">
                      <a:noFill/>
                    </a:ln>
                  </pic:spPr>
                </pic:pic>
              </a:graphicData>
            </a:graphic>
          </wp:inline>
        </w:drawing>
      </w:r>
      <w:r>
        <w:drawing>
          <wp:inline distT="0" distB="0" distL="114300" distR="114300">
            <wp:extent cx="8861425" cy="4413885"/>
            <wp:effectExtent l="0" t="0" r="15875" b="5715"/>
            <wp:docPr id="85" name="图片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图片 85"/>
                    <pic:cNvPicPr>
                      <a:picLocks noChangeAspect="1"/>
                    </pic:cNvPicPr>
                  </pic:nvPicPr>
                  <pic:blipFill>
                    <a:blip r:embed="rId6"/>
                    <a:stretch>
                      <a:fillRect/>
                    </a:stretch>
                  </pic:blipFill>
                  <pic:spPr>
                    <a:xfrm>
                      <a:off x="0" y="0"/>
                      <a:ext cx="8861425" cy="4413885"/>
                    </a:xfrm>
                    <a:prstGeom prst="rect">
                      <a:avLst/>
                    </a:prstGeom>
                    <a:noFill/>
                    <a:ln w="9525">
                      <a:noFill/>
                    </a:ln>
                  </pic:spPr>
                </pic:pic>
              </a:graphicData>
            </a:graphic>
          </wp:inline>
        </w:drawing>
      </w:r>
      <w:r>
        <w:drawing>
          <wp:inline distT="0" distB="0" distL="114300" distR="114300">
            <wp:extent cx="6353175" cy="5191125"/>
            <wp:effectExtent l="0" t="0" r="9525" b="9525"/>
            <wp:docPr id="87" name="图片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图片 87"/>
                    <pic:cNvPicPr>
                      <a:picLocks noChangeAspect="1"/>
                    </pic:cNvPicPr>
                  </pic:nvPicPr>
                  <pic:blipFill>
                    <a:blip r:embed="rId7"/>
                    <a:stretch>
                      <a:fillRect/>
                    </a:stretch>
                  </pic:blipFill>
                  <pic:spPr>
                    <a:xfrm>
                      <a:off x="0" y="0"/>
                      <a:ext cx="6353175" cy="5191125"/>
                    </a:xfrm>
                    <a:prstGeom prst="rect">
                      <a:avLst/>
                    </a:prstGeom>
                    <a:noFill/>
                    <a:ln w="9525">
                      <a:noFill/>
                    </a:ln>
                  </pic:spPr>
                </pic:pic>
              </a:graphicData>
            </a:graphic>
          </wp:inline>
        </w:drawing>
      </w:r>
      <w:r>
        <w:drawing>
          <wp:inline distT="0" distB="0" distL="114300" distR="114300">
            <wp:extent cx="5953125" cy="5238750"/>
            <wp:effectExtent l="0" t="0" r="9525" b="0"/>
            <wp:docPr id="88" name="图片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图片 88"/>
                    <pic:cNvPicPr>
                      <a:picLocks noChangeAspect="1"/>
                    </pic:cNvPicPr>
                  </pic:nvPicPr>
                  <pic:blipFill>
                    <a:blip r:embed="rId8"/>
                    <a:stretch>
                      <a:fillRect/>
                    </a:stretch>
                  </pic:blipFill>
                  <pic:spPr>
                    <a:xfrm>
                      <a:off x="0" y="0"/>
                      <a:ext cx="5953125" cy="5238750"/>
                    </a:xfrm>
                    <a:prstGeom prst="rect">
                      <a:avLst/>
                    </a:prstGeom>
                    <a:noFill/>
                    <a:ln w="9525">
                      <a:noFill/>
                    </a:ln>
                  </pic:spPr>
                </pic:pic>
              </a:graphicData>
            </a:graphic>
          </wp:inline>
        </w:drawing>
      </w:r>
      <w:r>
        <w:drawing>
          <wp:inline distT="0" distB="0" distL="114300" distR="114300">
            <wp:extent cx="8860790" cy="5039995"/>
            <wp:effectExtent l="0" t="0" r="16510" b="8255"/>
            <wp:docPr id="89" name="图片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图片 89"/>
                    <pic:cNvPicPr>
                      <a:picLocks noChangeAspect="1"/>
                    </pic:cNvPicPr>
                  </pic:nvPicPr>
                  <pic:blipFill>
                    <a:blip r:embed="rId9"/>
                    <a:stretch>
                      <a:fillRect/>
                    </a:stretch>
                  </pic:blipFill>
                  <pic:spPr>
                    <a:xfrm>
                      <a:off x="0" y="0"/>
                      <a:ext cx="8860790" cy="5039995"/>
                    </a:xfrm>
                    <a:prstGeom prst="rect">
                      <a:avLst/>
                    </a:prstGeom>
                    <a:noFill/>
                    <a:ln w="9525">
                      <a:noFill/>
                    </a:ln>
                  </pic:spPr>
                </pic:pic>
              </a:graphicData>
            </a:graphic>
          </wp:inline>
        </w:drawing>
      </w:r>
      <w:r>
        <w:drawing>
          <wp:inline distT="0" distB="0" distL="114300" distR="114300">
            <wp:extent cx="8856980" cy="1790065"/>
            <wp:effectExtent l="0" t="0" r="1270" b="635"/>
            <wp:docPr id="90" name="图片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图片 90"/>
                    <pic:cNvPicPr>
                      <a:picLocks noChangeAspect="1"/>
                    </pic:cNvPicPr>
                  </pic:nvPicPr>
                  <pic:blipFill>
                    <a:blip r:embed="rId10"/>
                    <a:stretch>
                      <a:fillRect/>
                    </a:stretch>
                  </pic:blipFill>
                  <pic:spPr>
                    <a:xfrm>
                      <a:off x="0" y="0"/>
                      <a:ext cx="8856980" cy="1790065"/>
                    </a:xfrm>
                    <a:prstGeom prst="rect">
                      <a:avLst/>
                    </a:prstGeom>
                    <a:noFill/>
                    <a:ln w="9525">
                      <a:noFill/>
                    </a:ln>
                  </pic:spPr>
                </pic:pic>
              </a:graphicData>
            </a:graphic>
          </wp:inline>
        </w:drawing>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color w:val="333333"/>
          <w:sz w:val="24"/>
          <w:szCs w:val="24"/>
        </w:rPr>
        <w:sectPr>
          <w:pgSz w:w="16838" w:h="11906" w:orient="landscape"/>
          <w:pgMar w:top="1800" w:right="1440" w:bottom="1800" w:left="1440" w:header="851" w:footer="992" w:gutter="0"/>
          <w:cols w:space="425" w:num="1"/>
          <w:docGrid w:type="lines" w:linePitch="312" w:charSpace="0"/>
        </w:sectPr>
      </w:pPr>
      <w:r>
        <w:drawing>
          <wp:inline distT="0" distB="0" distL="114300" distR="114300">
            <wp:extent cx="8862060" cy="2224405"/>
            <wp:effectExtent l="0" t="0" r="15240" b="4445"/>
            <wp:docPr id="91" name="图片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 name="图片 91"/>
                    <pic:cNvPicPr>
                      <a:picLocks noChangeAspect="1"/>
                    </pic:cNvPicPr>
                  </pic:nvPicPr>
                  <pic:blipFill>
                    <a:blip r:embed="rId11"/>
                    <a:stretch>
                      <a:fillRect/>
                    </a:stretch>
                  </pic:blipFill>
                  <pic:spPr>
                    <a:xfrm>
                      <a:off x="0" y="0"/>
                      <a:ext cx="8862060" cy="2224405"/>
                    </a:xfrm>
                    <a:prstGeom prst="rect">
                      <a:avLst/>
                    </a:prstGeom>
                    <a:noFill/>
                    <a:ln w="9525">
                      <a:noFill/>
                    </a:ln>
                  </pic:spPr>
                </pic:pic>
              </a:graphicData>
            </a:graphic>
          </wp:inline>
        </w:drawing>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第三部分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2017年部门决算情况说明</w:t>
      </w:r>
    </w:p>
    <w:p>
      <w:pPr>
        <w:widowControl/>
        <w:shd w:val="clear" w:color="auto" w:fill="FFFFFF"/>
        <w:ind w:firstLine="480"/>
        <w:jc w:val="left"/>
        <w:rPr>
          <w:rFonts w:ascii="仿宋_GB2312" w:eastAsia="仿宋_GB2312"/>
          <w:sz w:val="27"/>
          <w:szCs w:val="27"/>
        </w:rPr>
      </w:pPr>
      <w:r>
        <w:rPr>
          <w:rFonts w:hint="eastAsia" w:ascii="仿宋_GB2312" w:eastAsia="仿宋_GB2312"/>
          <w:sz w:val="27"/>
          <w:szCs w:val="27"/>
        </w:rPr>
        <w:t>（一）预算执行情况分析</w:t>
      </w:r>
    </w:p>
    <w:p>
      <w:pPr>
        <w:widowControl/>
        <w:shd w:val="clear" w:color="auto" w:fill="FFFFFF"/>
        <w:ind w:firstLine="560" w:firstLineChars="200"/>
        <w:jc w:val="left"/>
        <w:rPr>
          <w:rFonts w:asciiTheme="minorEastAsia" w:hAnsiTheme="minorEastAsia" w:eastAsiaTheme="minorEastAsia"/>
          <w:sz w:val="28"/>
          <w:szCs w:val="28"/>
        </w:rPr>
      </w:pPr>
      <w:r>
        <w:rPr>
          <w:rFonts w:hint="eastAsia" w:asciiTheme="minorEastAsia" w:hAnsiTheme="minorEastAsia" w:eastAsiaTheme="minorEastAsia"/>
          <w:sz w:val="28"/>
          <w:szCs w:val="28"/>
        </w:rPr>
        <w:t>截止2017 年 12 月 31 日，总收入为10,995,020.44元。相比 2016 年，总收入增长517723.56元,增加4%。截止2017 年 12 月 31 日，总支出为10,995,020.44元。相比 2016 年，总支出增长517723.56元,增加4%。原因是：2017年开始进行机关事业单位养老保险及职业年金缴纳，2017年拨回2014.10月-2016.5月增补工资306586元以及养老保险及职业年金单位应负担部分144151.76。年初预算为4977239元，预算主要为单位人员经费及日常公用经费，因2017年期间未纳入预算的各项专项经费拨入及使用，所以支出超过预算。</w:t>
      </w:r>
    </w:p>
    <w:p>
      <w:pPr>
        <w:widowControl/>
        <w:shd w:val="clear" w:color="auto" w:fill="FFFFFF"/>
        <w:ind w:firstLine="480"/>
        <w:jc w:val="left"/>
        <w:rPr>
          <w:rFonts w:ascii="仿宋_GB2312" w:eastAsia="仿宋_GB2312"/>
          <w:sz w:val="27"/>
          <w:szCs w:val="27"/>
        </w:rPr>
      </w:pPr>
      <w:r>
        <w:rPr>
          <w:rFonts w:hint="eastAsia" w:ascii="仿宋_GB2312" w:eastAsia="仿宋_GB2312"/>
          <w:sz w:val="27"/>
          <w:szCs w:val="27"/>
        </w:rPr>
        <w:t>（二）关于“三公”经费支出说明</w:t>
      </w:r>
    </w:p>
    <w:p>
      <w:pPr>
        <w:widowControl/>
        <w:shd w:val="clear" w:color="auto" w:fill="FFFFFF"/>
        <w:jc w:val="left"/>
        <w:rPr>
          <w:rFonts w:asciiTheme="minorEastAsia" w:hAnsiTheme="minorEastAsia" w:eastAsiaTheme="minorEastAsia"/>
          <w:sz w:val="28"/>
          <w:szCs w:val="28"/>
        </w:rPr>
      </w:pPr>
      <w:r>
        <w:rPr>
          <w:rFonts w:hint="eastAsia" w:asciiTheme="minorEastAsia" w:hAnsiTheme="minorEastAsia" w:eastAsiaTheme="minorEastAsia"/>
          <w:sz w:val="28"/>
          <w:szCs w:val="28"/>
        </w:rPr>
        <w:t>1、我单位2017年因公出国（境）费0元，较2016年决算数持平，主要原因是单位没有因公出国。　</w:t>
      </w:r>
    </w:p>
    <w:p>
      <w:pPr>
        <w:widowControl/>
        <w:shd w:val="clear" w:color="auto" w:fill="FFFFFF"/>
        <w:jc w:val="left"/>
        <w:rPr>
          <w:rFonts w:asciiTheme="minorEastAsia" w:hAnsiTheme="minorEastAsia" w:eastAsiaTheme="minorEastAsia"/>
          <w:sz w:val="28"/>
          <w:szCs w:val="28"/>
        </w:rPr>
      </w:pPr>
      <w:r>
        <w:rPr>
          <w:rFonts w:hint="eastAsia" w:asciiTheme="minorEastAsia" w:hAnsiTheme="minorEastAsia" w:eastAsiaTheme="minorEastAsia"/>
          <w:sz w:val="28"/>
          <w:szCs w:val="28"/>
        </w:rPr>
        <w:t>2、2017年无公务用车购置及运行维护费，较2016年决算数下降，主要原因是2016年进行公车改革，2016年年初仍有公务用车运行费。</w:t>
      </w:r>
    </w:p>
    <w:p>
      <w:pPr>
        <w:widowControl/>
        <w:shd w:val="clear" w:color="auto" w:fill="FFFFFF"/>
        <w:jc w:val="left"/>
        <w:rPr>
          <w:rFonts w:asciiTheme="minorEastAsia" w:hAnsiTheme="minorEastAsia" w:eastAsiaTheme="minorEastAsia"/>
          <w:sz w:val="28"/>
          <w:szCs w:val="28"/>
        </w:rPr>
      </w:pPr>
      <w:r>
        <w:rPr>
          <w:rFonts w:hint="eastAsia" w:asciiTheme="minorEastAsia" w:hAnsiTheme="minorEastAsia" w:eastAsiaTheme="minorEastAsia"/>
          <w:sz w:val="28"/>
          <w:szCs w:val="28"/>
        </w:rPr>
        <w:t>3、2017年无公务接待费，较2016年决算数持平。主要原因是单位没有公务接待。　</w:t>
      </w:r>
    </w:p>
    <w:p>
      <w:pPr>
        <w:widowControl/>
        <w:shd w:val="clear" w:color="auto" w:fill="FFFFFF"/>
        <w:jc w:val="left"/>
        <w:rPr>
          <w:rFonts w:asciiTheme="minorEastAsia" w:hAnsiTheme="minorEastAsia" w:eastAsiaTheme="minorEastAsia"/>
          <w:sz w:val="28"/>
          <w:szCs w:val="28"/>
        </w:rPr>
      </w:pPr>
      <w:r>
        <w:rPr>
          <w:rFonts w:hint="eastAsia" w:asciiTheme="minorEastAsia" w:hAnsiTheme="minorEastAsia" w:eastAsiaTheme="minorEastAsia"/>
          <w:sz w:val="28"/>
          <w:szCs w:val="28"/>
        </w:rPr>
        <w:t>　（三）关于机关运行经费支出说明</w:t>
      </w:r>
    </w:p>
    <w:p>
      <w:pPr>
        <w:pStyle w:val="9"/>
        <w:rPr>
          <w:rFonts w:cs="Times New Roman" w:asciiTheme="minorEastAsia" w:hAnsiTheme="minorEastAsia" w:eastAsiaTheme="minorEastAsia"/>
          <w:sz w:val="28"/>
          <w:szCs w:val="28"/>
        </w:rPr>
      </w:pPr>
      <w:r>
        <w:rPr>
          <w:rFonts w:hint="eastAsia" w:cs="Times New Roman" w:asciiTheme="minorEastAsia" w:hAnsiTheme="minorEastAsia" w:eastAsiaTheme="minorEastAsia"/>
          <w:sz w:val="28"/>
          <w:szCs w:val="28"/>
        </w:rPr>
        <w:t>本单位2017年度机关运行经费支出678.25万元，比2016年增加282.76万元，增长71%。主要原因是：社区工作人员工资本年度计入劳务费项目核算属于公用经费，纳入机关运行经费支出，上年度计入其他工资福利支出核算，归属于人员经费，不计入机关运行经费支出。</w:t>
      </w:r>
    </w:p>
    <w:p>
      <w:pPr>
        <w:widowControl/>
        <w:shd w:val="clear" w:color="auto" w:fill="FFFFFF"/>
        <w:jc w:val="left"/>
        <w:rPr>
          <w:rFonts w:asciiTheme="minorEastAsia" w:hAnsiTheme="minorEastAsia" w:eastAsiaTheme="minorEastAsia"/>
          <w:sz w:val="28"/>
          <w:szCs w:val="28"/>
        </w:rPr>
      </w:pPr>
      <w:r>
        <w:rPr>
          <w:rFonts w:hint="eastAsia" w:asciiTheme="minorEastAsia" w:hAnsiTheme="minorEastAsia" w:eastAsiaTheme="minorEastAsia"/>
          <w:sz w:val="28"/>
          <w:szCs w:val="28"/>
        </w:rPr>
        <w:t>　　（四）关于政府采购支出说明</w:t>
      </w:r>
    </w:p>
    <w:p>
      <w:pPr>
        <w:pStyle w:val="9"/>
        <w:ind w:firstLine="560" w:firstLineChars="200"/>
        <w:rPr>
          <w:rFonts w:cs="Times New Roman" w:asciiTheme="minorEastAsia" w:hAnsiTheme="minorEastAsia" w:eastAsiaTheme="minorEastAsia"/>
          <w:sz w:val="28"/>
          <w:szCs w:val="28"/>
        </w:rPr>
      </w:pPr>
      <w:r>
        <w:rPr>
          <w:rFonts w:hint="eastAsia" w:cs="Times New Roman" w:asciiTheme="minorEastAsia" w:hAnsiTheme="minorEastAsia" w:eastAsiaTheme="minorEastAsia"/>
          <w:sz w:val="28"/>
          <w:szCs w:val="28"/>
        </w:rPr>
        <w:t>本单位2017年度政府采购支出总额47.4万元，其中：政府采购工程支出47.4万元。授予中小企业合同金额47.4万元，占政府采购支出总额的100%。</w:t>
      </w:r>
    </w:p>
    <w:p>
      <w:pPr>
        <w:widowControl/>
        <w:shd w:val="clear" w:color="auto" w:fill="FFFFFF"/>
        <w:jc w:val="left"/>
        <w:rPr>
          <w:rFonts w:asciiTheme="minorEastAsia" w:hAnsiTheme="minorEastAsia" w:eastAsiaTheme="minorEastAsia"/>
          <w:sz w:val="28"/>
          <w:szCs w:val="28"/>
        </w:rPr>
      </w:pPr>
      <w:r>
        <w:rPr>
          <w:rFonts w:hint="eastAsia" w:asciiTheme="minorEastAsia" w:hAnsiTheme="minorEastAsia" w:eastAsiaTheme="minorEastAsia"/>
          <w:sz w:val="28"/>
          <w:szCs w:val="28"/>
        </w:rPr>
        <w:t>　</w:t>
      </w:r>
    </w:p>
    <w:p>
      <w:pPr>
        <w:spacing w:line="440" w:lineRule="exact"/>
        <w:ind w:firstLine="710" w:firstLineChars="250"/>
        <w:rPr>
          <w:rFonts w:hint="eastAsia" w:ascii="仿宋" w:hAnsi="仿宋" w:eastAsia="仿宋"/>
          <w:b/>
          <w:color w:val="000000"/>
          <w:spacing w:val="2"/>
          <w:sz w:val="28"/>
          <w:szCs w:val="28"/>
        </w:rPr>
      </w:pPr>
      <w:r>
        <w:rPr>
          <w:rFonts w:hint="eastAsia" w:ascii="仿宋" w:hAnsi="仿宋" w:eastAsia="仿宋"/>
          <w:color w:val="000000"/>
          <w:spacing w:val="2"/>
          <w:sz w:val="28"/>
          <w:szCs w:val="28"/>
        </w:rPr>
        <w:t>（</w:t>
      </w:r>
      <w:r>
        <w:rPr>
          <w:rFonts w:hint="eastAsia" w:ascii="仿宋" w:hAnsi="仿宋" w:eastAsia="仿宋"/>
          <w:color w:val="000000"/>
          <w:spacing w:val="2"/>
          <w:sz w:val="28"/>
          <w:szCs w:val="28"/>
          <w:lang w:eastAsia="zh-CN"/>
        </w:rPr>
        <w:t>五</w:t>
      </w:r>
      <w:r>
        <w:rPr>
          <w:rFonts w:hint="eastAsia" w:ascii="仿宋" w:hAnsi="仿宋" w:eastAsia="仿宋"/>
          <w:b/>
          <w:color w:val="000000"/>
          <w:spacing w:val="2"/>
          <w:sz w:val="28"/>
          <w:szCs w:val="28"/>
        </w:rPr>
        <w:t>）</w:t>
      </w:r>
      <w:bookmarkStart w:id="0" w:name="_GoBack"/>
      <w:bookmarkEnd w:id="0"/>
      <w:r>
        <w:rPr>
          <w:rFonts w:hint="eastAsia" w:ascii="仿宋" w:hAnsi="仿宋" w:eastAsia="仿宋"/>
          <w:b/>
          <w:color w:val="000000"/>
          <w:spacing w:val="2"/>
          <w:sz w:val="28"/>
          <w:szCs w:val="28"/>
        </w:rPr>
        <w:t>国有资产占用情况说明</w:t>
      </w:r>
    </w:p>
    <w:p>
      <w:pPr>
        <w:spacing w:line="440" w:lineRule="exact"/>
        <w:ind w:firstLine="710" w:firstLineChars="250"/>
        <w:rPr>
          <w:rFonts w:hint="eastAsia" w:ascii="仿宋" w:hAnsi="仿宋" w:eastAsia="仿宋"/>
          <w:color w:val="000000"/>
          <w:spacing w:val="2"/>
          <w:sz w:val="28"/>
          <w:szCs w:val="28"/>
        </w:rPr>
      </w:pPr>
      <w:r>
        <w:rPr>
          <w:rFonts w:hint="eastAsia" w:ascii="仿宋" w:hAnsi="仿宋" w:eastAsia="仿宋"/>
          <w:color w:val="000000"/>
          <w:spacing w:val="2"/>
          <w:sz w:val="28"/>
          <w:szCs w:val="28"/>
        </w:rPr>
        <w:t>2017年年末，本单位没有公务用车，无车辆费用开支。</w:t>
      </w: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rPr>
        <w:t>第四部分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名词解释</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一、财政补助收入：指县级财政当年拨付的资金。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二、其他收入：指除“财政拨款收入”、“上级补助收入”、“事业收入”、“经营收入”等以外的收入。主要是存款利息收入等。</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三、年初结转和结余：指以前年度尚未完成、结转到本年按有关规定继续使用的资金。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四、一般公共服务（类）行政运行（项）：指县行政单位及参照公务员管理事业单位用于保障机构正常运行、开展日常工作的基本支出。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五、一般公共服务（类）一般行政管理事务（项）：指县行政单位及参照公务员管理事业单位用于开展立法调研、财政信息宣传、非税收入征管等未单独设置项级科目的专门性财政管理工作的项目支出。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六、一般公共服务（类）机关服务（项）：指县</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黄石港区胜阳港街办</w:t>
      </w:r>
      <w:r>
        <w:rPr>
          <w:rFonts w:hint="eastAsia" w:ascii="微软雅黑" w:hAnsi="微软雅黑" w:eastAsia="微软雅黑" w:cs="微软雅黑"/>
          <w:b w:val="0"/>
          <w:i w:val="0"/>
          <w:caps w:val="0"/>
          <w:color w:val="333333"/>
          <w:spacing w:val="0"/>
          <w:sz w:val="24"/>
          <w:szCs w:val="24"/>
          <w:bdr w:val="none" w:color="auto" w:sz="0" w:space="0"/>
          <w:shd w:val="clear" w:fill="FFFFFF"/>
        </w:rPr>
        <w:t>服务中心为机关提供办公楼日常维修、维护等后勤保障服务的支出。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七、一般公共服务（类）其他一般公共服务支出（款）其他一般公共服务支出（项）：指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黄石港区胜阳港街办</w:t>
      </w:r>
      <w:r>
        <w:rPr>
          <w:rFonts w:hint="eastAsia" w:ascii="微软雅黑" w:hAnsi="微软雅黑" w:eastAsia="微软雅黑" w:cs="微软雅黑"/>
          <w:b w:val="0"/>
          <w:i w:val="0"/>
          <w:caps w:val="0"/>
          <w:color w:val="333333"/>
          <w:spacing w:val="0"/>
          <w:sz w:val="24"/>
          <w:szCs w:val="24"/>
          <w:bdr w:val="none" w:color="auto" w:sz="0" w:space="0"/>
          <w:shd w:val="clear" w:fill="FFFFFF"/>
        </w:rPr>
        <w:t>用于其他一般公共服务方面的支出。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八、教育（类）普通教育（款）高等教育（项）：指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黄石港区胜阳港街办</w:t>
      </w:r>
      <w:r>
        <w:rPr>
          <w:rFonts w:hint="eastAsia" w:ascii="微软雅黑" w:hAnsi="微软雅黑" w:eastAsia="微软雅黑" w:cs="微软雅黑"/>
          <w:b w:val="0"/>
          <w:i w:val="0"/>
          <w:caps w:val="0"/>
          <w:color w:val="333333"/>
          <w:spacing w:val="0"/>
          <w:sz w:val="24"/>
          <w:szCs w:val="24"/>
          <w:bdr w:val="none" w:color="auto" w:sz="0" w:space="0"/>
          <w:shd w:val="clear" w:fill="FFFFFF"/>
        </w:rPr>
        <w:t>厅支持地方高校的重点发展和特色办学，组织专家对省属院校申报的建设规划和项目预算进行评审等相关工作的支出。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九、社会保障和就业(类)行政事业单位离退休（款）归口管理的行政单位离退休（项）：指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黄石港区胜阳港街办</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用于离退休人员的支出、退休人员支出，以及提供管理服务工作的离退休干部处的支出。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十、社会保障和就业(类)行政事业单位离退休（款）其他行政事业单位离退休支出（项）：指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黄石港区胜阳港街办</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用于离退休方面的其他支出。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十一、医疗卫生与计划生育（类）医疗保障（款）行政单位医疗（项）：指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黄石港区胜阳港街办</w:t>
      </w:r>
      <w:r>
        <w:rPr>
          <w:rFonts w:hint="eastAsia" w:ascii="微软雅黑" w:hAnsi="微软雅黑" w:eastAsia="微软雅黑" w:cs="微软雅黑"/>
          <w:b w:val="0"/>
          <w:i w:val="0"/>
          <w:caps w:val="0"/>
          <w:color w:val="333333"/>
          <w:spacing w:val="0"/>
          <w:sz w:val="24"/>
          <w:szCs w:val="24"/>
          <w:bdr w:val="none" w:color="auto" w:sz="0" w:space="0"/>
          <w:shd w:val="clear" w:fill="FFFFFF"/>
        </w:rPr>
        <w:t>用于机关干部职工及离退休人员医疗方面的支出。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十二、住房保障（类）住房改革支出（款）购房补贴（项）：指按照相关住房分配货币化改革的政策规定和标准，对无房和住房未达标职工发放的住房分配货币化补贴资金。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十三、年末结转和结余：指本年度或以前年度预算安排、因客观条件发生变化无法按原计划实施，需要延迟到以后年度按有关规定继续使用的资金。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十四、基本支出：指为保障机构正常运转、完成日常工作任务而发生的人员支出（包括基本工资、津贴补贴等）和公用支出（包括办公费、水电费、邮电费、交通费、差旅费等）。</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十五、项目支出：指在基本支出之外为完成特定行政任务和事业发展目标所发生的支出。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十六、“三公”经费：是指用财政拨款安排的因公出国（境）费、公务用车购置及运行维护费、公务接待费。</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664587B"/>
    <w:rsid w:val="09FF39B4"/>
    <w:rsid w:val="11411182"/>
    <w:rsid w:val="255E033E"/>
    <w:rsid w:val="27390172"/>
    <w:rsid w:val="2CCE2491"/>
    <w:rsid w:val="621B3808"/>
    <w:rsid w:val="67E4782B"/>
    <w:rsid w:val="746766E2"/>
    <w:rsid w:val="74EA7B66"/>
    <w:rsid w:val="7818640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6">
    <w:name w:val="Default Paragraph Font"/>
    <w:semiHidden/>
    <w:uiPriority w:val="0"/>
  </w:style>
  <w:style w:type="table" w:default="1" w:styleId="8">
    <w:name w:val="Normal Table"/>
    <w:semiHidden/>
    <w:uiPriority w:val="0"/>
    <w:tblPr>
      <w:tblLayout w:type="fixed"/>
      <w:tblCellMar>
        <w:top w:w="0" w:type="dxa"/>
        <w:left w:w="108" w:type="dxa"/>
        <w:bottom w:w="0" w:type="dxa"/>
        <w:right w:w="108" w:type="dxa"/>
      </w:tblCellMar>
    </w:tblPr>
  </w:style>
  <w:style w:type="paragraph" w:styleId="3">
    <w:name w:val="Body Text Indent"/>
    <w:basedOn w:val="1"/>
    <w:uiPriority w:val="0"/>
    <w:pPr>
      <w:spacing w:line="500" w:lineRule="exact"/>
      <w:ind w:firstLine="640" w:firstLineChars="200"/>
    </w:pPr>
    <w:rPr>
      <w:rFonts w:ascii="宋体"/>
      <w:sz w:val="32"/>
    </w:rPr>
  </w:style>
  <w:style w:type="paragraph" w:styleId="4">
    <w:name w:val="Plain Text"/>
    <w:basedOn w:val="1"/>
    <w:uiPriority w:val="0"/>
    <w:rPr>
      <w:rFonts w:ascii="宋体" w:hAnsi="Courier New" w:cs="Courier New"/>
      <w:szCs w:val="21"/>
    </w:rPr>
  </w:style>
  <w:style w:type="paragraph" w:styleId="5">
    <w:name w:val="Normal (Web)"/>
    <w:basedOn w:val="1"/>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 w:type="paragraph" w:customStyle="1" w:styleId="9">
    <w:name w:val="正文缩进 + 首行缩进:  2 字符"/>
    <w:basedOn w:val="1"/>
    <w:uiPriority w:val="0"/>
    <w:pPr>
      <w:spacing w:line="560" w:lineRule="exact"/>
      <w:ind w:firstLine="640"/>
    </w:pPr>
    <w:rPr>
      <w:rFonts w:ascii="仿宋" w:hAnsi="仿宋" w:cs="宋体"/>
      <w:sz w:val="32"/>
      <w:szCs w:val="32"/>
    </w:rPr>
  </w:style>
  <w:style w:type="character" w:customStyle="1" w:styleId="10">
    <w:name w:val="ca-2"/>
    <w:basedOn w:val="6"/>
    <w:uiPriority w:val="0"/>
  </w:style>
  <w:style w:type="paragraph" w:customStyle="1" w:styleId="11">
    <w:name w:val="Normal (Web)"/>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Office_11.1.0.7849_F1E327BC-269C-435d-A152-05C5408002CA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侒靜啲喧嘩</cp:lastModifiedBy>
  <dcterms:modified xsi:type="dcterms:W3CDTF">2019-02-27T09:21:58Z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2052-11.1.0.7849</vt:lpwstr>
  </property>
</Properties>
</file>